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Austrup Roland</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Innventure,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220" w:type="dxa"/>
            <w:vAlign w:val="bottom"/>
            <w:tcBorders>
              <w:top w:val="single" w:sz="8" w:color="0000EE"/>
            </w:tcBorders>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80" w:type="dxa"/>
            <w:vAlign w:val="bottom"/>
            <w:tcBorders>
              <w:top w:val="single" w:sz="8" w:color="0000EE"/>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50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12/01/2025</w:t>
            </w:r>
          </w:p>
        </w:tc>
        <w:tc>
          <w:tcPr>
            <w:tcW w:w="2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24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6900 TAVISTOCK LAKES BLVD, SUITE 400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825"/>
        <w:spacing w:after="0"/>
        <w:rPr>
          <w:sz w:val="20"/>
          <w:szCs w:val="20"/>
          <w:color w:val="auto"/>
        </w:rPr>
      </w:pPr>
      <w:r>
        <w:rPr>
          <w:rFonts w:ascii="Times New Roman" w:cs="Times New Roman" w:eastAsia="Times New Roman" w:hAnsi="Times New Roman"/>
          <w:sz w:val="17"/>
          <w:szCs w:val="17"/>
          <w:color w:val="0000FF"/>
        </w:rPr>
        <w:t>Chief Growth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6"/>
            <w:vMerge w:val="continue"/>
          </w:tcPr>
          <w:p>
            <w:pPr>
              <w:spacing w:after="0"/>
              <w:rPr>
                <w:sz w:val="8"/>
                <w:szCs w:val="8"/>
                <w:color w:val="auto"/>
              </w:rPr>
            </w:pPr>
          </w:p>
        </w:tc>
        <w:tc>
          <w:tcPr>
            <w:tcW w:w="200" w:type="dxa"/>
            <w:vAlign w:val="bottom"/>
          </w:tcPr>
          <w:p>
            <w:pPr>
              <w:spacing w:after="0"/>
              <w:rPr>
                <w:sz w:val="8"/>
                <w:szCs w:val="8"/>
                <w:color w:val="auto"/>
              </w:rPr>
            </w:pPr>
          </w:p>
        </w:tc>
        <w:tc>
          <w:tcPr>
            <w:tcW w:w="356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ORLANDO</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FL</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32827</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4,900</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868,164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acquired in multiple transactions at prices ranging from $4.92 to $5.23, inclusive. The Reporting Person undertakes to provide to Innventure, Inc., any security holder of Innventure, Inc. or the staff of the Securities and Exchange Commission, upon request, full information regarding the number of shares purchased at each separate price within the ranges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Suzanne Niemeyer,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12/03/2025</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32138" TargetMode="External"/><Relationship Id="rId14" Type="http://schemas.openxmlformats.org/officeDocument/2006/relationships/hyperlink" Target="http://www.sec.gov/cgi-bin/browse-edgar?action=getcompany&amp;CIK=00020015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2025-12-03T15:38:33Z</dcterms:created>
  <dcterms:modified xsi:type="dcterms:W3CDTF">2025-12-03T15:38:33Z</dcterms:modified>
</cp:coreProperties>
</file>