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5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Donnally James O</w:t>
              </w:r>
            </w:hyperlink>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580" w:type="dxa"/>
            <w:vAlign w:val="bottom"/>
            <w:tcBorders>
              <w:bottom w:val="single" w:sz="8" w:color="0000EE"/>
            </w:tcBorders>
            <w:gridSpan w:val="2"/>
            <w:vMerge w:val="continue"/>
          </w:tcPr>
          <w:p>
            <w:pPr>
              <w:spacing w:after="0"/>
              <w:rPr>
                <w:sz w:val="5"/>
                <w:szCs w:val="5"/>
                <w:color w:val="auto"/>
              </w:rPr>
            </w:pPr>
          </w:p>
        </w:tc>
        <w:tc>
          <w:tcPr>
            <w:tcW w:w="20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20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2060" w:type="dxa"/>
            <w:vAlign w:val="bottom"/>
            <w:tcBorders>
              <w:top w:val="single" w:sz="8" w:color="EEEEEE"/>
            </w:tcBorders>
            <w:vMerge w:val="restart"/>
          </w:tcPr>
          <w:p>
            <w:pPr>
              <w:ind w:left="86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06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06/25/2025</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06/25/2025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22,305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29,682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4,680,272</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1,500,431</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to the Reporting Person under the Innventure, Inc. 2024 Equity and Incentive Compensation Plan, and vesting on the earlier of (a) the first anniversary of the date of grant and (b) the next regularly scheduled annual meeting of stockholders of Innventure, Inc. (the "Issuer").</w:t>
      </w:r>
    </w:p>
    <w:p>
      <w:pPr>
        <w:spacing w:after="0" w:line="7" w:lineRule="exact"/>
        <w:rPr>
          <w:rFonts w:ascii="Times New Roman" w:cs="Times New Roman" w:eastAsia="Times New Roman" w:hAnsi="Times New Roman"/>
          <w:sz w:val="13"/>
          <w:szCs w:val="13"/>
          <w:color w:val="008000"/>
        </w:rPr>
      </w:pPr>
    </w:p>
    <w:p>
      <w:pPr>
        <w:ind w:left="40" w:right="20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par value $0.0001 per share ("Common Stock"), held directly by the Glockner Family Venture Fund (the "Glockner Fund"). The Reporting Person is a 25% owner of the Glockner Fund and is a 25% owner and the Managing Member of Bellringer Consulting Group, LLC ("Bellringer"), the general partner of the Glockner Fund. The Reporting Person has no authority over the Glockner Fund's decision-making with respect to equity or debt investments in the Issuer and disclaims beneficial ownership of the shares reported herein except to the extent of his pecuniary interest therein, if any. The inclusion of these shares in this report shall not be deemed an admission that the Reporting Person is a beneficial owner of the securities reported in this filing for purposes of Section 16 of the Exchange Act of 1934 (the "Exchange Act").</w:t>
      </w:r>
    </w:p>
    <w:p>
      <w:pPr>
        <w:spacing w:after="0" w:line="26"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Common Stock held directly by the James O. Donnally Revocable Trust (the "Donnally Trust"). The Reporting Person has voting and investment power over the shares of Common Stock held by the Donnally Trust.</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06/27/2025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8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2141"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2025-06-27T18:06:28Z</dcterms:created>
  <dcterms:modified xsi:type="dcterms:W3CDTF">2025-06-27T18:06:28Z</dcterms:modified>
</cp:coreProperties>
</file>