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Times New Roman" w:cs="Times New Roman" w:eastAsia="Times New Roman" w:hAnsi="Times New Roman"/>
          <w:sz w:val="19"/>
          <w:szCs w:val="19"/>
          <w:color w:val="auto"/>
        </w:rPr>
        <w:t>Form 144 Filer Information UNITED STATES</w:t>
      </w:r>
    </w:p>
    <w:p>
      <w:pPr>
        <w:spacing w:after="0" w:line="32"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9"/>
          <w:szCs w:val="19"/>
          <w:color w:val="auto"/>
        </w:rPr>
        <w:t>SECURITIES AND EXCHANGE COMMISSION</w:t>
      </w:r>
    </w:p>
    <w:p>
      <w:pPr>
        <w:spacing w:after="0" w:line="10"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9"/>
          <w:szCs w:val="19"/>
          <w:color w:val="auto"/>
        </w:rPr>
        <w:t>Washington, D.C. 20549</w:t>
      </w:r>
    </w:p>
    <w:p>
      <w:pPr>
        <w:spacing w:after="0" w:line="216" w:lineRule="exact"/>
        <w:rPr>
          <w:sz w:val="24"/>
          <w:szCs w:val="24"/>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9"/>
          <w:szCs w:val="19"/>
          <w:color w:val="auto"/>
        </w:rPr>
        <w:t>FORM 144</w:t>
      </w:r>
      <w:r>
        <w:rPr>
          <w:sz w:val="20"/>
          <w:szCs w:val="20"/>
          <w:color w:val="auto"/>
        </w:rPr>
        <w:tab/>
      </w:r>
      <w:r>
        <w:rPr>
          <w:rFonts w:ascii="Times New Roman" w:cs="Times New Roman" w:eastAsia="Times New Roman" w:hAnsi="Times New Roman"/>
          <w:sz w:val="18"/>
          <w:szCs w:val="18"/>
          <w:color w:val="auto"/>
        </w:rPr>
        <w:t>Form 144</w:t>
      </w:r>
    </w:p>
    <w:p>
      <w:pPr>
        <w:spacing w:after="0" w:line="239"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7"/>
          <w:szCs w:val="17"/>
          <w:color w:val="auto"/>
        </w:rPr>
        <w:t>NOTICE OF PROPOSED SALE OF SECURITIES</w:t>
      </w:r>
    </w:p>
    <w:p>
      <w:pPr>
        <w:spacing w:after="0" w:line="22"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7"/>
          <w:szCs w:val="17"/>
          <w:color w:val="auto"/>
        </w:rPr>
        <w:t>PURSUANT TO RULE 144 UNDER THE SECURITIES ACT OF 1933</w:t>
      </w: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Filer Information</w:t>
      </w:r>
    </w:p>
    <w:p>
      <w:pPr>
        <w:spacing w:after="0" w:line="326"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0001188827</w:t>
            </w:r>
          </w:p>
        </w:tc>
        <w:tc>
          <w:tcPr>
            <w:tcW w:w="3280" w:type="dxa"/>
            <w:vAlign w:val="bottom"/>
          </w:tcPr>
          <w:p>
            <w:pPr>
              <w:spacing w:after="0"/>
              <w:rPr>
                <w:sz w:val="21"/>
                <w:szCs w:val="2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XXXXXXXX</w:t>
            </w:r>
          </w:p>
        </w:tc>
        <w:tc>
          <w:tcPr>
            <w:tcW w:w="3280" w:type="dxa"/>
            <w:vAlign w:val="bottom"/>
          </w:tcPr>
          <w:p>
            <w:pPr>
              <w:spacing w:after="0"/>
              <w:rPr>
                <w:sz w:val="24"/>
                <w:szCs w:val="24"/>
                <w:color w:val="auto"/>
              </w:rPr>
            </w:pPr>
          </w:p>
        </w:tc>
      </w:tr>
      <w:tr>
        <w:trPr>
          <w:trHeight w:val="288"/>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Is this a LIVE or TEST Filing?</w:t>
            </w:r>
          </w:p>
        </w:tc>
        <w:tc>
          <w:tcPr>
            <w:tcW w:w="364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LIVE   TEST</w:t>
            </w:r>
          </w:p>
        </w:tc>
        <w:tc>
          <w:tcPr>
            <w:tcW w:w="3280" w:type="dxa"/>
            <w:vAlign w:val="bottom"/>
          </w:tcPr>
          <w:p>
            <w:pPr>
              <w:spacing w:after="0"/>
              <w:rPr>
                <w:sz w:val="24"/>
                <w:szCs w:val="24"/>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b w:val="1"/>
                <w:bCs w:val="1"/>
                <w:i w:val="1"/>
                <w:iCs w:val="1"/>
                <w:color w:val="auto"/>
              </w:rPr>
              <w:t>Submission Contact Information</w:t>
            </w:r>
          </w:p>
        </w:tc>
        <w:tc>
          <w:tcPr>
            <w:tcW w:w="364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528"/>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Name</w:t>
            </w:r>
          </w:p>
        </w:tc>
        <w:tc>
          <w:tcPr>
            <w:tcW w:w="364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Phone</w:t>
            </w:r>
          </w:p>
        </w:tc>
        <w:tc>
          <w:tcPr>
            <w:tcW w:w="364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E-Mail Address</w:t>
            </w:r>
          </w:p>
        </w:tc>
        <w:tc>
          <w:tcPr>
            <w:tcW w:w="364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742"/>
        </w:trPr>
        <w:tc>
          <w:tcPr>
            <w:tcW w:w="6300" w:type="dxa"/>
            <w:vAlign w:val="bottom"/>
            <w:gridSpan w:val="2"/>
          </w:tcPr>
          <w:p>
            <w:pPr>
              <w:spacing w:after="0"/>
              <w:rPr>
                <w:sz w:val="20"/>
                <w:szCs w:val="20"/>
                <w:color w:val="auto"/>
              </w:rPr>
            </w:pPr>
            <w:r>
              <w:rPr>
                <w:rFonts w:ascii="Times New Roman" w:cs="Times New Roman" w:eastAsia="Times New Roman" w:hAnsi="Times New Roman"/>
                <w:sz w:val="38"/>
                <w:szCs w:val="38"/>
                <w:b w:val="1"/>
                <w:bCs w:val="1"/>
                <w:color w:val="auto"/>
              </w:rPr>
              <w:t>144: Issuer Information</w:t>
            </w:r>
          </w:p>
        </w:tc>
        <w:tc>
          <w:tcPr>
            <w:tcW w:w="3280" w:type="dxa"/>
            <w:vAlign w:val="bottom"/>
          </w:tcPr>
          <w:p>
            <w:pPr>
              <w:spacing w:after="0"/>
              <w:rPr>
                <w:sz w:val="24"/>
                <w:szCs w:val="24"/>
                <w:color w:val="auto"/>
              </w:rPr>
            </w:pPr>
          </w:p>
        </w:tc>
      </w:tr>
      <w:tr>
        <w:trPr>
          <w:trHeight w:val="50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Name of Issuer</w:t>
            </w:r>
          </w:p>
        </w:tc>
        <w:tc>
          <w:tcPr>
            <w:tcW w:w="3640" w:type="dxa"/>
            <w:vAlign w:val="bottom"/>
          </w:tcPr>
          <w:p>
            <w:pPr>
              <w:spacing w:after="0"/>
              <w:rPr>
                <w:sz w:val="24"/>
                <w:szCs w:val="24"/>
                <w:color w:val="auto"/>
              </w:rPr>
            </w:pPr>
          </w:p>
        </w:tc>
        <w:tc>
          <w:tcPr>
            <w:tcW w:w="3280" w:type="dxa"/>
            <w:vAlign w:val="bottom"/>
          </w:tcPr>
          <w:p>
            <w:pPr>
              <w:ind w:left="1160"/>
              <w:spacing w:after="0"/>
              <w:rPr>
                <w:sz w:val="20"/>
                <w:szCs w:val="20"/>
                <w:color w:val="auto"/>
              </w:rPr>
            </w:pPr>
            <w:r>
              <w:rPr>
                <w:rFonts w:ascii="Times New Roman" w:cs="Times New Roman" w:eastAsia="Times New Roman" w:hAnsi="Times New Roman"/>
                <w:sz w:val="19"/>
                <w:szCs w:val="19"/>
                <w:color w:val="auto"/>
              </w:rPr>
              <w:t>Innventure, Inc.</w:t>
            </w: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SEC File Number</w:t>
            </w:r>
          </w:p>
        </w:tc>
        <w:tc>
          <w:tcPr>
            <w:tcW w:w="3640" w:type="dxa"/>
            <w:vAlign w:val="bottom"/>
          </w:tcPr>
          <w:p>
            <w:pPr>
              <w:spacing w:after="0"/>
              <w:rPr>
                <w:sz w:val="24"/>
                <w:szCs w:val="24"/>
                <w:color w:val="auto"/>
              </w:rPr>
            </w:pPr>
          </w:p>
        </w:tc>
        <w:tc>
          <w:tcPr>
            <w:tcW w:w="3280" w:type="dxa"/>
            <w:vAlign w:val="bottom"/>
          </w:tcPr>
          <w:p>
            <w:pPr>
              <w:ind w:left="1160"/>
              <w:spacing w:after="0"/>
              <w:rPr>
                <w:sz w:val="20"/>
                <w:szCs w:val="20"/>
                <w:color w:val="auto"/>
              </w:rPr>
            </w:pPr>
            <w:r>
              <w:rPr>
                <w:rFonts w:ascii="Times New Roman" w:cs="Times New Roman" w:eastAsia="Times New Roman" w:hAnsi="Times New Roman"/>
                <w:sz w:val="19"/>
                <w:szCs w:val="19"/>
                <w:color w:val="auto"/>
              </w:rPr>
              <w:t>001-42303</w:t>
            </w:r>
          </w:p>
        </w:tc>
      </w:tr>
      <w:tr>
        <w:trPr>
          <w:trHeight w:val="253"/>
        </w:trPr>
        <w:tc>
          <w:tcPr>
            <w:tcW w:w="266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280" w:type="dxa"/>
            <w:vAlign w:val="bottom"/>
          </w:tcPr>
          <w:p>
            <w:pPr>
              <w:ind w:left="1160"/>
              <w:spacing w:after="0"/>
              <w:rPr>
                <w:sz w:val="20"/>
                <w:szCs w:val="20"/>
                <w:color w:val="auto"/>
              </w:rPr>
            </w:pPr>
            <w:r>
              <w:rPr>
                <w:rFonts w:ascii="Times New Roman" w:cs="Times New Roman" w:eastAsia="Times New Roman" w:hAnsi="Times New Roman"/>
                <w:sz w:val="19"/>
                <w:szCs w:val="19"/>
                <w:color w:val="auto"/>
              </w:rPr>
              <w:t>6900 Tavistock Lakes Blvd</w:t>
            </w:r>
          </w:p>
        </w:tc>
      </w:tr>
      <w:tr>
        <w:trPr>
          <w:trHeight w:val="228"/>
        </w:trPr>
        <w:tc>
          <w:tcPr>
            <w:tcW w:w="26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3280" w:type="dxa"/>
            <w:vAlign w:val="bottom"/>
          </w:tcPr>
          <w:p>
            <w:pPr>
              <w:ind w:left="1160"/>
              <w:spacing w:after="0"/>
              <w:rPr>
                <w:sz w:val="20"/>
                <w:szCs w:val="20"/>
                <w:color w:val="auto"/>
              </w:rPr>
            </w:pPr>
            <w:r>
              <w:rPr>
                <w:rFonts w:ascii="Times New Roman" w:cs="Times New Roman" w:eastAsia="Times New Roman" w:hAnsi="Times New Roman"/>
                <w:sz w:val="19"/>
                <w:szCs w:val="19"/>
                <w:color w:val="auto"/>
              </w:rPr>
              <w:t>Suite 400</w:t>
            </w:r>
          </w:p>
        </w:tc>
      </w:tr>
      <w:tr>
        <w:trPr>
          <w:trHeight w:val="228"/>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Address of Issuer</w:t>
            </w:r>
          </w:p>
        </w:tc>
        <w:tc>
          <w:tcPr>
            <w:tcW w:w="3640" w:type="dxa"/>
            <w:vAlign w:val="bottom"/>
          </w:tcPr>
          <w:p>
            <w:pPr>
              <w:spacing w:after="0"/>
              <w:rPr>
                <w:sz w:val="19"/>
                <w:szCs w:val="19"/>
                <w:color w:val="auto"/>
              </w:rPr>
            </w:pPr>
          </w:p>
        </w:tc>
        <w:tc>
          <w:tcPr>
            <w:tcW w:w="3280" w:type="dxa"/>
            <w:vAlign w:val="bottom"/>
          </w:tcPr>
          <w:p>
            <w:pPr>
              <w:ind w:left="1160"/>
              <w:spacing w:after="0"/>
              <w:rPr>
                <w:sz w:val="20"/>
                <w:szCs w:val="20"/>
                <w:color w:val="auto"/>
              </w:rPr>
            </w:pPr>
            <w:r>
              <w:rPr>
                <w:rFonts w:ascii="Times New Roman" w:cs="Times New Roman" w:eastAsia="Times New Roman" w:hAnsi="Times New Roman"/>
                <w:sz w:val="19"/>
                <w:szCs w:val="19"/>
                <w:color w:val="auto"/>
              </w:rPr>
              <w:t>Orlando</w:t>
            </w:r>
          </w:p>
        </w:tc>
      </w:tr>
      <w:tr>
        <w:trPr>
          <w:trHeight w:val="228"/>
        </w:trPr>
        <w:tc>
          <w:tcPr>
            <w:tcW w:w="266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3280" w:type="dxa"/>
            <w:vAlign w:val="bottom"/>
          </w:tcPr>
          <w:p>
            <w:pPr>
              <w:ind w:left="1160"/>
              <w:spacing w:after="0"/>
              <w:rPr>
                <w:sz w:val="20"/>
                <w:szCs w:val="20"/>
                <w:color w:val="auto"/>
              </w:rPr>
            </w:pPr>
            <w:r>
              <w:rPr>
                <w:rFonts w:ascii="Times New Roman" w:cs="Times New Roman" w:eastAsia="Times New Roman" w:hAnsi="Times New Roman"/>
                <w:sz w:val="19"/>
                <w:szCs w:val="19"/>
                <w:color w:val="auto"/>
              </w:rPr>
              <w:t>FLORIDA</w:t>
            </w:r>
          </w:p>
        </w:tc>
      </w:tr>
      <w:tr>
        <w:trPr>
          <w:trHeight w:val="251"/>
        </w:trPr>
        <w:tc>
          <w:tcPr>
            <w:tcW w:w="266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280" w:type="dxa"/>
            <w:vAlign w:val="bottom"/>
          </w:tcPr>
          <w:p>
            <w:pPr>
              <w:ind w:left="1160"/>
              <w:spacing w:after="0"/>
              <w:rPr>
                <w:sz w:val="20"/>
                <w:szCs w:val="20"/>
                <w:color w:val="auto"/>
              </w:rPr>
            </w:pPr>
            <w:r>
              <w:rPr>
                <w:rFonts w:ascii="Times New Roman" w:cs="Times New Roman" w:eastAsia="Times New Roman" w:hAnsi="Times New Roman"/>
                <w:sz w:val="19"/>
                <w:szCs w:val="19"/>
                <w:color w:val="auto"/>
              </w:rPr>
              <w:t>32827</w:t>
            </w: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Phone</w:t>
            </w:r>
          </w:p>
        </w:tc>
        <w:tc>
          <w:tcPr>
            <w:tcW w:w="3640" w:type="dxa"/>
            <w:vAlign w:val="bottom"/>
          </w:tcPr>
          <w:p>
            <w:pPr>
              <w:spacing w:after="0"/>
              <w:rPr>
                <w:sz w:val="24"/>
                <w:szCs w:val="24"/>
                <w:color w:val="auto"/>
              </w:rPr>
            </w:pPr>
          </w:p>
        </w:tc>
        <w:tc>
          <w:tcPr>
            <w:tcW w:w="3280" w:type="dxa"/>
            <w:vAlign w:val="bottom"/>
          </w:tcPr>
          <w:p>
            <w:pPr>
              <w:ind w:left="1160"/>
              <w:spacing w:after="0"/>
              <w:rPr>
                <w:sz w:val="20"/>
                <w:szCs w:val="20"/>
                <w:color w:val="auto"/>
              </w:rPr>
            </w:pPr>
            <w:r>
              <w:rPr>
                <w:rFonts w:ascii="Times New Roman" w:cs="Times New Roman" w:eastAsia="Times New Roman" w:hAnsi="Times New Roman"/>
                <w:sz w:val="19"/>
                <w:szCs w:val="19"/>
                <w:color w:val="auto"/>
              </w:rPr>
              <w:t>1-321-209-6787</w:t>
            </w:r>
          </w:p>
        </w:tc>
      </w:tr>
      <w:tr>
        <w:trPr>
          <w:trHeight w:val="276"/>
        </w:trPr>
        <w:tc>
          <w:tcPr>
            <w:tcW w:w="630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Name of Person for Whose Account the Securities are To Be Sold</w:t>
            </w:r>
          </w:p>
        </w:tc>
        <w:tc>
          <w:tcPr>
            <w:tcW w:w="3280" w:type="dxa"/>
            <w:vAlign w:val="bottom"/>
          </w:tcPr>
          <w:p>
            <w:pPr>
              <w:ind w:left="1160"/>
              <w:spacing w:after="0"/>
              <w:rPr>
                <w:sz w:val="20"/>
                <w:szCs w:val="20"/>
                <w:color w:val="auto"/>
              </w:rPr>
            </w:pPr>
            <w:r>
              <w:rPr>
                <w:rFonts w:ascii="Times New Roman" w:cs="Times New Roman" w:eastAsia="Times New Roman" w:hAnsi="Times New Roman"/>
                <w:sz w:val="19"/>
                <w:szCs w:val="19"/>
                <w:color w:val="auto"/>
              </w:rPr>
              <w:t>Gregory D Wasson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1711325</wp:posOffset>
            </wp:positionH>
            <wp:positionV relativeFrom="paragraph">
              <wp:posOffset>-3092450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drawing>
          <wp:anchor simplePos="0" relativeHeight="251657728" behindDoc="1" locked="0" layoutInCell="0" allowOverlap="1">
            <wp:simplePos x="0" y="0"/>
            <wp:positionH relativeFrom="column">
              <wp:posOffset>2168525</wp:posOffset>
            </wp:positionH>
            <wp:positionV relativeFrom="paragraph">
              <wp:posOffset>-3092450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5" w:lineRule="exact"/>
        <w:rPr>
          <w:sz w:val="24"/>
          <w:szCs w:val="24"/>
          <w:color w:val="auto"/>
        </w:rPr>
      </w:pPr>
    </w:p>
    <w:p>
      <w:pPr>
        <w:jc w:val="both"/>
        <w:ind w:left="40" w:right="20"/>
        <w:spacing w:after="0" w:line="265" w:lineRule="auto"/>
        <w:rPr>
          <w:sz w:val="20"/>
          <w:szCs w:val="20"/>
          <w:color w:val="auto"/>
        </w:rPr>
      </w:pPr>
      <w:r>
        <w:rPr>
          <w:rFonts w:ascii="Times New Roman" w:cs="Times New Roman" w:eastAsia="Times New Roman" w:hAnsi="Times New Roman"/>
          <w:sz w:val="19"/>
          <w:szCs w:val="19"/>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0" w:lineRule="exact"/>
        <w:rPr>
          <w:sz w:val="24"/>
          <w:szCs w:val="24"/>
          <w:color w:val="auto"/>
        </w:rPr>
      </w:pPr>
    </w:p>
    <w:p>
      <w:pPr>
        <w:spacing w:after="0" w:line="265" w:lineRule="exact"/>
        <w:rPr>
          <w:sz w:val="24"/>
          <w:szCs w:val="24"/>
          <w:color w:val="auto"/>
        </w:rPr>
      </w:pPr>
    </w:p>
    <w:p>
      <w:pPr>
        <w:ind w:left="40"/>
        <w:spacing w:after="0"/>
        <w:tabs>
          <w:tab w:leader="none" w:pos="7440" w:val="left"/>
        </w:tabs>
        <w:rPr>
          <w:sz w:val="20"/>
          <w:szCs w:val="20"/>
          <w:color w:val="auto"/>
        </w:rPr>
      </w:pPr>
      <w:r>
        <w:rPr>
          <w:rFonts w:ascii="Times New Roman" w:cs="Times New Roman" w:eastAsia="Times New Roman" w:hAnsi="Times New Roman"/>
          <w:sz w:val="19"/>
          <w:szCs w:val="19"/>
          <w:color w:val="auto"/>
        </w:rPr>
        <w:t>Relationship to Issuer</w:t>
      </w:r>
      <w:r>
        <w:rPr>
          <w:sz w:val="20"/>
          <w:szCs w:val="20"/>
          <w:color w:val="auto"/>
        </w:rPr>
        <w:tab/>
      </w:r>
      <w:r>
        <w:rPr>
          <w:rFonts w:ascii="Times New Roman" w:cs="Times New Roman" w:eastAsia="Times New Roman" w:hAnsi="Times New Roman"/>
          <w:sz w:val="19"/>
          <w:szCs w:val="19"/>
          <w:color w:val="auto"/>
        </w:rPr>
        <w:t>10% Stockholder</w:t>
      </w:r>
    </w:p>
    <w:p>
      <w:pPr>
        <w:spacing w:after="0" w:line="267" w:lineRule="exact"/>
        <w:rPr>
          <w:sz w:val="24"/>
          <w:szCs w:val="24"/>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Securities Information</w:t>
      </w:r>
    </w:p>
    <w:p>
      <w:pPr>
        <w:sectPr>
          <w:pgSz w:w="11900" w:h="16840" w:orient="portrait"/>
          <w:cols w:equalWidth="0" w:num="1">
            <w:col w:w="10560"/>
          </w:cols>
          <w:pgMar w:left="660" w:top="592" w:right="680" w:bottom="475" w:gutter="0" w:footer="0" w:header="0"/>
        </w:sectPr>
      </w:pPr>
    </w:p>
    <w:p>
      <w:pPr>
        <w:spacing w:after="0" w:line="324"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19"/>
          <w:szCs w:val="19"/>
          <w:b w:val="1"/>
          <w:bCs w:val="1"/>
          <w:color w:val="auto"/>
        </w:rPr>
        <w:t>Number of</w:t>
      </w:r>
    </w:p>
    <w:p>
      <w:pPr>
        <w:spacing w:after="0" w:line="34" w:lineRule="exact"/>
        <w:rPr>
          <w:sz w:val="24"/>
          <w:szCs w:val="24"/>
          <w:color w:val="auto"/>
        </w:rPr>
      </w:pPr>
    </w:p>
    <w:p>
      <w:pPr>
        <w:ind w:left="400"/>
        <w:spacing w:after="0"/>
        <w:tabs>
          <w:tab w:leader="none" w:pos="2420" w:val="left"/>
          <w:tab w:leader="none" w:pos="4760" w:val="left"/>
        </w:tabs>
        <w:rPr>
          <w:sz w:val="20"/>
          <w:szCs w:val="20"/>
          <w:color w:val="auto"/>
        </w:rPr>
      </w:pPr>
      <w:r>
        <w:rPr>
          <w:rFonts w:ascii="Times New Roman" w:cs="Times New Roman" w:eastAsia="Times New Roman" w:hAnsi="Times New Roman"/>
          <w:sz w:val="19"/>
          <w:szCs w:val="19"/>
          <w:b w:val="1"/>
          <w:bCs w:val="1"/>
          <w:color w:val="auto"/>
        </w:rPr>
        <w:t>Title of the Class of</w:t>
      </w:r>
      <w:r>
        <w:rPr>
          <w:sz w:val="20"/>
          <w:szCs w:val="20"/>
          <w:color w:val="auto"/>
        </w:rPr>
        <w:tab/>
      </w:r>
      <w:r>
        <w:rPr>
          <w:rFonts w:ascii="Times New Roman" w:cs="Times New Roman" w:eastAsia="Times New Roman" w:hAnsi="Times New Roman"/>
          <w:sz w:val="19"/>
          <w:szCs w:val="19"/>
          <w:b w:val="1"/>
          <w:bCs w:val="1"/>
          <w:color w:val="auto"/>
        </w:rPr>
        <w:t>Name and Address of the</w:t>
        <w:tab/>
        <w:t>Shares or</w:t>
      </w:r>
    </w:p>
    <w:p>
      <w:pPr>
        <w:spacing w:after="0" w:line="10" w:lineRule="exact"/>
        <w:rPr>
          <w:sz w:val="24"/>
          <w:szCs w:val="24"/>
          <w:color w:val="auto"/>
        </w:rPr>
      </w:pPr>
    </w:p>
    <w:p>
      <w:pPr>
        <w:ind w:left="320"/>
        <w:spacing w:after="0"/>
        <w:tabs>
          <w:tab w:leader="none" w:pos="3160" w:val="left"/>
          <w:tab w:leader="none" w:pos="4680" w:val="left"/>
        </w:tabs>
        <w:rPr>
          <w:sz w:val="20"/>
          <w:szCs w:val="20"/>
          <w:color w:val="auto"/>
        </w:rPr>
      </w:pPr>
      <w:r>
        <w:rPr>
          <w:rFonts w:ascii="Times New Roman" w:cs="Times New Roman" w:eastAsia="Times New Roman" w:hAnsi="Times New Roman"/>
          <w:sz w:val="19"/>
          <w:szCs w:val="19"/>
          <w:b w:val="1"/>
          <w:bCs w:val="1"/>
          <w:color w:val="auto"/>
        </w:rPr>
        <w:t>Securities To Be Sold</w:t>
      </w:r>
      <w:r>
        <w:rPr>
          <w:sz w:val="20"/>
          <w:szCs w:val="20"/>
          <w:color w:val="auto"/>
        </w:rPr>
        <w:tab/>
      </w:r>
      <w:r>
        <w:rPr>
          <w:rFonts w:ascii="Times New Roman" w:cs="Times New Roman" w:eastAsia="Times New Roman" w:hAnsi="Times New Roman"/>
          <w:sz w:val="19"/>
          <w:szCs w:val="19"/>
          <w:b w:val="1"/>
          <w:bCs w:val="1"/>
          <w:color w:val="auto"/>
        </w:rPr>
        <w:t>Broker</w:t>
      </w:r>
      <w:r>
        <w:rPr>
          <w:sz w:val="20"/>
          <w:szCs w:val="20"/>
          <w:color w:val="auto"/>
        </w:rPr>
        <w:tab/>
      </w:r>
      <w:r>
        <w:rPr>
          <w:rFonts w:ascii="Times New Roman" w:cs="Times New Roman" w:eastAsia="Times New Roman" w:hAnsi="Times New Roman"/>
          <w:sz w:val="18"/>
          <w:szCs w:val="18"/>
          <w:b w:val="1"/>
          <w:bCs w:val="1"/>
          <w:color w:val="auto"/>
        </w:rPr>
        <w:t>Other Units</w:t>
      </w:r>
    </w:p>
    <w:p>
      <w:pPr>
        <w:spacing w:after="0" w:line="10"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19"/>
          <w:szCs w:val="19"/>
          <w:b w:val="1"/>
          <w:bCs w:val="1"/>
          <w:color w:val="auto"/>
        </w:rPr>
        <w:t>To Be Sold</w:t>
      </w:r>
    </w:p>
    <w:p>
      <w:pPr>
        <w:spacing w:after="0" w:line="36"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9"/>
          <w:szCs w:val="19"/>
          <w:color w:val="auto"/>
        </w:rPr>
        <w:t>Goldman Sachs &amp; Co. LLC</w:t>
      </w:r>
    </w:p>
    <w:p>
      <w:pPr>
        <w:spacing w:after="0" w:line="32" w:lineRule="exact"/>
        <w:rPr>
          <w:sz w:val="24"/>
          <w:szCs w:val="24"/>
          <w:color w:val="auto"/>
        </w:rPr>
      </w:pPr>
    </w:p>
    <w:p>
      <w:pPr>
        <w:ind w:left="40"/>
        <w:spacing w:after="0"/>
        <w:tabs>
          <w:tab w:leader="none" w:pos="2360" w:val="left"/>
          <w:tab w:leader="none" w:pos="4600" w:val="left"/>
        </w:tabs>
        <w:rPr>
          <w:sz w:val="20"/>
          <w:szCs w:val="20"/>
          <w:color w:val="auto"/>
        </w:rPr>
      </w:pPr>
      <w:r>
        <w:rPr>
          <w:rFonts w:ascii="Times New Roman" w:cs="Times New Roman" w:eastAsia="Times New Roman" w:hAnsi="Times New Roman"/>
          <w:sz w:val="19"/>
          <w:szCs w:val="19"/>
          <w:color w:val="auto"/>
        </w:rPr>
        <w:t>Common Stock</w:t>
      </w:r>
      <w:r>
        <w:rPr>
          <w:sz w:val="20"/>
          <w:szCs w:val="20"/>
          <w:color w:val="auto"/>
        </w:rPr>
        <w:tab/>
      </w:r>
      <w:r>
        <w:rPr>
          <w:rFonts w:ascii="Times New Roman" w:cs="Times New Roman" w:eastAsia="Times New Roman" w:hAnsi="Times New Roman"/>
          <w:sz w:val="19"/>
          <w:szCs w:val="19"/>
          <w:color w:val="auto"/>
        </w:rPr>
        <w:t>200 West Street</w:t>
      </w:r>
      <w:r>
        <w:rPr>
          <w:sz w:val="20"/>
          <w:szCs w:val="20"/>
          <w:color w:val="auto"/>
        </w:rPr>
        <w:tab/>
      </w:r>
      <w:r>
        <w:rPr>
          <w:rFonts w:ascii="Times New Roman" w:cs="Times New Roman" w:eastAsia="Times New Roman" w:hAnsi="Times New Roman"/>
          <w:sz w:val="19"/>
          <w:szCs w:val="19"/>
          <w:color w:val="auto"/>
        </w:rPr>
        <w:t>440000</w:t>
      </w:r>
    </w:p>
    <w:p>
      <w:pPr>
        <w:spacing w:after="0" w:line="10"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9"/>
          <w:szCs w:val="19"/>
          <w:color w:val="auto"/>
        </w:rPr>
        <w:t>New York  NY  10282</w:t>
      </w:r>
    </w:p>
    <w:p>
      <w:pPr>
        <w:spacing w:after="0" w:line="20" w:lineRule="exact"/>
        <w:rPr>
          <w:sz w:val="24"/>
          <w:szCs w:val="24"/>
          <w:color w:val="auto"/>
        </w:rPr>
      </w:pPr>
      <w:r>
        <w:rPr>
          <w:sz w:val="24"/>
          <w:szCs w:val="24"/>
          <w:color w:val="auto"/>
        </w:rPr>
        <w:br w:type="column"/>
      </w:r>
    </w:p>
    <w:p>
      <w:pPr>
        <w:spacing w:after="0" w:line="30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Number of</w:t>
            </w:r>
          </w:p>
        </w:tc>
        <w:tc>
          <w:tcPr>
            <w:tcW w:w="126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Name the</w:t>
            </w:r>
          </w:p>
        </w:tc>
        <w:tc>
          <w:tcPr>
            <w:tcW w:w="0" w:type="dxa"/>
            <w:vAlign w:val="bottom"/>
          </w:tcPr>
          <w:p>
            <w:pPr>
              <w:spacing w:after="0"/>
              <w:rPr>
                <w:sz w:val="1"/>
                <w:szCs w:val="1"/>
                <w:color w:val="auto"/>
              </w:rPr>
            </w:pPr>
          </w:p>
        </w:tc>
      </w:tr>
      <w:tr>
        <w:trPr>
          <w:trHeight w:val="108"/>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Aggregate</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Shares or</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9"/>
                <w:szCs w:val="19"/>
                <w:b w:val="1"/>
                <w:bCs w:val="1"/>
                <w:color w:val="auto"/>
              </w:rPr>
              <w:t>Approximate</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2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Securities</w:t>
            </w:r>
          </w:p>
        </w:tc>
        <w:tc>
          <w:tcPr>
            <w:tcW w:w="0" w:type="dxa"/>
            <w:vAlign w:val="bottom"/>
          </w:tcPr>
          <w:p>
            <w:pPr>
              <w:spacing w:after="0"/>
              <w:rPr>
                <w:sz w:val="1"/>
                <w:szCs w:val="1"/>
                <w:color w:val="auto"/>
              </w:rPr>
            </w:pPr>
          </w:p>
        </w:tc>
      </w:tr>
      <w:tr>
        <w:trPr>
          <w:trHeight w:val="108"/>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Market Value</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Other Units</w:t>
            </w:r>
          </w:p>
        </w:tc>
        <w:tc>
          <w:tcPr>
            <w:tcW w:w="1260" w:type="dxa"/>
            <w:vAlign w:val="bottom"/>
            <w:vMerge w:val="restart"/>
          </w:tcPr>
          <w:p>
            <w:pPr>
              <w:ind w:left="100"/>
              <w:spacing w:after="0"/>
              <w:rPr>
                <w:sz w:val="20"/>
                <w:szCs w:val="20"/>
                <w:color w:val="auto"/>
              </w:rPr>
            </w:pPr>
            <w:r>
              <w:rPr>
                <w:rFonts w:ascii="Times New Roman" w:cs="Times New Roman" w:eastAsia="Times New Roman" w:hAnsi="Times New Roman"/>
                <w:sz w:val="19"/>
                <w:szCs w:val="19"/>
                <w:b w:val="1"/>
                <w:bCs w:val="1"/>
                <w:color w:val="auto"/>
              </w:rPr>
              <w:t>Date of Sale</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2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Exchange</w:t>
            </w:r>
          </w:p>
        </w:tc>
        <w:tc>
          <w:tcPr>
            <w:tcW w:w="0" w:type="dxa"/>
            <w:vAlign w:val="bottom"/>
          </w:tcPr>
          <w:p>
            <w:pPr>
              <w:spacing w:after="0"/>
              <w:rPr>
                <w:sz w:val="1"/>
                <w:szCs w:val="1"/>
                <w:color w:val="auto"/>
              </w:rPr>
            </w:pPr>
          </w:p>
        </w:tc>
      </w:tr>
      <w:tr>
        <w:trPr>
          <w:trHeight w:val="133"/>
        </w:trPr>
        <w:tc>
          <w:tcPr>
            <w:tcW w:w="122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Outstanding</w:t>
            </w:r>
          </w:p>
        </w:tc>
        <w:tc>
          <w:tcPr>
            <w:tcW w:w="12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2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4"/>
        </w:trPr>
        <w:tc>
          <w:tcPr>
            <w:tcW w:w="1220" w:type="dxa"/>
            <w:vAlign w:val="bottom"/>
          </w:tcPr>
          <w:p>
            <w:pPr>
              <w:jc w:val="right"/>
              <w:ind w:right="444"/>
              <w:spacing w:after="0"/>
              <w:rPr>
                <w:sz w:val="20"/>
                <w:szCs w:val="20"/>
                <w:color w:val="auto"/>
              </w:rPr>
            </w:pPr>
            <w:r>
              <w:rPr>
                <w:rFonts w:ascii="Times New Roman" w:cs="Times New Roman" w:eastAsia="Times New Roman" w:hAnsi="Times New Roman"/>
                <w:sz w:val="19"/>
                <w:szCs w:val="19"/>
                <w:color w:val="auto"/>
                <w:w w:val="99"/>
              </w:rPr>
              <w:t>1337600</w:t>
            </w:r>
          </w:p>
        </w:tc>
        <w:tc>
          <w:tcPr>
            <w:tcW w:w="1140" w:type="dxa"/>
            <w:vAlign w:val="bottom"/>
          </w:tcPr>
          <w:p>
            <w:pPr>
              <w:jc w:val="right"/>
              <w:ind w:right="244"/>
              <w:spacing w:after="0"/>
              <w:rPr>
                <w:sz w:val="20"/>
                <w:szCs w:val="20"/>
                <w:color w:val="auto"/>
              </w:rPr>
            </w:pPr>
            <w:r>
              <w:rPr>
                <w:rFonts w:ascii="Times New Roman" w:cs="Times New Roman" w:eastAsia="Times New Roman" w:hAnsi="Times New Roman"/>
                <w:sz w:val="19"/>
                <w:szCs w:val="19"/>
                <w:color w:val="auto"/>
              </w:rPr>
              <w:t>58046433</w:t>
            </w:r>
          </w:p>
        </w:tc>
        <w:tc>
          <w:tcPr>
            <w:tcW w:w="220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10/23/2025   NASD</w:t>
            </w:r>
          </w:p>
        </w:tc>
        <w:tc>
          <w:tcPr>
            <w:tcW w:w="0" w:type="dxa"/>
            <w:vAlign w:val="bottom"/>
          </w:tcPr>
          <w:p>
            <w:pPr>
              <w:spacing w:after="0"/>
              <w:rPr>
                <w:sz w:val="1"/>
                <w:szCs w:val="1"/>
                <w:color w:val="auto"/>
              </w:rPr>
            </w:pPr>
          </w:p>
        </w:tc>
      </w:tr>
    </w:tbl>
    <w:p>
      <w:pPr>
        <w:spacing w:after="0" w:line="417" w:lineRule="exact"/>
        <w:rPr>
          <w:sz w:val="24"/>
          <w:szCs w:val="24"/>
          <w:color w:val="auto"/>
        </w:rPr>
      </w:pPr>
    </w:p>
    <w:p>
      <w:pPr>
        <w:sectPr>
          <w:pgSz w:w="11900" w:h="16840" w:orient="portrait"/>
          <w:cols w:equalWidth="0" w:num="2">
            <w:col w:w="5660" w:space="120"/>
            <w:col w:w="4780"/>
          </w:cols>
          <w:pgMar w:left="660" w:top="592" w:right="680" w:bottom="475" w:gutter="0" w:footer="0" w:header="0"/>
          <w:type w:val="continuous"/>
        </w:sectPr>
      </w:pPr>
    </w:p>
    <w:p>
      <w:pPr>
        <w:spacing w:after="0" w:line="280"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9"/>
          <w:szCs w:val="19"/>
          <w:color w:val="auto"/>
        </w:rPr>
        <w:t>Furnish the following information with respect to the acquisition of the securities to be sold and with respect to the payment of all or any part of the purchase price or other consideration therefor:</w: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Securities To Be Sold</w:t>
      </w:r>
    </w:p>
    <w:p>
      <w:pPr>
        <w:spacing w:after="0" w:line="324" w:lineRule="exact"/>
        <w:rPr>
          <w:sz w:val="24"/>
          <w:szCs w:val="24"/>
          <w:color w:val="auto"/>
        </w:rPr>
      </w:pPr>
    </w:p>
    <w:tbl>
      <w:tblPr>
        <w:tblLayout w:type="fixed"/>
        <w:tblInd w:w="40" w:type="dxa"/>
        <w:tblCellMar>
          <w:top w:w="0" w:type="dxa"/>
          <w:left w:w="0" w:type="dxa"/>
          <w:bottom w:w="0" w:type="dxa"/>
          <w:right w:w="0" w:type="dxa"/>
        </w:tblCellMar>
      </w:tblPr>
      <w:tr>
        <w:trPr>
          <w:trHeight w:val="228"/>
        </w:trPr>
        <w:tc>
          <w:tcPr>
            <w:tcW w:w="1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Nature of</w:t>
            </w:r>
          </w:p>
        </w:tc>
        <w:tc>
          <w:tcPr>
            <w:tcW w:w="1540" w:type="dxa"/>
            <w:vAlign w:val="bottom"/>
            <w:vMerge w:val="restart"/>
          </w:tcPr>
          <w:p>
            <w:pPr>
              <w:jc w:val="center"/>
              <w:ind w:left="24"/>
              <w:spacing w:after="0"/>
              <w:rPr>
                <w:sz w:val="20"/>
                <w:szCs w:val="20"/>
                <w:color w:val="auto"/>
              </w:rPr>
            </w:pPr>
            <w:r>
              <w:rPr>
                <w:rFonts w:ascii="Times New Roman" w:cs="Times New Roman" w:eastAsia="Times New Roman" w:hAnsi="Times New Roman"/>
                <w:sz w:val="19"/>
                <w:szCs w:val="19"/>
                <w:b w:val="1"/>
                <w:bCs w:val="1"/>
                <w:color w:val="auto"/>
              </w:rPr>
              <w:t>Name of Person</w:t>
            </w:r>
          </w:p>
        </w:tc>
        <w:tc>
          <w:tcPr>
            <w:tcW w:w="5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4"/>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Date</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Amount of</w:t>
            </w:r>
          </w:p>
        </w:tc>
        <w:tc>
          <w:tcPr>
            <w:tcW w:w="9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420" w:type="dxa"/>
            <w:vAlign w:val="bottom"/>
          </w:tcPr>
          <w:p>
            <w:pPr>
              <w:spacing w:after="0"/>
              <w:rPr>
                <w:sz w:val="9"/>
                <w:szCs w:val="9"/>
                <w:color w:val="auto"/>
              </w:rPr>
            </w:pPr>
          </w:p>
        </w:tc>
        <w:tc>
          <w:tcPr>
            <w:tcW w:w="1020" w:type="dxa"/>
            <w:vAlign w:val="bottom"/>
            <w:vMerge w:val="restart"/>
          </w:tcPr>
          <w:p>
            <w:pPr>
              <w:ind w:left="80"/>
              <w:spacing w:after="0"/>
              <w:rPr>
                <w:sz w:val="20"/>
                <w:szCs w:val="20"/>
                <w:color w:val="auto"/>
              </w:rPr>
            </w:pPr>
            <w:r>
              <w:rPr>
                <w:rFonts w:ascii="Times New Roman" w:cs="Times New Roman" w:eastAsia="Times New Roman" w:hAnsi="Times New Roman"/>
                <w:sz w:val="19"/>
                <w:szCs w:val="19"/>
                <w:b w:val="1"/>
                <w:bCs w:val="1"/>
                <w:color w:val="auto"/>
              </w:rPr>
              <w:t>Date you</w:t>
            </w:r>
          </w:p>
        </w:tc>
        <w:tc>
          <w:tcPr>
            <w:tcW w:w="140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this</w:t>
            </w:r>
          </w:p>
        </w:tc>
        <w:tc>
          <w:tcPr>
            <w:tcW w:w="900" w:type="dxa"/>
            <w:vAlign w:val="bottom"/>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Date of</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Nature of Payment</w:t>
            </w:r>
          </w:p>
        </w:tc>
        <w:tc>
          <w:tcPr>
            <w:tcW w:w="0" w:type="dxa"/>
            <w:vAlign w:val="bottom"/>
          </w:tcPr>
          <w:p>
            <w:pPr>
              <w:spacing w:after="0"/>
              <w:rPr>
                <w:sz w:val="1"/>
                <w:szCs w:val="1"/>
                <w:color w:val="auto"/>
              </w:rPr>
            </w:pPr>
          </w:p>
        </w:tc>
      </w:tr>
      <w:tr>
        <w:trPr>
          <w:trHeight w:val="195"/>
        </w:trPr>
        <w:tc>
          <w:tcPr>
            <w:tcW w:w="1420" w:type="dxa"/>
            <w:vAlign w:val="bottom"/>
          </w:tcPr>
          <w:p>
            <w:pPr>
              <w:spacing w:after="0" w:line="195" w:lineRule="exact"/>
              <w:rPr>
                <w:sz w:val="20"/>
                <w:szCs w:val="20"/>
                <w:color w:val="auto"/>
              </w:rPr>
            </w:pPr>
            <w:r>
              <w:rPr>
                <w:rFonts w:ascii="Times New Roman" w:cs="Times New Roman" w:eastAsia="Times New Roman" w:hAnsi="Times New Roman"/>
                <w:sz w:val="19"/>
                <w:szCs w:val="19"/>
                <w:b w:val="1"/>
                <w:bCs w:val="1"/>
                <w:color w:val="auto"/>
              </w:rPr>
              <w:t>Title of the Class</w:t>
            </w:r>
          </w:p>
        </w:tc>
        <w:tc>
          <w:tcPr>
            <w:tcW w:w="1020" w:type="dxa"/>
            <w:vAlign w:val="bottom"/>
            <w:vMerge w:val="continue"/>
          </w:tcPr>
          <w:p>
            <w:pPr>
              <w:spacing w:after="0"/>
              <w:rPr>
                <w:sz w:val="16"/>
                <w:szCs w:val="16"/>
                <w:color w:val="auto"/>
              </w:rPr>
            </w:pPr>
          </w:p>
        </w:tc>
        <w:tc>
          <w:tcPr>
            <w:tcW w:w="1400" w:type="dxa"/>
            <w:vAlign w:val="bottom"/>
          </w:tcPr>
          <w:p>
            <w:pPr>
              <w:jc w:val="center"/>
              <w:spacing w:after="0" w:line="195" w:lineRule="exact"/>
              <w:rPr>
                <w:sz w:val="20"/>
                <w:szCs w:val="20"/>
                <w:color w:val="auto"/>
              </w:rPr>
            </w:pPr>
            <w:r>
              <w:rPr>
                <w:rFonts w:ascii="Times New Roman" w:cs="Times New Roman" w:eastAsia="Times New Roman" w:hAnsi="Times New Roman"/>
                <w:sz w:val="19"/>
                <w:szCs w:val="19"/>
                <w:b w:val="1"/>
                <w:bCs w:val="1"/>
                <w:color w:val="auto"/>
              </w:rPr>
              <w:t>Acquisition</w:t>
            </w:r>
          </w:p>
        </w:tc>
        <w:tc>
          <w:tcPr>
            <w:tcW w:w="1540" w:type="dxa"/>
            <w:vAlign w:val="bottom"/>
          </w:tcPr>
          <w:p>
            <w:pPr>
              <w:jc w:val="center"/>
              <w:ind w:left="44"/>
              <w:spacing w:after="0" w:line="195" w:lineRule="exact"/>
              <w:rPr>
                <w:sz w:val="20"/>
                <w:szCs w:val="20"/>
                <w:color w:val="auto"/>
              </w:rPr>
            </w:pPr>
            <w:r>
              <w:rPr>
                <w:rFonts w:ascii="Times New Roman" w:cs="Times New Roman" w:eastAsia="Times New Roman" w:hAnsi="Times New Roman"/>
                <w:sz w:val="19"/>
                <w:szCs w:val="19"/>
                <w:b w:val="1"/>
                <w:bCs w:val="1"/>
                <w:color w:val="auto"/>
              </w:rPr>
              <w:t>from Whom</w:t>
            </w:r>
          </w:p>
        </w:tc>
        <w:tc>
          <w:tcPr>
            <w:tcW w:w="500" w:type="dxa"/>
            <w:vAlign w:val="bottom"/>
            <w:vMerge w:val="continue"/>
          </w:tcPr>
          <w:p>
            <w:pPr>
              <w:spacing w:after="0"/>
              <w:rPr>
                <w:sz w:val="16"/>
                <w:szCs w:val="16"/>
                <w:color w:val="auto"/>
              </w:rPr>
            </w:pPr>
          </w:p>
        </w:tc>
        <w:tc>
          <w:tcPr>
            <w:tcW w:w="900" w:type="dxa"/>
            <w:vAlign w:val="bottom"/>
          </w:tcPr>
          <w:p>
            <w:pPr>
              <w:jc w:val="center"/>
              <w:ind w:right="4"/>
              <w:spacing w:after="0" w:line="195" w:lineRule="exact"/>
              <w:rPr>
                <w:sz w:val="20"/>
                <w:szCs w:val="20"/>
                <w:color w:val="auto"/>
              </w:rPr>
            </w:pPr>
            <w:r>
              <w:rPr>
                <w:rFonts w:ascii="Times New Roman" w:cs="Times New Roman" w:eastAsia="Times New Roman" w:hAnsi="Times New Roman"/>
                <w:sz w:val="19"/>
                <w:szCs w:val="19"/>
                <w:b w:val="1"/>
                <w:bCs w:val="1"/>
                <w:color w:val="auto"/>
              </w:rPr>
              <w:t>Donor</w:t>
            </w:r>
          </w:p>
        </w:tc>
        <w:tc>
          <w:tcPr>
            <w:tcW w:w="1140" w:type="dxa"/>
            <w:vAlign w:val="bottom"/>
          </w:tcPr>
          <w:p>
            <w:pPr>
              <w:jc w:val="center"/>
              <w:spacing w:after="0" w:line="195" w:lineRule="exact"/>
              <w:rPr>
                <w:sz w:val="20"/>
                <w:szCs w:val="20"/>
                <w:color w:val="auto"/>
              </w:rPr>
            </w:pPr>
            <w:r>
              <w:rPr>
                <w:rFonts w:ascii="Times New Roman" w:cs="Times New Roman" w:eastAsia="Times New Roman" w:hAnsi="Times New Roman"/>
                <w:sz w:val="19"/>
                <w:szCs w:val="19"/>
                <w:b w:val="1"/>
                <w:bCs w:val="1"/>
                <w:color w:val="auto"/>
              </w:rPr>
              <w:t>Securities</w:t>
            </w:r>
          </w:p>
        </w:tc>
        <w:tc>
          <w:tcPr>
            <w:tcW w:w="94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420" w:type="dxa"/>
            <w:vAlign w:val="bottom"/>
          </w:tcPr>
          <w:p>
            <w:pPr>
              <w:spacing w:after="0"/>
              <w:rPr>
                <w:sz w:val="13"/>
                <w:szCs w:val="13"/>
                <w:color w:val="auto"/>
              </w:rPr>
            </w:pPr>
          </w:p>
        </w:tc>
        <w:tc>
          <w:tcPr>
            <w:tcW w:w="1020" w:type="dxa"/>
            <w:vAlign w:val="bottom"/>
          </w:tcPr>
          <w:p>
            <w:pPr>
              <w:ind w:left="60"/>
              <w:spacing w:after="0" w:line="153" w:lineRule="exact"/>
              <w:rPr>
                <w:sz w:val="20"/>
                <w:szCs w:val="20"/>
                <w:color w:val="auto"/>
              </w:rPr>
            </w:pPr>
            <w:r>
              <w:rPr>
                <w:rFonts w:ascii="Times New Roman" w:cs="Times New Roman" w:eastAsia="Times New Roman" w:hAnsi="Times New Roman"/>
                <w:sz w:val="17"/>
                <w:szCs w:val="17"/>
                <w:b w:val="1"/>
                <w:bCs w:val="1"/>
                <w:color w:val="auto"/>
              </w:rPr>
              <w:t>Acquired</w:t>
            </w: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Transaction</w:t>
            </w:r>
          </w:p>
        </w:tc>
        <w:tc>
          <w:tcPr>
            <w:tcW w:w="1540" w:type="dxa"/>
            <w:vAlign w:val="bottom"/>
            <w:vMerge w:val="restart"/>
          </w:tcPr>
          <w:p>
            <w:pPr>
              <w:jc w:val="center"/>
              <w:ind w:left="44"/>
              <w:spacing w:after="0"/>
              <w:rPr>
                <w:sz w:val="20"/>
                <w:szCs w:val="20"/>
                <w:color w:val="auto"/>
              </w:rPr>
            </w:pPr>
            <w:r>
              <w:rPr>
                <w:rFonts w:ascii="Times New Roman" w:cs="Times New Roman" w:eastAsia="Times New Roman" w:hAnsi="Times New Roman"/>
                <w:sz w:val="19"/>
                <w:szCs w:val="19"/>
                <w:b w:val="1"/>
                <w:bCs w:val="1"/>
                <w:color w:val="auto"/>
                <w:w w:val="99"/>
              </w:rPr>
              <w:t>Acquired</w:t>
            </w:r>
          </w:p>
        </w:tc>
        <w:tc>
          <w:tcPr>
            <w:tcW w:w="500" w:type="dxa"/>
            <w:vAlign w:val="bottom"/>
          </w:tcPr>
          <w:p>
            <w:pPr>
              <w:jc w:val="center"/>
              <w:spacing w:after="0" w:line="153" w:lineRule="exact"/>
              <w:rPr>
                <w:sz w:val="20"/>
                <w:szCs w:val="20"/>
                <w:color w:val="auto"/>
              </w:rPr>
            </w:pPr>
            <w:r>
              <w:rPr>
                <w:rFonts w:ascii="Times New Roman" w:cs="Times New Roman" w:eastAsia="Times New Roman" w:hAnsi="Times New Roman"/>
                <w:sz w:val="17"/>
                <w:szCs w:val="17"/>
                <w:b w:val="1"/>
                <w:bCs w:val="1"/>
                <w:color w:val="auto"/>
              </w:rPr>
              <w:t>a</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Acquired</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Acquired</w:t>
            </w:r>
          </w:p>
        </w:tc>
        <w:tc>
          <w:tcPr>
            <w:tcW w:w="940" w:type="dxa"/>
            <w:vAlign w:val="bottom"/>
          </w:tcPr>
          <w:p>
            <w:pPr>
              <w:jc w:val="center"/>
              <w:spacing w:after="0" w:line="153" w:lineRule="exact"/>
              <w:rPr>
                <w:sz w:val="20"/>
                <w:szCs w:val="20"/>
                <w:color w:val="auto"/>
              </w:rPr>
            </w:pPr>
            <w:r>
              <w:rPr>
                <w:rFonts w:ascii="Times New Roman" w:cs="Times New Roman" w:eastAsia="Times New Roman" w:hAnsi="Times New Roman"/>
                <w:sz w:val="17"/>
                <w:szCs w:val="17"/>
                <w:b w:val="1"/>
                <w:bCs w:val="1"/>
                <w:color w:val="auto"/>
              </w:rPr>
              <w:t>Payment</w:t>
            </w:r>
          </w:p>
        </w:tc>
        <w:tc>
          <w:tcPr>
            <w:tcW w:w="1620" w:type="dxa"/>
            <w:vAlign w:val="bottom"/>
          </w:tcPr>
          <w:p>
            <w:pPr>
              <w:jc w:val="right"/>
              <w:ind w:right="649"/>
              <w:spacing w:after="0" w:line="153" w:lineRule="exact"/>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3"/>
        </w:trPr>
        <w:tc>
          <w:tcPr>
            <w:tcW w:w="1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400" w:type="dxa"/>
            <w:vAlign w:val="bottom"/>
            <w:vMerge w:val="continue"/>
          </w:tcPr>
          <w:p>
            <w:pPr>
              <w:spacing w:after="0"/>
              <w:rPr>
                <w:sz w:val="22"/>
                <w:szCs w:val="22"/>
                <w:color w:val="auto"/>
              </w:rPr>
            </w:pPr>
          </w:p>
        </w:tc>
        <w:tc>
          <w:tcPr>
            <w:tcW w:w="1540" w:type="dxa"/>
            <w:vAlign w:val="bottom"/>
            <w:vMerge w:val="continue"/>
          </w:tcPr>
          <w:p>
            <w:pPr>
              <w:spacing w:after="0"/>
              <w:rPr>
                <w:sz w:val="22"/>
                <w:szCs w:val="2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Gift?</w:t>
            </w:r>
          </w:p>
        </w:tc>
        <w:tc>
          <w:tcPr>
            <w:tcW w:w="900" w:type="dxa"/>
            <w:vAlign w:val="bottom"/>
            <w:vMerge w:val="continue"/>
          </w:tcPr>
          <w:p>
            <w:pPr>
              <w:spacing w:after="0"/>
              <w:rPr>
                <w:sz w:val="22"/>
                <w:szCs w:val="22"/>
                <w:color w:val="auto"/>
              </w:rPr>
            </w:pPr>
          </w:p>
        </w:tc>
        <w:tc>
          <w:tcPr>
            <w:tcW w:w="1140" w:type="dxa"/>
            <w:vAlign w:val="bottom"/>
            <w:vMerge w:val="continue"/>
          </w:tcPr>
          <w:p>
            <w:pPr>
              <w:spacing w:after="0"/>
              <w:rPr>
                <w:sz w:val="22"/>
                <w:szCs w:val="22"/>
                <w:color w:val="auto"/>
              </w:rPr>
            </w:pPr>
          </w:p>
        </w:tc>
        <w:tc>
          <w:tcPr>
            <w:tcW w:w="9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40" w:orient="portrait"/>
          <w:cols w:equalWidth="0" w:num="1">
            <w:col w:w="10560"/>
          </w:cols>
          <w:pgMar w:left="660" w:top="592" w:right="680" w:bottom="475"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1300" w:type="dxa"/>
            <w:vAlign w:val="bottom"/>
          </w:tcPr>
          <w:p>
            <w:pPr>
              <w:spacing w:after="0"/>
              <w:rPr>
                <w:sz w:val="19"/>
                <w:szCs w:val="19"/>
                <w:color w:val="auto"/>
              </w:rPr>
            </w:pPr>
          </w:p>
        </w:tc>
        <w:tc>
          <w:tcPr>
            <w:tcW w:w="2480" w:type="dxa"/>
            <w:vAlign w:val="bottom"/>
          </w:tcPr>
          <w:p>
            <w:pPr>
              <w:ind w:left="1040"/>
              <w:spacing w:after="0"/>
              <w:rPr>
                <w:sz w:val="20"/>
                <w:szCs w:val="20"/>
                <w:color w:val="auto"/>
              </w:rPr>
            </w:pPr>
            <w:r>
              <w:rPr>
                <w:rFonts w:ascii="Times New Roman" w:cs="Times New Roman" w:eastAsia="Times New Roman" w:hAnsi="Times New Roman"/>
                <w:sz w:val="19"/>
                <w:szCs w:val="19"/>
                <w:color w:val="auto"/>
              </w:rPr>
              <w:t>Acquired as</w:t>
            </w:r>
          </w:p>
        </w:tc>
        <w:tc>
          <w:tcPr>
            <w:tcW w:w="198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2020" w:type="dxa"/>
            <w:vAlign w:val="bottom"/>
          </w:tcPr>
          <w:p>
            <w:pPr>
              <w:spacing w:after="0"/>
              <w:rPr>
                <w:sz w:val="19"/>
                <w:szCs w:val="19"/>
                <w:color w:val="auto"/>
              </w:rPr>
            </w:pPr>
          </w:p>
        </w:tc>
      </w:tr>
      <w:tr>
        <w:trPr>
          <w:trHeight w:val="301"/>
        </w:trPr>
        <w:tc>
          <w:tcPr>
            <w:tcW w:w="1300" w:type="dxa"/>
            <w:vAlign w:val="bottom"/>
          </w:tcPr>
          <w:p>
            <w:pPr>
              <w:spacing w:after="0"/>
              <w:rPr>
                <w:sz w:val="20"/>
                <w:szCs w:val="20"/>
                <w:color w:val="auto"/>
              </w:rPr>
            </w:pPr>
            <w:r>
              <w:rPr>
                <w:rFonts w:ascii="Times New Roman" w:cs="Times New Roman" w:eastAsia="Times New Roman" w:hAnsi="Times New Roman"/>
                <w:sz w:val="19"/>
                <w:szCs w:val="19"/>
                <w:color w:val="auto"/>
              </w:rPr>
              <w:t>Common Stock</w:t>
            </w:r>
          </w:p>
        </w:tc>
        <w:tc>
          <w:tcPr>
            <w:tcW w:w="2480" w:type="dxa"/>
            <w:vAlign w:val="bottom"/>
          </w:tcPr>
          <w:p>
            <w:pPr>
              <w:ind w:left="120"/>
              <w:spacing w:after="0" w:line="300" w:lineRule="exact"/>
              <w:rPr>
                <w:sz w:val="20"/>
                <w:szCs w:val="20"/>
                <w:color w:val="auto"/>
              </w:rPr>
            </w:pPr>
            <w:r>
              <w:rPr>
                <w:rFonts w:ascii="Times New Roman" w:cs="Times New Roman" w:eastAsia="Times New Roman" w:hAnsi="Times New Roman"/>
                <w:sz w:val="34"/>
                <w:szCs w:val="34"/>
                <w:color w:val="auto"/>
                <w:vertAlign w:val="subscript"/>
              </w:rPr>
              <w:t>10/02/2025</w:t>
            </w:r>
            <w:r>
              <w:rPr>
                <w:rFonts w:ascii="Times New Roman" w:cs="Times New Roman" w:eastAsia="Times New Roman" w:hAnsi="Times New Roman"/>
                <w:sz w:val="18"/>
                <w:szCs w:val="18"/>
                <w:color w:val="auto"/>
              </w:rPr>
              <w:t xml:space="preserve"> consideration of</w:t>
            </w:r>
          </w:p>
        </w:tc>
        <w:tc>
          <w:tcPr>
            <w:tcW w:w="19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The Issuer</w:t>
            </w:r>
          </w:p>
        </w:tc>
        <w:tc>
          <w:tcPr>
            <w:tcW w:w="1880" w:type="dxa"/>
            <w:vAlign w:val="bottom"/>
          </w:tcPr>
          <w:p>
            <w:pPr>
              <w:jc w:val="right"/>
              <w:ind w:right="224"/>
              <w:spacing w:after="0"/>
              <w:rPr>
                <w:sz w:val="20"/>
                <w:szCs w:val="20"/>
                <w:color w:val="auto"/>
              </w:rPr>
            </w:pPr>
            <w:r>
              <w:rPr>
                <w:rFonts w:ascii="Times New Roman" w:cs="Times New Roman" w:eastAsia="Times New Roman" w:hAnsi="Times New Roman"/>
                <w:sz w:val="19"/>
                <w:szCs w:val="19"/>
                <w:color w:val="auto"/>
              </w:rPr>
              <w:t>440000</w:t>
            </w:r>
          </w:p>
        </w:tc>
        <w:tc>
          <w:tcPr>
            <w:tcW w:w="2020" w:type="dxa"/>
            <w:vAlign w:val="bottom"/>
          </w:tcPr>
          <w:p>
            <w:pPr>
              <w:ind w:left="340"/>
              <w:spacing w:after="0"/>
              <w:rPr>
                <w:sz w:val="20"/>
                <w:szCs w:val="20"/>
                <w:color w:val="auto"/>
              </w:rPr>
            </w:pPr>
            <w:r>
              <w:rPr>
                <w:rFonts w:ascii="Times New Roman" w:cs="Times New Roman" w:eastAsia="Times New Roman" w:hAnsi="Times New Roman"/>
                <w:sz w:val="19"/>
                <w:szCs w:val="19"/>
                <w:color w:val="auto"/>
                <w:w w:val="99"/>
              </w:rPr>
              <w:t>10/02/2025 Securities</w:t>
            </w:r>
          </w:p>
        </w:tc>
      </w:tr>
      <w:tr>
        <w:trPr>
          <w:trHeight w:val="177"/>
        </w:trPr>
        <w:tc>
          <w:tcPr>
            <w:tcW w:w="1300" w:type="dxa"/>
            <w:vAlign w:val="bottom"/>
          </w:tcPr>
          <w:p>
            <w:pPr>
              <w:spacing w:after="0"/>
              <w:rPr>
                <w:sz w:val="15"/>
                <w:szCs w:val="15"/>
                <w:color w:val="auto"/>
              </w:rPr>
            </w:pPr>
          </w:p>
        </w:tc>
        <w:tc>
          <w:tcPr>
            <w:tcW w:w="2480" w:type="dxa"/>
            <w:vAlign w:val="bottom"/>
          </w:tcPr>
          <w:p>
            <w:pPr>
              <w:ind w:left="1040"/>
              <w:spacing w:after="0" w:line="177" w:lineRule="exact"/>
              <w:rPr>
                <w:sz w:val="20"/>
                <w:szCs w:val="20"/>
                <w:color w:val="auto"/>
              </w:rPr>
            </w:pPr>
            <w:r>
              <w:rPr>
                <w:rFonts w:ascii="Times New Roman" w:cs="Times New Roman" w:eastAsia="Times New Roman" w:hAnsi="Times New Roman"/>
                <w:sz w:val="19"/>
                <w:szCs w:val="19"/>
                <w:color w:val="auto"/>
              </w:rPr>
              <w:t>merger or</w:t>
            </w:r>
          </w:p>
        </w:tc>
        <w:tc>
          <w:tcPr>
            <w:tcW w:w="19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0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3464560</wp:posOffset>
            </wp:positionH>
            <wp:positionV relativeFrom="paragraph">
              <wp:posOffset>-241300</wp:posOffset>
            </wp:positionV>
            <wp:extent cx="114300" cy="114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ind w:left="2380"/>
        <w:spacing w:after="0"/>
        <w:rPr>
          <w:sz w:val="20"/>
          <w:szCs w:val="20"/>
          <w:color w:val="auto"/>
        </w:rPr>
      </w:pPr>
      <w:r>
        <w:rPr>
          <w:rFonts w:ascii="Times New Roman" w:cs="Times New Roman" w:eastAsia="Times New Roman" w:hAnsi="Times New Roman"/>
          <w:sz w:val="19"/>
          <w:szCs w:val="19"/>
          <w:color w:val="auto"/>
        </w:rPr>
        <w:t>acquisition</w:t>
      </w:r>
    </w:p>
    <w:p>
      <w:pPr>
        <w:spacing w:after="0" w:line="252" w:lineRule="exact"/>
        <w:rPr>
          <w:sz w:val="20"/>
          <w:szCs w:val="20"/>
          <w:color w:val="auto"/>
        </w:rPr>
      </w:pPr>
    </w:p>
    <w:p>
      <w:pPr>
        <w:jc w:val="both"/>
        <w:ind w:firstLine="6"/>
        <w:spacing w:after="0" w:line="268" w:lineRule="auto"/>
        <w:tabs>
          <w:tab w:leader="none" w:pos="145" w:val="left"/>
        </w:tabs>
        <w:numPr>
          <w:ilvl w:val="0"/>
          <w:numId w:val="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9"/>
          <w:szCs w:val="19"/>
          <w:color w:val="auto"/>
        </w:rPr>
        <w:t>Furnish the following information as to all securities of the issuer sold during the past 3 months by the person for whose account the securities are to be sold.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Securities Sold During The Past 3 Months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240" w:type="dxa"/>
            <w:vAlign w:val="bottom"/>
            <w:gridSpan w:val="2"/>
            <w:vMerge w:val="restart"/>
          </w:tcPr>
          <w:p>
            <w:pPr>
              <w:ind w:left="580"/>
              <w:spacing w:after="0"/>
              <w:rPr>
                <w:sz w:val="20"/>
                <w:szCs w:val="20"/>
                <w:color w:val="auto"/>
              </w:rPr>
            </w:pPr>
            <w:r>
              <w:rPr>
                <w:rFonts w:ascii="Times New Roman" w:cs="Times New Roman" w:eastAsia="Times New Roman" w:hAnsi="Times New Roman"/>
                <w:sz w:val="19"/>
                <w:szCs w:val="19"/>
                <w:b w:val="1"/>
                <w:bCs w:val="1"/>
                <w:color w:val="auto"/>
              </w:rPr>
              <w:t>Name and Address of Seller</w:t>
            </w:r>
          </w:p>
        </w:tc>
        <w:tc>
          <w:tcPr>
            <w:tcW w:w="3260" w:type="dxa"/>
            <w:vAlign w:val="bottom"/>
            <w:vMerge w:val="restart"/>
          </w:tcPr>
          <w:p>
            <w:pPr>
              <w:ind w:left="1000"/>
              <w:spacing w:after="0"/>
              <w:rPr>
                <w:sz w:val="20"/>
                <w:szCs w:val="20"/>
                <w:color w:val="auto"/>
              </w:rPr>
            </w:pPr>
            <w:r>
              <w:rPr>
                <w:rFonts w:ascii="Times New Roman" w:cs="Times New Roman" w:eastAsia="Times New Roman" w:hAnsi="Times New Roman"/>
                <w:sz w:val="19"/>
                <w:szCs w:val="19"/>
                <w:b w:val="1"/>
                <w:bCs w:val="1"/>
                <w:color w:val="auto"/>
              </w:rPr>
              <w:t>Title of Securities Sold</w:t>
            </w:r>
          </w:p>
        </w:tc>
        <w:tc>
          <w:tcPr>
            <w:tcW w:w="1240" w:type="dxa"/>
            <w:vAlign w:val="bottom"/>
          </w:tcPr>
          <w:p>
            <w:pPr>
              <w:jc w:val="center"/>
              <w:ind w:left="364"/>
              <w:spacing w:after="0"/>
              <w:rPr>
                <w:sz w:val="20"/>
                <w:szCs w:val="20"/>
                <w:color w:val="auto"/>
              </w:rPr>
            </w:pPr>
            <w:r>
              <w:rPr>
                <w:rFonts w:ascii="Times New Roman" w:cs="Times New Roman" w:eastAsia="Times New Roman" w:hAnsi="Times New Roman"/>
                <w:sz w:val="19"/>
                <w:szCs w:val="19"/>
                <w:b w:val="1"/>
                <w:bCs w:val="1"/>
                <w:color w:val="auto"/>
                <w:w w:val="98"/>
              </w:rPr>
              <w:t>Date of</w:t>
            </w:r>
          </w:p>
        </w:tc>
        <w:tc>
          <w:tcPr>
            <w:tcW w:w="13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Amount of</w:t>
            </w:r>
          </w:p>
        </w:tc>
        <w:tc>
          <w:tcPr>
            <w:tcW w:w="1380" w:type="dxa"/>
            <w:vAlign w:val="bottom"/>
            <w:vMerge w:val="restart"/>
          </w:tcPr>
          <w:p>
            <w:pPr>
              <w:ind w:left="100"/>
              <w:spacing w:after="0"/>
              <w:rPr>
                <w:sz w:val="20"/>
                <w:szCs w:val="20"/>
                <w:color w:val="auto"/>
              </w:rPr>
            </w:pPr>
            <w:r>
              <w:rPr>
                <w:rFonts w:ascii="Times New Roman" w:cs="Times New Roman" w:eastAsia="Times New Roman" w:hAnsi="Times New Roman"/>
                <w:sz w:val="19"/>
                <w:szCs w:val="19"/>
                <w:b w:val="1"/>
                <w:bCs w:val="1"/>
                <w:color w:val="auto"/>
              </w:rPr>
              <w:t>Gross Proceeds</w:t>
            </w:r>
          </w:p>
        </w:tc>
        <w:tc>
          <w:tcPr>
            <w:tcW w:w="0" w:type="dxa"/>
            <w:vAlign w:val="bottom"/>
          </w:tcPr>
          <w:p>
            <w:pPr>
              <w:spacing w:after="0"/>
              <w:rPr>
                <w:sz w:val="1"/>
                <w:szCs w:val="1"/>
                <w:color w:val="auto"/>
              </w:rPr>
            </w:pPr>
          </w:p>
        </w:tc>
      </w:tr>
      <w:tr>
        <w:trPr>
          <w:trHeight w:val="253"/>
        </w:trPr>
        <w:tc>
          <w:tcPr>
            <w:tcW w:w="3240" w:type="dxa"/>
            <w:vAlign w:val="bottom"/>
            <w:gridSpan w:val="2"/>
            <w:vMerge w:val="continue"/>
          </w:tcPr>
          <w:p>
            <w:pPr>
              <w:spacing w:after="0"/>
              <w:rPr>
                <w:sz w:val="22"/>
                <w:szCs w:val="22"/>
                <w:color w:val="auto"/>
              </w:rPr>
            </w:pPr>
          </w:p>
        </w:tc>
        <w:tc>
          <w:tcPr>
            <w:tcW w:w="3260" w:type="dxa"/>
            <w:vAlign w:val="bottom"/>
            <w:vMerge w:val="continue"/>
          </w:tcPr>
          <w:p>
            <w:pPr>
              <w:spacing w:after="0"/>
              <w:rPr>
                <w:sz w:val="22"/>
                <w:szCs w:val="22"/>
                <w:color w:val="auto"/>
              </w:rPr>
            </w:pPr>
          </w:p>
        </w:tc>
        <w:tc>
          <w:tcPr>
            <w:tcW w:w="1240" w:type="dxa"/>
            <w:vAlign w:val="bottom"/>
          </w:tcPr>
          <w:p>
            <w:pPr>
              <w:jc w:val="center"/>
              <w:ind w:left="364"/>
              <w:spacing w:after="0"/>
              <w:rPr>
                <w:sz w:val="20"/>
                <w:szCs w:val="20"/>
                <w:color w:val="auto"/>
              </w:rPr>
            </w:pPr>
            <w:r>
              <w:rPr>
                <w:rFonts w:ascii="Times New Roman" w:cs="Times New Roman" w:eastAsia="Times New Roman" w:hAnsi="Times New Roman"/>
                <w:sz w:val="19"/>
                <w:szCs w:val="19"/>
                <w:b w:val="1"/>
                <w:bCs w:val="1"/>
                <w:color w:val="auto"/>
              </w:rPr>
              <w:t>Sale</w:t>
            </w:r>
          </w:p>
        </w:tc>
        <w:tc>
          <w:tcPr>
            <w:tcW w:w="13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Securities Sold</w:t>
            </w:r>
          </w:p>
        </w:tc>
        <w:tc>
          <w:tcPr>
            <w:tcW w:w="1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11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WE-Inn LLC</w:t>
            </w:r>
          </w:p>
        </w:tc>
        <w:tc>
          <w:tcPr>
            <w:tcW w:w="206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324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6900 Tavistock Lakes Blvd</w:t>
            </w:r>
          </w:p>
        </w:tc>
        <w:tc>
          <w:tcPr>
            <w:tcW w:w="3260" w:type="dxa"/>
            <w:vAlign w:val="bottom"/>
            <w:vMerge w:val="restart"/>
          </w:tcPr>
          <w:p>
            <w:pPr>
              <w:ind w:left="220"/>
              <w:spacing w:after="0"/>
              <w:rPr>
                <w:sz w:val="20"/>
                <w:szCs w:val="20"/>
                <w:color w:val="auto"/>
              </w:rPr>
            </w:pPr>
            <w:r>
              <w:rPr>
                <w:rFonts w:ascii="Times New Roman" w:cs="Times New Roman" w:eastAsia="Times New Roman" w:hAnsi="Times New Roman"/>
                <w:sz w:val="19"/>
                <w:szCs w:val="19"/>
                <w:color w:val="auto"/>
              </w:rPr>
              <w:t>Common Stock</w:t>
            </w:r>
          </w:p>
        </w:tc>
        <w:tc>
          <w:tcPr>
            <w:tcW w:w="25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9"/>
                <w:szCs w:val="19"/>
                <w:color w:val="auto"/>
              </w:rPr>
              <w:t>10/10/2025 2300</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9"/>
                <w:szCs w:val="19"/>
                <w:color w:val="auto"/>
              </w:rPr>
              <w:t>9235.65</w:t>
            </w:r>
          </w:p>
        </w:tc>
        <w:tc>
          <w:tcPr>
            <w:tcW w:w="0" w:type="dxa"/>
            <w:vAlign w:val="bottom"/>
          </w:tcPr>
          <w:p>
            <w:pPr>
              <w:spacing w:after="0"/>
              <w:rPr>
                <w:sz w:val="1"/>
                <w:szCs w:val="1"/>
                <w:color w:val="auto"/>
              </w:rPr>
            </w:pPr>
          </w:p>
        </w:tc>
      </w:tr>
      <w:tr>
        <w:trPr>
          <w:trHeight w:val="131"/>
        </w:trPr>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Suite 400</w:t>
            </w:r>
          </w:p>
        </w:tc>
        <w:tc>
          <w:tcPr>
            <w:tcW w:w="2060" w:type="dxa"/>
            <w:vAlign w:val="bottom"/>
          </w:tcPr>
          <w:p>
            <w:pPr>
              <w:spacing w:after="0"/>
              <w:rPr>
                <w:sz w:val="11"/>
                <w:szCs w:val="11"/>
                <w:color w:val="auto"/>
              </w:rPr>
            </w:pPr>
          </w:p>
        </w:tc>
        <w:tc>
          <w:tcPr>
            <w:tcW w:w="3260" w:type="dxa"/>
            <w:vAlign w:val="bottom"/>
            <w:vMerge w:val="continue"/>
          </w:tcPr>
          <w:p>
            <w:pPr>
              <w:spacing w:after="0"/>
              <w:rPr>
                <w:sz w:val="11"/>
                <w:szCs w:val="11"/>
                <w:color w:val="auto"/>
              </w:rPr>
            </w:pPr>
          </w:p>
        </w:tc>
        <w:tc>
          <w:tcPr>
            <w:tcW w:w="2580" w:type="dxa"/>
            <w:vAlign w:val="bottom"/>
            <w:gridSpan w:val="2"/>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1180" w:type="dxa"/>
            <w:vAlign w:val="bottom"/>
            <w:vMerge w:val="continue"/>
          </w:tcPr>
          <w:p>
            <w:pPr>
              <w:spacing w:after="0"/>
              <w:rPr>
                <w:sz w:val="8"/>
                <w:szCs w:val="8"/>
                <w:color w:val="auto"/>
              </w:rPr>
            </w:pPr>
          </w:p>
        </w:tc>
        <w:tc>
          <w:tcPr>
            <w:tcW w:w="206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11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Orlando  FL</w:t>
            </w:r>
          </w:p>
        </w:tc>
        <w:tc>
          <w:tcPr>
            <w:tcW w:w="2060" w:type="dxa"/>
            <w:vAlign w:val="bottom"/>
          </w:tcPr>
          <w:p>
            <w:pPr>
              <w:jc w:val="right"/>
              <w:ind w:right="1484"/>
              <w:spacing w:after="0"/>
              <w:rPr>
                <w:sz w:val="20"/>
                <w:szCs w:val="20"/>
                <w:color w:val="auto"/>
              </w:rPr>
            </w:pPr>
            <w:r>
              <w:rPr>
                <w:rFonts w:ascii="Times New Roman" w:cs="Times New Roman" w:eastAsia="Times New Roman" w:hAnsi="Times New Roman"/>
                <w:sz w:val="19"/>
                <w:szCs w:val="19"/>
                <w:color w:val="auto"/>
                <w:w w:val="96"/>
              </w:rPr>
              <w:t>32827</w:t>
            </w:r>
          </w:p>
        </w:tc>
        <w:tc>
          <w:tcPr>
            <w:tcW w:w="3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11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WE-Inn LLC</w:t>
            </w:r>
          </w:p>
        </w:tc>
        <w:tc>
          <w:tcPr>
            <w:tcW w:w="206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324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6900 Tavistock Lakes Blvd</w:t>
            </w:r>
          </w:p>
        </w:tc>
        <w:tc>
          <w:tcPr>
            <w:tcW w:w="3260" w:type="dxa"/>
            <w:vAlign w:val="bottom"/>
            <w:vMerge w:val="restart"/>
          </w:tcPr>
          <w:p>
            <w:pPr>
              <w:ind w:left="220"/>
              <w:spacing w:after="0"/>
              <w:rPr>
                <w:sz w:val="20"/>
                <w:szCs w:val="20"/>
                <w:color w:val="auto"/>
              </w:rPr>
            </w:pPr>
            <w:r>
              <w:rPr>
                <w:rFonts w:ascii="Times New Roman" w:cs="Times New Roman" w:eastAsia="Times New Roman" w:hAnsi="Times New Roman"/>
                <w:sz w:val="19"/>
                <w:szCs w:val="19"/>
                <w:color w:val="auto"/>
              </w:rPr>
              <w:t>Common Stock</w:t>
            </w:r>
          </w:p>
        </w:tc>
        <w:tc>
          <w:tcPr>
            <w:tcW w:w="25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9"/>
                <w:szCs w:val="19"/>
                <w:color w:val="auto"/>
              </w:rPr>
              <w:t>10/22/2025 436296</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9"/>
                <w:szCs w:val="19"/>
                <w:color w:val="auto"/>
              </w:rPr>
              <w:t>1317613.92</w:t>
            </w:r>
          </w:p>
        </w:tc>
        <w:tc>
          <w:tcPr>
            <w:tcW w:w="0" w:type="dxa"/>
            <w:vAlign w:val="bottom"/>
          </w:tcPr>
          <w:p>
            <w:pPr>
              <w:spacing w:after="0"/>
              <w:rPr>
                <w:sz w:val="1"/>
                <w:szCs w:val="1"/>
                <w:color w:val="auto"/>
              </w:rPr>
            </w:pPr>
          </w:p>
        </w:tc>
      </w:tr>
      <w:tr>
        <w:trPr>
          <w:trHeight w:val="131"/>
        </w:trPr>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Suite 400</w:t>
            </w:r>
          </w:p>
        </w:tc>
        <w:tc>
          <w:tcPr>
            <w:tcW w:w="2060" w:type="dxa"/>
            <w:vAlign w:val="bottom"/>
          </w:tcPr>
          <w:p>
            <w:pPr>
              <w:spacing w:after="0"/>
              <w:rPr>
                <w:sz w:val="11"/>
                <w:szCs w:val="11"/>
                <w:color w:val="auto"/>
              </w:rPr>
            </w:pPr>
          </w:p>
        </w:tc>
        <w:tc>
          <w:tcPr>
            <w:tcW w:w="3260" w:type="dxa"/>
            <w:vAlign w:val="bottom"/>
            <w:vMerge w:val="continue"/>
          </w:tcPr>
          <w:p>
            <w:pPr>
              <w:spacing w:after="0"/>
              <w:rPr>
                <w:sz w:val="11"/>
                <w:szCs w:val="11"/>
                <w:color w:val="auto"/>
              </w:rPr>
            </w:pPr>
          </w:p>
        </w:tc>
        <w:tc>
          <w:tcPr>
            <w:tcW w:w="2580" w:type="dxa"/>
            <w:vAlign w:val="bottom"/>
            <w:gridSpan w:val="2"/>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1180" w:type="dxa"/>
            <w:vAlign w:val="bottom"/>
            <w:vMerge w:val="continue"/>
          </w:tcPr>
          <w:p>
            <w:pPr>
              <w:spacing w:after="0"/>
              <w:rPr>
                <w:sz w:val="8"/>
                <w:szCs w:val="8"/>
                <w:color w:val="auto"/>
              </w:rPr>
            </w:pPr>
          </w:p>
        </w:tc>
        <w:tc>
          <w:tcPr>
            <w:tcW w:w="206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11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Orlando  FL</w:t>
            </w:r>
          </w:p>
        </w:tc>
        <w:tc>
          <w:tcPr>
            <w:tcW w:w="2060" w:type="dxa"/>
            <w:vAlign w:val="bottom"/>
          </w:tcPr>
          <w:p>
            <w:pPr>
              <w:jc w:val="right"/>
              <w:ind w:right="1484"/>
              <w:spacing w:after="0"/>
              <w:rPr>
                <w:sz w:val="20"/>
                <w:szCs w:val="20"/>
                <w:color w:val="auto"/>
              </w:rPr>
            </w:pPr>
            <w:r>
              <w:rPr>
                <w:rFonts w:ascii="Times New Roman" w:cs="Times New Roman" w:eastAsia="Times New Roman" w:hAnsi="Times New Roman"/>
                <w:sz w:val="19"/>
                <w:szCs w:val="19"/>
                <w:color w:val="auto"/>
                <w:w w:val="96"/>
              </w:rPr>
              <w:t>32827</w:t>
            </w:r>
          </w:p>
        </w:tc>
        <w:tc>
          <w:tcPr>
            <w:tcW w:w="3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11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WE-Inn LLC</w:t>
            </w:r>
          </w:p>
        </w:tc>
        <w:tc>
          <w:tcPr>
            <w:tcW w:w="206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324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6900 Tavistock Lakes Blvd</w:t>
            </w:r>
          </w:p>
        </w:tc>
        <w:tc>
          <w:tcPr>
            <w:tcW w:w="3260" w:type="dxa"/>
            <w:vAlign w:val="bottom"/>
            <w:vMerge w:val="restart"/>
          </w:tcPr>
          <w:p>
            <w:pPr>
              <w:ind w:left="220"/>
              <w:spacing w:after="0"/>
              <w:rPr>
                <w:sz w:val="20"/>
                <w:szCs w:val="20"/>
                <w:color w:val="auto"/>
              </w:rPr>
            </w:pPr>
            <w:r>
              <w:rPr>
                <w:rFonts w:ascii="Times New Roman" w:cs="Times New Roman" w:eastAsia="Times New Roman" w:hAnsi="Times New Roman"/>
                <w:sz w:val="19"/>
                <w:szCs w:val="19"/>
                <w:color w:val="auto"/>
              </w:rPr>
              <w:t>Common Stock</w:t>
            </w:r>
          </w:p>
        </w:tc>
        <w:tc>
          <w:tcPr>
            <w:tcW w:w="2580" w:type="dxa"/>
            <w:vAlign w:val="bottom"/>
            <w:gridSpan w:val="2"/>
            <w:vMerge w:val="restart"/>
          </w:tcPr>
          <w:p>
            <w:pPr>
              <w:ind w:left="400"/>
              <w:spacing w:after="0"/>
              <w:rPr>
                <w:sz w:val="20"/>
                <w:szCs w:val="20"/>
                <w:color w:val="auto"/>
              </w:rPr>
            </w:pPr>
            <w:r>
              <w:rPr>
                <w:rFonts w:ascii="Times New Roman" w:cs="Times New Roman" w:eastAsia="Times New Roman" w:hAnsi="Times New Roman"/>
                <w:sz w:val="19"/>
                <w:szCs w:val="19"/>
                <w:color w:val="auto"/>
              </w:rPr>
              <w:t>10/23/2025 121404</w:t>
            </w:r>
          </w:p>
        </w:tc>
        <w:tc>
          <w:tcPr>
            <w:tcW w:w="1380" w:type="dxa"/>
            <w:vAlign w:val="bottom"/>
            <w:vMerge w:val="restart"/>
          </w:tcPr>
          <w:p>
            <w:pPr>
              <w:ind w:left="20"/>
              <w:spacing w:after="0"/>
              <w:rPr>
                <w:sz w:val="20"/>
                <w:szCs w:val="20"/>
                <w:color w:val="auto"/>
              </w:rPr>
            </w:pPr>
            <w:r>
              <w:rPr>
                <w:rFonts w:ascii="Times New Roman" w:cs="Times New Roman" w:eastAsia="Times New Roman" w:hAnsi="Times New Roman"/>
                <w:sz w:val="19"/>
                <w:szCs w:val="19"/>
                <w:color w:val="auto"/>
              </w:rPr>
              <w:t>379921.68</w:t>
            </w:r>
          </w:p>
        </w:tc>
        <w:tc>
          <w:tcPr>
            <w:tcW w:w="0" w:type="dxa"/>
            <w:vAlign w:val="bottom"/>
          </w:tcPr>
          <w:p>
            <w:pPr>
              <w:spacing w:after="0"/>
              <w:rPr>
                <w:sz w:val="1"/>
                <w:szCs w:val="1"/>
                <w:color w:val="auto"/>
              </w:rPr>
            </w:pPr>
          </w:p>
        </w:tc>
      </w:tr>
      <w:tr>
        <w:trPr>
          <w:trHeight w:val="131"/>
        </w:trPr>
        <w:tc>
          <w:tcPr>
            <w:tcW w:w="1180" w:type="dxa"/>
            <w:vAlign w:val="bottom"/>
            <w:vMerge w:val="restart"/>
          </w:tcPr>
          <w:p>
            <w:pPr>
              <w:ind w:left="40"/>
              <w:spacing w:after="0"/>
              <w:rPr>
                <w:sz w:val="20"/>
                <w:szCs w:val="20"/>
                <w:color w:val="auto"/>
              </w:rPr>
            </w:pPr>
            <w:r>
              <w:rPr>
                <w:rFonts w:ascii="Times New Roman" w:cs="Times New Roman" w:eastAsia="Times New Roman" w:hAnsi="Times New Roman"/>
                <w:sz w:val="19"/>
                <w:szCs w:val="19"/>
                <w:color w:val="auto"/>
              </w:rPr>
              <w:t>Suite 400</w:t>
            </w:r>
          </w:p>
        </w:tc>
        <w:tc>
          <w:tcPr>
            <w:tcW w:w="2060" w:type="dxa"/>
            <w:vAlign w:val="bottom"/>
          </w:tcPr>
          <w:p>
            <w:pPr>
              <w:spacing w:after="0"/>
              <w:rPr>
                <w:sz w:val="11"/>
                <w:szCs w:val="11"/>
                <w:color w:val="auto"/>
              </w:rPr>
            </w:pPr>
          </w:p>
        </w:tc>
        <w:tc>
          <w:tcPr>
            <w:tcW w:w="3260" w:type="dxa"/>
            <w:vAlign w:val="bottom"/>
            <w:vMerge w:val="continue"/>
          </w:tcPr>
          <w:p>
            <w:pPr>
              <w:spacing w:after="0"/>
              <w:rPr>
                <w:sz w:val="11"/>
                <w:szCs w:val="11"/>
                <w:color w:val="auto"/>
              </w:rPr>
            </w:pPr>
          </w:p>
        </w:tc>
        <w:tc>
          <w:tcPr>
            <w:tcW w:w="2580" w:type="dxa"/>
            <w:vAlign w:val="bottom"/>
            <w:gridSpan w:val="2"/>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1180" w:type="dxa"/>
            <w:vAlign w:val="bottom"/>
            <w:vMerge w:val="continue"/>
          </w:tcPr>
          <w:p>
            <w:pPr>
              <w:spacing w:after="0"/>
              <w:rPr>
                <w:sz w:val="8"/>
                <w:szCs w:val="8"/>
                <w:color w:val="auto"/>
              </w:rPr>
            </w:pPr>
          </w:p>
        </w:tc>
        <w:tc>
          <w:tcPr>
            <w:tcW w:w="2060" w:type="dxa"/>
            <w:vAlign w:val="bottom"/>
          </w:tcPr>
          <w:p>
            <w:pPr>
              <w:spacing w:after="0"/>
              <w:rPr>
                <w:sz w:val="8"/>
                <w:szCs w:val="8"/>
                <w:color w:val="auto"/>
              </w:rPr>
            </w:pPr>
          </w:p>
        </w:tc>
        <w:tc>
          <w:tcPr>
            <w:tcW w:w="32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11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Orlando  FL</w:t>
            </w:r>
          </w:p>
        </w:tc>
        <w:tc>
          <w:tcPr>
            <w:tcW w:w="2060" w:type="dxa"/>
            <w:vAlign w:val="bottom"/>
          </w:tcPr>
          <w:p>
            <w:pPr>
              <w:jc w:val="right"/>
              <w:ind w:right="1484"/>
              <w:spacing w:after="0"/>
              <w:rPr>
                <w:sz w:val="20"/>
                <w:szCs w:val="20"/>
                <w:color w:val="auto"/>
              </w:rPr>
            </w:pPr>
            <w:r>
              <w:rPr>
                <w:rFonts w:ascii="Times New Roman" w:cs="Times New Roman" w:eastAsia="Times New Roman" w:hAnsi="Times New Roman"/>
                <w:sz w:val="19"/>
                <w:szCs w:val="19"/>
                <w:color w:val="auto"/>
                <w:w w:val="96"/>
              </w:rPr>
              <w:t>32827</w:t>
            </w:r>
          </w:p>
        </w:tc>
        <w:tc>
          <w:tcPr>
            <w:tcW w:w="3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2"/>
        </w:trPr>
        <w:tc>
          <w:tcPr>
            <w:tcW w:w="6500" w:type="dxa"/>
            <w:vAlign w:val="bottom"/>
            <w:gridSpan w:val="3"/>
          </w:tcPr>
          <w:p>
            <w:pPr>
              <w:spacing w:after="0"/>
              <w:rPr>
                <w:sz w:val="20"/>
                <w:szCs w:val="20"/>
                <w:color w:val="auto"/>
              </w:rPr>
            </w:pPr>
            <w:r>
              <w:rPr>
                <w:rFonts w:ascii="Times New Roman" w:cs="Times New Roman" w:eastAsia="Times New Roman" w:hAnsi="Times New Roman"/>
                <w:sz w:val="38"/>
                <w:szCs w:val="38"/>
                <w:b w:val="1"/>
                <w:bCs w:val="1"/>
                <w:color w:val="auto"/>
              </w:rPr>
              <w:t>144: Remarks and Signature</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6"/>
        </w:trPr>
        <w:tc>
          <w:tcPr>
            <w:tcW w:w="11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Remarks</w:t>
            </w:r>
          </w:p>
        </w:tc>
        <w:tc>
          <w:tcPr>
            <w:tcW w:w="5320" w:type="dxa"/>
            <w:vAlign w:val="bottom"/>
            <w:gridSpan w:val="2"/>
          </w:tcPr>
          <w:p>
            <w:pPr>
              <w:ind w:left="960"/>
              <w:spacing w:after="0"/>
              <w:rPr>
                <w:sz w:val="20"/>
                <w:szCs w:val="20"/>
                <w:color w:val="auto"/>
              </w:rPr>
            </w:pPr>
            <w:r>
              <w:rPr>
                <w:rFonts w:ascii="Times New Roman" w:cs="Times New Roman" w:eastAsia="Times New Roman" w:hAnsi="Times New Roman"/>
                <w:sz w:val="19"/>
                <w:szCs w:val="19"/>
                <w:color w:val="auto"/>
              </w:rPr>
              <w:t>All shares to be sold by WE-Inn LLC.</w:t>
            </w: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118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Date of Notice</w:t>
            </w:r>
          </w:p>
        </w:tc>
        <w:tc>
          <w:tcPr>
            <w:tcW w:w="2060" w:type="dxa"/>
            <w:vAlign w:val="bottom"/>
          </w:tcPr>
          <w:p>
            <w:pPr>
              <w:ind w:left="960"/>
              <w:spacing w:after="0"/>
              <w:rPr>
                <w:sz w:val="20"/>
                <w:szCs w:val="20"/>
                <w:color w:val="auto"/>
              </w:rPr>
            </w:pPr>
            <w:r>
              <w:rPr>
                <w:rFonts w:ascii="Times New Roman" w:cs="Times New Roman" w:eastAsia="Times New Roman" w:hAnsi="Times New Roman"/>
                <w:sz w:val="19"/>
                <w:szCs w:val="19"/>
                <w:color w:val="auto"/>
              </w:rPr>
              <w:t>10/23/2025</w:t>
            </w:r>
          </w:p>
        </w:tc>
        <w:tc>
          <w:tcPr>
            <w:tcW w:w="3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i w:val="1"/>
          <w:iCs w:val="1"/>
          <w:color w:val="auto"/>
        </w:rPr>
        <w:t>ATTENTION:</w:t>
      </w:r>
    </w:p>
    <w:p>
      <w:pPr>
        <w:spacing w:after="0" w:line="314" w:lineRule="exact"/>
        <w:rPr>
          <w:sz w:val="20"/>
          <w:szCs w:val="20"/>
          <w:color w:val="auto"/>
        </w:rPr>
      </w:pPr>
    </w:p>
    <w:p>
      <w:pPr>
        <w:jc w:val="both"/>
        <w:ind w:left="40" w:right="40"/>
        <w:spacing w:after="0" w:line="259" w:lineRule="auto"/>
        <w:rPr>
          <w:sz w:val="20"/>
          <w:szCs w:val="20"/>
          <w:color w:val="auto"/>
        </w:rPr>
      </w:pPr>
      <w:r>
        <w:rPr>
          <w:rFonts w:ascii="Times New Roman" w:cs="Times New Roman" w:eastAsia="Times New Roman" w:hAnsi="Times New Roman"/>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9" w:lineRule="exact"/>
        <w:rPr>
          <w:sz w:val="20"/>
          <w:szCs w:val="20"/>
          <w:color w:val="auto"/>
        </w:rPr>
      </w:pPr>
    </w:p>
    <w:p>
      <w:pPr>
        <w:ind w:left="40"/>
        <w:spacing w:after="0"/>
        <w:tabs>
          <w:tab w:leader="none" w:pos="2120" w:val="left"/>
        </w:tabs>
        <w:rPr>
          <w:sz w:val="20"/>
          <w:szCs w:val="20"/>
          <w:color w:val="auto"/>
        </w:rPr>
      </w:pPr>
      <w:r>
        <w:rPr>
          <w:rFonts w:ascii="Times New Roman" w:cs="Times New Roman" w:eastAsia="Times New Roman" w:hAnsi="Times New Roman"/>
          <w:sz w:val="19"/>
          <w:szCs w:val="19"/>
          <w:color w:val="auto"/>
        </w:rPr>
        <w:t>Signature</w:t>
      </w:r>
      <w:r>
        <w:rPr>
          <w:sz w:val="20"/>
          <w:szCs w:val="20"/>
          <w:color w:val="auto"/>
        </w:rPr>
        <w:tab/>
      </w:r>
      <w:r>
        <w:rPr>
          <w:rFonts w:ascii="Times New Roman" w:cs="Times New Roman" w:eastAsia="Times New Roman" w:hAnsi="Times New Roman"/>
          <w:sz w:val="19"/>
          <w:szCs w:val="19"/>
          <w:color w:val="auto"/>
        </w:rPr>
        <w:t>Goldman Sachs &amp; Co. LLC on behalf of Gregory D Wasson</w:t>
      </w:r>
    </w:p>
    <w:p>
      <w:pPr>
        <w:spacing w:after="0" w:line="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i w:val="1"/>
          <w:iCs w:val="1"/>
          <w:color w:val="auto"/>
        </w:rPr>
        <w:t>ATTENTION: Intentional misstatements or omission of facts constitute Federal Criminal Violations (See 18 U.S.C. 1001)</w:t>
      </w:r>
    </w:p>
    <w:sectPr>
      <w:pgSz w:w="11900" w:h="16840" w:orient="portrait"/>
      <w:cols w:equalWidth="0" w:num="1">
        <w:col w:w="10580"/>
      </w:cols>
      <w:pgMar w:left="660" w:top="568" w:right="66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2025-10-23T16:17:32Z</dcterms:created>
  <dcterms:modified xsi:type="dcterms:W3CDTF">2025-10-23T16:17:32Z</dcterms:modified>
</cp:coreProperties>
</file>