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Quarterly Report on Form 10-Q, which was filed with the Securities and Exchange Commission (the “SEC”) on November 13, 2025 (the “Quarterly Report”), and our Current Report on Form 8-K, which was filed with the SEC on November 12, 2025 (the “Current Report”). Accordingly, we have attached each of the Quarterly Report and the Current Report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13, 2025, the closing price of our Common Stock was $3.69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14,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0"/>
          <w:szCs w:val="20"/>
          <w:color w:val="auto"/>
        </w:rPr>
      </w:pPr>
    </w:p>
    <w:p>
      <w:pPr>
        <w:ind w:left="620" w:hanging="594"/>
        <w:spacing w:after="0"/>
        <w:tabs>
          <w:tab w:leader="none" w:pos="6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620" w:hanging="594"/>
        <w:spacing w:after="0"/>
        <w:tabs>
          <w:tab w:leader="none" w:pos="6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001-42303</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4000" w:type="dxa"/>
            <w:vAlign w:val="bottom"/>
          </w:tcPr>
          <w:p>
            <w:pPr>
              <w:spacing w:after="0"/>
              <w:rPr>
                <w:sz w:val="20"/>
                <w:szCs w:val="20"/>
                <w:color w:val="auto"/>
              </w:rPr>
            </w:pPr>
          </w:p>
        </w:tc>
      </w:tr>
      <w:tr>
        <w:trPr>
          <w:trHeight w:val="30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4000" w:type="dxa"/>
            <w:vAlign w:val="bottom"/>
          </w:tcPr>
          <w:p>
            <w:pPr>
              <w:spacing w:after="0"/>
              <w:rPr>
                <w:sz w:val="24"/>
                <w:szCs w:val="24"/>
                <w:color w:val="auto"/>
              </w:rPr>
            </w:pPr>
          </w:p>
        </w:tc>
      </w:tr>
      <w:tr>
        <w:trPr>
          <w:trHeight w:val="26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43"/>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500" w:type="dxa"/>
            <w:vAlign w:val="bottom"/>
            <w:tcBorders>
              <w:left w:val="single" w:sz="8" w:color="auto"/>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x</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12, 2025, the registrant had 62,471,971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37"/>
        </w:trPr>
        <w:tc>
          <w:tcPr>
            <w:tcW w:w="10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527"/>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40"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(“Form 10-Q”) to “Innventure,” the “Company,” “we,” “our” or “us” refer to Innventure, Inc. and its consolidated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spacing w:after="0" w:line="135"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 Innventure’s ability to obtain funding for its operations and future growth; and (ii) Innventure’s ability to continue as a going concern;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(as defined below), under the WTI Facility (as defined below);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Standby Equity Purchase Agreement (the “SEPA”) with YA II PN, Ltd. (“Yorkville”), including ownership limitations, issuances and subscriptions based on trading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and Innventure’s ability to continue to access the funds available under the SEPA due to certain conditions, restrictions and limitations set forth therein and in the Existing Purchase Agreement (as defined below) and the Securities Purchase Agreement (together, the “Purchase Agreements”);</w:t>
      </w:r>
    </w:p>
    <w:p>
      <w:pPr>
        <w:spacing w:after="0" w:line="108"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future growth and to continue as going concerns;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40" w:right="339" w:bottom="1440" w:gutter="0" w:footer="0" w:header="0"/>
        </w:sectPr>
      </w:pPr>
    </w:p>
    <w:bookmarkStart w:id="6" w:name="page7"/>
    <w:bookmarkEnd w:id="6"/>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97155</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September 30, 2025</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6"/>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80" w:type="dxa"/>
            <w:vAlign w:val="bottom"/>
          </w:tcPr>
          <w:p>
            <w:pPr>
              <w:spacing w:after="0"/>
              <w:rPr>
                <w:sz w:val="14"/>
                <w:szCs w:val="14"/>
                <w:color w:val="auto"/>
              </w:rPr>
            </w:pPr>
          </w:p>
        </w:tc>
        <w:tc>
          <w:tcPr>
            <w:tcW w:w="13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29"/>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29"/>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 net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29"/>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w:t>
            </w:r>
          </w:p>
        </w:tc>
      </w:tr>
      <w:tr>
        <w:trPr>
          <w:trHeight w:val="20"/>
        </w:trPr>
        <w:tc>
          <w:tcPr>
            <w:tcW w:w="8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32,250</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165,941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323,463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1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556,515</w:t>
            </w:r>
          </w:p>
        </w:tc>
        <w:tc>
          <w:tcPr>
            <w:tcW w:w="6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18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856</w:t>
            </w:r>
          </w:p>
        </w:tc>
        <w:tc>
          <w:tcPr>
            <w:tcW w:w="66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12,189</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3,225</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Contract liabilities</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776</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34,398</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Embedded derivative liability</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1,677</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700</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2,239</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30"/>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22,742</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195"/>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3180" w:type="dxa"/>
            <w:vAlign w:val="bottom"/>
          </w:tcPr>
          <w:p>
            <w:pPr>
              <w:spacing w:after="0"/>
              <w:rPr>
                <w:sz w:val="16"/>
                <w:szCs w:val="16"/>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930</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 current</w:t>
            </w:r>
          </w:p>
        </w:tc>
        <w:tc>
          <w:tcPr>
            <w:tcW w:w="3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2,085</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660</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 convertible notes, net of current portion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 portion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149,936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57"/>
        </w:trPr>
        <w:tc>
          <w:tcPr>
            <w:tcW w:w="802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6"/>
              </w:rPr>
              <w:t>Series B Preferred Stock, $0.0001 par value, 3,000,000 shares designated, 33,144 and 1,102,000 shares issued and outstanding as of September 30, 2025</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80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and December 31, 2024, respectively</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8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w w:val="98"/>
              </w:rPr>
              <w:t>Series C Preferred Stock, $0.0001 par value, 5,000,000 shares designated, 150,000 and — shares issued and outstanding as of September 30,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Common Stock, $0.0001 par value, 250,000,000 shares authorized, 56,220,158 and 44,597,154 shares issued and outstanding as of September 30, 2025</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December 31, 2024, respectively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525,615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(333,844)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190,769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30"/>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215,810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406,579</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30"/>
        </w:trPr>
        <w:tc>
          <w:tcPr>
            <w:tcW w:w="8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556,515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0"/>
        </w:trPr>
        <w:tc>
          <w:tcPr>
            <w:tcW w:w="8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940" w:type="dxa"/>
            <w:vAlign w:val="bottom"/>
            <w:gridSpan w:val="5"/>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4"/>
                <w:szCs w:val="14"/>
                <w:color w:val="auto"/>
              </w:rPr>
            </w:pPr>
          </w:p>
        </w:tc>
        <w:tc>
          <w:tcPr>
            <w:tcW w:w="142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16,927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55,172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346,557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29,739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434,211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36,256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(29,205)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(432,977)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(35,492)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11,547</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10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income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10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Miscellaneous other expense</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 Income</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(9,133)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(3,929)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9,011</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(38,338)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(436,906)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(26,481)</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(34,735)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(429,684)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(26,481)</w:t>
            </w:r>
          </w:p>
        </w:tc>
        <w:tc>
          <w:tcPr>
            <w:tcW w:w="0" w:type="dxa"/>
            <w:vAlign w:val="bottom"/>
          </w:tcPr>
          <w:p>
            <w:pPr>
              <w:spacing w:after="0"/>
              <w:rPr>
                <w:sz w:val="1"/>
                <w:szCs w:val="1"/>
                <w:color w:val="auto"/>
              </w:rPr>
            </w:pPr>
          </w:p>
        </w:tc>
      </w:tr>
      <w:tr>
        <w:trPr>
          <w:trHeight w:val="193"/>
        </w:trPr>
        <w:tc>
          <w:tcPr>
            <w:tcW w:w="4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(174,128)</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158"/>
        </w:trPr>
        <w:tc>
          <w:tcPr>
            <w:tcW w:w="45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w:t>
            </w: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LLC Unitholders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(28,332)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(255,556)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(14,719)</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55,846,721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51,583,853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taxes:</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 (loss) on available for sale debt securities - related party</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(2,373)</w:t>
            </w: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(34,454)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(431,601)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(28,854)</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(174,128)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24"/>
        </w:trPr>
        <w:tc>
          <w:tcPr>
            <w:tcW w:w="4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Comprehensive Loss Attributable to Innventure, Inc. Stockholders /</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(28,051)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(257,473)</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(17,092)</w:t>
            </w:r>
          </w:p>
        </w:tc>
        <w:tc>
          <w:tcPr>
            <w:tcW w:w="0" w:type="dxa"/>
            <w:vAlign w:val="bottom"/>
          </w:tcPr>
          <w:p>
            <w:pPr>
              <w:spacing w:after="0"/>
              <w:rPr>
                <w:sz w:val="1"/>
                <w:szCs w:val="1"/>
                <w:color w:val="auto"/>
              </w:rPr>
            </w:pPr>
          </w:p>
        </w:tc>
      </w:tr>
      <w:tr>
        <w:trPr>
          <w:trHeight w:val="20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Unitholders</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880"/>
          </w:cols>
          <w:pgMar w:left="320" w:top="121" w:right="6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6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OCI</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80"/>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units to non-controlling interest in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convertible promissory notes</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45,688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(73,918)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11,543</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(10,519)</w:t>
            </w:r>
          </w:p>
        </w:tc>
        <w:tc>
          <w:tcPr>
            <w:tcW w:w="0" w:type="dxa"/>
            <w:vAlign w:val="bottom"/>
          </w:tcPr>
          <w:p>
            <w:pPr>
              <w:spacing w:after="0"/>
              <w:rPr>
                <w:sz w:val="1"/>
                <w:szCs w:val="1"/>
                <w:color w:val="auto"/>
              </w:rPr>
            </w:pPr>
          </w:p>
        </w:tc>
      </w:tr>
      <w:tr>
        <w:trPr>
          <w:trHeight w:val="37"/>
        </w:trPr>
        <w:tc>
          <w:tcPr>
            <w:tcW w:w="3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48,540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(81,568)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15,113</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(11,702)</w:t>
            </w:r>
          </w:p>
        </w:tc>
        <w:tc>
          <w:tcPr>
            <w:tcW w:w="0" w:type="dxa"/>
            <w:vAlign w:val="bottom"/>
          </w:tcPr>
          <w:p>
            <w:pPr>
              <w:spacing w:after="0"/>
              <w:rPr>
                <w:sz w:val="1"/>
                <w:szCs w:val="1"/>
                <w:color w:val="auto"/>
              </w:rPr>
            </w:pPr>
          </w:p>
        </w:tc>
      </w:tr>
      <w:tr>
        <w:trPr>
          <w:trHeight w:val="37"/>
        </w:trPr>
        <w:tc>
          <w:tcPr>
            <w:tcW w:w="3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9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w:t>
            </w:r>
          </w:p>
        </w:tc>
        <w:tc>
          <w:tcPr>
            <w:tcW w:w="0" w:type="dxa"/>
            <w:vAlign w:val="bottom"/>
          </w:tcPr>
          <w:p>
            <w:pPr>
              <w:spacing w:after="0"/>
              <w:rPr>
                <w:sz w:val="1"/>
                <w:szCs w:val="1"/>
                <w:color w:val="auto"/>
              </w:rPr>
            </w:pPr>
          </w:p>
        </w:tc>
      </w:tr>
      <w:tr>
        <w:trPr>
          <w:trHeight w:val="37"/>
        </w:trPr>
        <w:tc>
          <w:tcPr>
            <w:tcW w:w="3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51,683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(90,952)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13,080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(22,308)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B Preferred Stock</w:t>
            </w: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C Preferred Stock</w:t>
            </w:r>
          </w:p>
        </w:tc>
        <w:tc>
          <w:tcPr>
            <w:tcW w:w="10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3"/>
                <w:szCs w:val="3"/>
                <w:color w:val="auto"/>
              </w:rPr>
            </w:pPr>
          </w:p>
        </w:tc>
        <w:tc>
          <w:tcPr>
            <w:tcW w:w="68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c>
          <w:tcPr>
            <w:tcW w:w="8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OCI</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1,102,000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44,597,154</w:t>
            </w:r>
          </w:p>
        </w:tc>
        <w:tc>
          <w:tcPr>
            <w:tcW w:w="36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502,865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(78,262)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909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340,777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766,293</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Series B Preferred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buyback</w:t>
            </w: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9"/>
              </w:rPr>
              <w:t>Series B Preferred Stock issued</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 paid-in-kind dividends</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8"/>
              </w:rPr>
              <w:t>Issuance of common shares,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161,964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earnout shares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2,344,682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gain,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Conversion of related party</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2,310,848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23,109</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notes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Series C Preferred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5,663</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net</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issued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33,249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6,946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7"/>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1,118,808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47,103,800</w:t>
            </w: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484,256</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(221,285)</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264,247</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525,745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2,885,848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28,728</w:t>
            </w:r>
          </w:p>
        </w:tc>
        <w:tc>
          <w:tcPr>
            <w:tcW w:w="0" w:type="dxa"/>
            <w:vAlign w:val="bottom"/>
          </w:tcPr>
          <w:p>
            <w:pPr>
              <w:spacing w:after="0"/>
              <w:rPr>
                <w:sz w:val="1"/>
                <w:szCs w:val="1"/>
                <w:color w:val="auto"/>
              </w:rPr>
            </w:pPr>
          </w:p>
        </w:tc>
      </w:tr>
      <w:tr>
        <w:trPr>
          <w:trHeight w:val="36"/>
        </w:trPr>
        <w:tc>
          <w:tcPr>
            <w:tcW w:w="15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(84,227)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(57,048)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(141,275)</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8"/>
              </w:rPr>
              <w:t>Issuance of common shares, net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481,325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2,625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gain,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issued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8,494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9,406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Conversion to Common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(1,085,664)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7,636,369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27,269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27,270</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(2,735,848)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(27,272)</w:t>
            </w: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Transfer of Series C 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from Mezzanine equity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 Stockholders' equity</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33,144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150,000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55,221,494</w:t>
            </w:r>
          </w:p>
        </w:tc>
        <w:tc>
          <w:tcPr>
            <w:tcW w:w="36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525,346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(305,512)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207,509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426,060</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(28,332)</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(34,735)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8"/>
              </w:rPr>
              <w:t>Issuance of common shares,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998,664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gain, net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Non-controlling interest issued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4,181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7,725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3"/>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33,144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150,000</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56,220,158</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525,615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(333,844)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215,810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406,579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r>
      <w:tr>
        <w:trPr>
          <w:trHeight w:val="27"/>
        </w:trPr>
        <w:tc>
          <w:tcPr>
            <w:tcW w:w="7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40"/>
        </w:trPr>
        <w:tc>
          <w:tcPr>
            <w:tcW w:w="7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Nine months ended September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 30,</w:t>
            </w:r>
          </w:p>
        </w:tc>
      </w:tr>
      <w:tr>
        <w:trPr>
          <w:trHeight w:val="142"/>
        </w:trPr>
        <w:tc>
          <w:tcPr>
            <w:tcW w:w="7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(429,684)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(26,481)</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22,972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1,056</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8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468</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on investments</w:t>
            </w:r>
          </w:p>
        </w:tc>
        <w:tc>
          <w:tcPr>
            <w:tcW w:w="8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Accrued unpaid interest on note payable</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Equity method investment loss (gain)</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10,282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3,462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8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16,821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346,557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costs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(1,605)</w:t>
            </w:r>
          </w:p>
        </w:tc>
      </w:tr>
      <w:tr>
        <w:trPr>
          <w:trHeight w:val="36"/>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Inventory</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(2,824)</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4,863</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2,491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3,838</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Accrued expenses</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674</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Income taxes payable</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Liability for future stock issuance</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10,870</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Contract 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(56,328)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(18,647)</w:t>
            </w:r>
          </w:p>
        </w:tc>
      </w:tr>
      <w:tr>
        <w:trPr>
          <w:trHeight w:val="35"/>
        </w:trPr>
        <w:tc>
          <w:tcPr>
            <w:tcW w:w="7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r>
      <w:tr>
        <w:trPr>
          <w:trHeight w:val="154"/>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debt securities - related party</w:t>
            </w:r>
          </w:p>
        </w:tc>
        <w:tc>
          <w:tcPr>
            <w:tcW w:w="8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(7,400)</w:t>
            </w:r>
          </w:p>
        </w:tc>
      </w:tr>
      <w:tr>
        <w:trPr>
          <w:trHeight w:val="154"/>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received related to PCT stock sale</w:t>
            </w: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2,314</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(4,079)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(5,822)</w:t>
            </w:r>
          </w:p>
        </w:tc>
      </w:tr>
      <w:tr>
        <w:trPr>
          <w:trHeight w:val="35"/>
        </w:trPr>
        <w:tc>
          <w:tcPr>
            <w:tcW w:w="7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r>
      <w:tr>
        <w:trPr>
          <w:trHeight w:val="154"/>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3,675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13,122</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6,327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13,859</w:t>
            </w:r>
          </w:p>
        </w:tc>
      </w:tr>
      <w:tr>
        <w:trPr>
          <w:trHeight w:val="154"/>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related party convertible promissory notes</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6,350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term convertible notes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14,950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issuance of debt securities, net of issuance costs</w:t>
            </w: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36,000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r>
      <w:tr>
        <w:trPr>
          <w:trHeight w:val="154"/>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of related party notes payable</w:t>
            </w:r>
          </w:p>
        </w:tc>
        <w:tc>
          <w:tcPr>
            <w:tcW w:w="80" w:type="dxa"/>
            <w:vAlign w:val="bottom"/>
          </w:tcPr>
          <w:p>
            <w:pPr>
              <w:spacing w:after="0"/>
              <w:rPr>
                <w:sz w:val="13"/>
                <w:szCs w:val="13"/>
                <w:color w:val="auto"/>
              </w:rPr>
            </w:pPr>
          </w:p>
        </w:tc>
        <w:tc>
          <w:tcPr>
            <w:tcW w:w="1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12,000</w:t>
            </w:r>
          </w:p>
        </w:tc>
      </w:tr>
      <w:tr>
        <w:trPr>
          <w:trHeight w:val="35"/>
        </w:trPr>
        <w:tc>
          <w:tcPr>
            <w:tcW w:w="7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 and other</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Flows Provided by Financing Activities</w:t>
            </w: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63,349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38,191</w:t>
            </w:r>
          </w:p>
        </w:tc>
      </w:tr>
      <w:tr>
        <w:trPr>
          <w:trHeight w:val="36"/>
        </w:trPr>
        <w:tc>
          <w:tcPr>
            <w:tcW w:w="7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in Cash, Cash Equivalents and Restricted Cash</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2,942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13,722</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11,119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2,575</w:t>
            </w:r>
          </w:p>
        </w:tc>
      </w:tr>
      <w:tr>
        <w:trPr>
          <w:trHeight w:val="35"/>
        </w:trPr>
        <w:tc>
          <w:tcPr>
            <w:tcW w:w="7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6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14,061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16,297</w:t>
            </w:r>
          </w:p>
        </w:tc>
      </w:tr>
      <w:tr>
        <w:trPr>
          <w:trHeight w:val="20"/>
        </w:trPr>
        <w:tc>
          <w:tcPr>
            <w:tcW w:w="7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8"/>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line="20" w:lineRule="exact"/>
              <w:rPr>
                <w:sz w:val="1"/>
                <w:szCs w:val="1"/>
                <w:color w:val="auto"/>
              </w:rPr>
            </w:pPr>
          </w:p>
        </w:tc>
      </w:tr>
      <w:tr>
        <w:trPr>
          <w:trHeight w:val="195"/>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Information</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80" w:type="dxa"/>
            <w:vAlign w:val="bottom"/>
          </w:tcPr>
          <w:p>
            <w:pPr>
              <w:spacing w:after="0"/>
              <w:rPr>
                <w:sz w:val="16"/>
                <w:szCs w:val="16"/>
                <w:color w:val="auto"/>
              </w:rPr>
            </w:pPr>
          </w:p>
        </w:tc>
        <w:tc>
          <w:tcPr>
            <w:tcW w:w="1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units to non-controlling interest in exchange of convertible promissory notes</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0" w:type="dxa"/>
            <w:vAlign w:val="bottom"/>
          </w:tcPr>
          <w:p>
            <w:pPr>
              <w:spacing w:after="0"/>
              <w:rPr>
                <w:sz w:val="1"/>
                <w:szCs w:val="1"/>
                <w:color w:val="auto"/>
              </w:rPr>
            </w:pPr>
          </w:p>
        </w:tc>
      </w:tr>
      <w:tr>
        <w:trPr>
          <w:trHeight w:val="206"/>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working capital loans to equity method investee into investments in debt securities - related party</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on investments in debt Securities - related party through OCI</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Recognition of right of use asset and corresponding lease liability</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Extinguishment of debt with Series C Preferred Stock</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Contribution of Series C Preferred Stock to equity method investee</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Conversion of AFX available-for-sale term loan into equity method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as repayment of convertible debt</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stock in exchange for services</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preferred stock into common stock</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Transfer of Series C Preferred Stock from Mezzanine to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Embedded derivative in association with Convertible Debentures</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reallocation between non-controlling interest and additional paid-in capital</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Embedded derivative liability derecognition</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the Closing. All balance sheet amounts presented are for Successor periods.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immaterial out of period adjustment of $16,916 to correct an understatement of Non-controlling interest. The impact of the adjustments are not material to the condensed consolidated financial statements for any interim or annual periods prior to September 30, 2025 nor the current financial period. The out of period adjustment to Additional paid-in capital is included in Non-controlling interest issued and related transfers within the condensed consolidated statements of changes in mezzanine and stockholders' equity (deficit) and the adjustment related to Net loss attributable to Innventure, Inc. within Comprehensive loss attributable to non-controlling interest on the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had a cash balance of $9,061, a restricted cash balance of $5,000, accumulated deficit of $333,844 and a working capital deficit of $50,227. During the three and nine months ended September 30, 2025 (Successor), the Company incurred a net loss of $34,735 and $429,684, respectively. We have experienced recurring losses from operations and negative cash flows from operating activities. In addition, we continue to have an ongoing need to raise significant additional cash from outside sources to sustain our operations and fund our growth plans. Refer to Note 18. Subsequent Events for details of equity raised after the quarter end.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our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xml:space="preserve"> management has determined that these conditions raise substantial doubt about our ability to continue as a going concern within one year after the filing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Compensation—Stock Compensation (Topic 718)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Clarifications to Share-Based Consideration Payable to a Customer</w:t>
      </w:r>
      <w:r>
        <w:rPr>
          <w:rFonts w:ascii="Times New Roman" w:cs="Times New Roman" w:eastAsia="Times New Roman" w:hAnsi="Times New Roman"/>
          <w:sz w:val="18"/>
          <w:szCs w:val="18"/>
          <w:color w:val="auto"/>
        </w:rPr>
        <w:t>, which reduces the diversity in practice and improves the decision usefulness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for the application of the current expected credit loss (“CECL”) model to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increases the operability of the recognition guidance considering different methods of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consolidated financial statements.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9"/>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237"/>
        </w:trPr>
        <w:tc>
          <w:tcPr>
            <w:tcW w:w="6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r>
      <w:tr>
        <w:trPr>
          <w:trHeight w:val="20"/>
        </w:trPr>
        <w:tc>
          <w:tcPr>
            <w:tcW w:w="6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 37% and 34% equity method investment interest in AeroFlexx as of September 30, 2025 and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Available for Sale (“AFS”)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nine months ended September 30, 2025 (Successor) and is included in non-operating income in the condensed consolidated statements of operations and comprehensive income (loss).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principal balance drawn as of September 30, 2025 was $10,000. During the nine months ended September 30, 2025 (Successor), $4,375 was reclassified from Due from related parties under the term loan and $2,708 was drawn down by AeroFlexx under the term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(“AFS”)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contractual maturity of the loan is December 31, 2026, it is included in the non-current line item Investments of the condensed consolidated balance sheets. The increase of $281 and decrease of $410 in fair value of this investment in debt securities for the three and nine months ended September 30, 2025 (Successor), respectively, is included as Unrealized gain (loss) on available for sale debt securities - related party in the condensed consolidated statements of operations and comprehensive income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Company’s carrying amount and maximum exposure relating to AeroFlexx advances and other receivables were $7,071 and $4,472 as of September 30, 2025 and December 31, 2024, included in Due from related parties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56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asset - Convertible Debentures</w:t>
            </w: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0"/>
        </w:trPr>
        <w:tc>
          <w:tcPr>
            <w:tcW w:w="4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WTI Warrant liability</w:t>
            </w: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WTI Warrant liability</w:t>
            </w:r>
          </w:p>
        </w:tc>
        <w:tc>
          <w:tcPr>
            <w:tcW w:w="56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 - August 2025 Notes</w:t>
            </w:r>
          </w:p>
        </w:tc>
        <w:tc>
          <w:tcPr>
            <w:tcW w:w="56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531"/>
        </w:trPr>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260" w:type="dxa"/>
            <w:vAlign w:val="bottom"/>
          </w:tcPr>
          <w:p>
            <w:pPr>
              <w:spacing w:after="0"/>
              <w:rPr>
                <w:sz w:val="18"/>
                <w:szCs w:val="18"/>
                <w:color w:val="auto"/>
              </w:rPr>
            </w:pPr>
          </w:p>
        </w:tc>
        <w:tc>
          <w:tcPr>
            <w:tcW w:w="21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6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WTI Warrant liability</w:t>
            </w:r>
          </w:p>
        </w:tc>
        <w:tc>
          <w:tcPr>
            <w:tcW w:w="56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7"/>
        </w:trPr>
        <w:tc>
          <w:tcPr>
            <w:tcW w:w="4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5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7"/>
        </w:trPr>
        <w:tc>
          <w:tcPr>
            <w:tcW w:w="4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nine months ended September 30, 2025 (Successor) and the nine months ended September 30, 2024 (Predecessor),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40" w:type="dxa"/>
            <w:vAlign w:val="bottom"/>
          </w:tcPr>
          <w:p>
            <w:pPr>
              <w:spacing w:after="0"/>
              <w:rPr>
                <w:sz w:val="17"/>
                <w:szCs w:val="17"/>
                <w:color w:val="auto"/>
              </w:rPr>
            </w:pPr>
          </w:p>
        </w:tc>
        <w:tc>
          <w:tcPr>
            <w:tcW w:w="11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derivative</w:t>
            </w: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liability -</w:t>
            </w:r>
          </w:p>
        </w:tc>
        <w:tc>
          <w:tcPr>
            <w:tcW w:w="14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derivative</w:t>
            </w:r>
          </w:p>
        </w:tc>
        <w:tc>
          <w:tcPr>
            <w:tcW w:w="160" w:type="dxa"/>
            <w:vAlign w:val="bottom"/>
          </w:tcPr>
          <w:p>
            <w:pPr>
              <w:spacing w:after="0"/>
              <w:rPr>
                <w:sz w:val="15"/>
                <w:szCs w:val="15"/>
                <w:color w:val="auto"/>
              </w:rPr>
            </w:pPr>
          </w:p>
        </w:tc>
        <w:tc>
          <w:tcPr>
            <w:tcW w:w="11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2024 WTI</w:t>
            </w:r>
          </w:p>
        </w:tc>
        <w:tc>
          <w:tcPr>
            <w:tcW w:w="200" w:type="dxa"/>
            <w:vAlign w:val="bottom"/>
          </w:tcPr>
          <w:p>
            <w:pPr>
              <w:spacing w:after="0"/>
              <w:rPr>
                <w:sz w:val="15"/>
                <w:szCs w:val="15"/>
                <w:color w:val="auto"/>
              </w:rPr>
            </w:pPr>
          </w:p>
        </w:tc>
        <w:tc>
          <w:tcPr>
            <w:tcW w:w="11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2025 WTI</w:t>
            </w:r>
          </w:p>
        </w:tc>
        <w:tc>
          <w:tcPr>
            <w:tcW w:w="200" w:type="dxa"/>
            <w:vAlign w:val="bottom"/>
          </w:tcPr>
          <w:p>
            <w:pPr>
              <w:spacing w:after="0"/>
              <w:rPr>
                <w:sz w:val="15"/>
                <w:szCs w:val="15"/>
                <w:color w:val="auto"/>
              </w:rPr>
            </w:pPr>
          </w:p>
        </w:tc>
        <w:tc>
          <w:tcPr>
            <w:tcW w:w="12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derivative</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convertible</w:t>
            </w:r>
          </w:p>
        </w:tc>
        <w:tc>
          <w:tcPr>
            <w:tcW w:w="14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liability (asset) -</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promissory</w:t>
            </w:r>
          </w:p>
        </w:tc>
        <w:tc>
          <w:tcPr>
            <w:tcW w:w="140" w:type="dxa"/>
            <w:vAlign w:val="bottom"/>
          </w:tcPr>
          <w:p>
            <w:pPr>
              <w:spacing w:after="0"/>
              <w:rPr>
                <w:sz w:val="16"/>
                <w:szCs w:val="16"/>
                <w:color w:val="auto"/>
              </w:rPr>
            </w:pPr>
          </w:p>
        </w:tc>
        <w:tc>
          <w:tcPr>
            <w:tcW w:w="11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August 2025</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debt securities -</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Warrant</w:t>
            </w:r>
          </w:p>
        </w:tc>
        <w:tc>
          <w:tcPr>
            <w:tcW w:w="200" w:type="dxa"/>
            <w:vAlign w:val="bottom"/>
          </w:tcPr>
          <w:p>
            <w:pPr>
              <w:spacing w:after="0"/>
              <w:rPr>
                <w:sz w:val="16"/>
                <w:szCs w:val="16"/>
                <w:color w:val="auto"/>
              </w:rPr>
            </w:pPr>
          </w:p>
        </w:tc>
        <w:tc>
          <w:tcPr>
            <w:tcW w:w="11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16"/>
                <w:szCs w:val="16"/>
                <w:color w:val="auto"/>
              </w:rPr>
            </w:pPr>
          </w:p>
        </w:tc>
        <w:tc>
          <w:tcPr>
            <w:tcW w:w="12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Convertible</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0" w:type="dxa"/>
            <w:vAlign w:val="bottom"/>
          </w:tcPr>
          <w:p>
            <w:pPr>
              <w:spacing w:after="0"/>
              <w:rPr>
                <w:sz w:val="1"/>
                <w:szCs w:val="1"/>
                <w:color w:val="auto"/>
              </w:rPr>
            </w:pPr>
          </w:p>
        </w:tc>
      </w:tr>
      <w:tr>
        <w:trPr>
          <w:trHeight w:val="160"/>
        </w:trPr>
        <w:tc>
          <w:tcPr>
            <w:tcW w:w="19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Balance as of January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 2024 (Predecessor)</w:t>
            </w:r>
          </w:p>
        </w:tc>
        <w:tc>
          <w:tcPr>
            <w:tcW w:w="1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190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9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January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 2025 (Successor)</w:t>
            </w:r>
          </w:p>
        </w:tc>
        <w:tc>
          <w:tcPr>
            <w:tcW w:w="16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184"/>
        </w:trPr>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Settlement and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derecognitions</w:t>
            </w:r>
          </w:p>
        </w:tc>
        <w:tc>
          <w:tcPr>
            <w:tcW w:w="160" w:type="dxa"/>
            <w:vAlign w:val="bottom"/>
          </w:tcPr>
          <w:p>
            <w:pPr>
              <w:spacing w:after="0"/>
              <w:rPr>
                <w:sz w:val="20"/>
                <w:szCs w:val="20"/>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160"/>
        </w:trPr>
        <w:tc>
          <w:tcPr>
            <w:tcW w:w="190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1,677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9,402</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5,460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12,720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3,630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0" w:type="dxa"/>
            <w:vAlign w:val="bottom"/>
          </w:tcPr>
          <w:p>
            <w:pPr>
              <w:spacing w:after="0"/>
              <w:rPr>
                <w:sz w:val="1"/>
                <w:szCs w:val="1"/>
                <w:color w:val="auto"/>
              </w:rPr>
            </w:pPr>
          </w:p>
        </w:tc>
      </w:tr>
      <w:tr>
        <w:trPr>
          <w:trHeight w:val="23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three and nine months ended September 30, 2025 (Successor) nor for the three and nine months ended September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(Level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Valuation</w:t>
            </w:r>
          </w:p>
        </w:tc>
        <w:tc>
          <w:tcPr>
            <w:tcW w:w="27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0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7"/>
                <w:szCs w:val="17"/>
                <w:color w:val="auto"/>
              </w:rPr>
            </w:pPr>
          </w:p>
        </w:tc>
        <w:tc>
          <w:tcPr>
            <w:tcW w:w="1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27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debt securities - AFS:</w:t>
            </w:r>
          </w:p>
        </w:tc>
        <w:tc>
          <w:tcPr>
            <w:tcW w:w="2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270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Discount for lack of</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marketability</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840" w:type="dxa"/>
            <w:vAlign w:val="bottom"/>
            <w:shd w:val="clear" w:color="auto" w:fill="CCEEFF"/>
          </w:tcPr>
          <w:p>
            <w:pPr>
              <w:spacing w:after="0"/>
              <w:rPr>
                <w:sz w:val="16"/>
                <w:szCs w:val="16"/>
                <w:color w:val="auto"/>
              </w:rPr>
            </w:pPr>
          </w:p>
        </w:tc>
        <w:tc>
          <w:tcPr>
            <w:tcW w:w="270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Weighted average cost of</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spacing w:after="0"/>
              <w:rPr>
                <w:sz w:val="20"/>
                <w:szCs w:val="20"/>
                <w:color w:val="auto"/>
              </w:rPr>
            </w:pP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AeroFlexx yield</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Earnout Shares:</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years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58.00 %</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 risk premium</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26.20 %</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volatility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148.00 %</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176.00 %</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WTI Warrants:</w:t>
            </w:r>
          </w:p>
        </w:tc>
        <w:tc>
          <w:tcPr>
            <w:tcW w:w="2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59.00 %</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27.90 %</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WTI Warrants:</w:t>
            </w:r>
          </w:p>
        </w:tc>
        <w:tc>
          <w:tcPr>
            <w:tcW w:w="2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58.00 %</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27.90 %</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Embedded derivative asset - Convertible Debentures:</w:t>
            </w:r>
          </w:p>
        </w:tc>
        <w:tc>
          <w:tcPr>
            <w:tcW w:w="2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Binomial Lattice Model</w:t>
            </w: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3"/>
                <w:szCs w:val="23"/>
                <w:color w:val="auto"/>
              </w:rPr>
            </w:pP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yield</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38.70 %</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Debt spread</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Embedded derivative liability - August 2025 Notes:</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years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2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Accelsius Series B-1 issuance</w:t>
            </w:r>
          </w:p>
        </w:tc>
        <w:tc>
          <w:tcPr>
            <w:tcW w:w="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36.49</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price</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and defined in Note 5. Borrowings, the Company issued Convertible Debentures (as defined below) which contain certain features which qualify as embedded derivates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issuance of the August 2025 Notes, the related embedded derivative liability had a de minimis fair value. As of September 30, 2025, the Company recognized $1,677 for the embedded derivative liability related to the contingent exchange feature. The fair value was determined using a Black-Scholes valuation model, utilizing inputs related to the risk-free rate, volatility, time to liquidity, and the Accelsius Series B-1 issuance price, as further defined in Note 18. Subsequent Events. Specifically, the September 30, 2025 valuation considered a risk-free rate of 3.66%, volatility of 70.00%, time to liquidity of 4.25 years, and an Accelsius Series B-1 unit issuance price of $36.49.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(as defined below), 2024 WTI Warrants (as defined below), and 2025 WTI Warrants, refer to Note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and Note 10. Warrants.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24"/>
                <w:szCs w:val="24"/>
                <w:color w:val="auto"/>
              </w:rPr>
            </w:pPr>
          </w:p>
        </w:tc>
      </w:tr>
      <w:tr>
        <w:trPr>
          <w:trHeight w:val="238"/>
        </w:trPr>
        <w:tc>
          <w:tcPr>
            <w:tcW w:w="408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r>
      <w:tr>
        <w:trPr>
          <w:trHeight w:val="27"/>
        </w:trPr>
        <w:tc>
          <w:tcPr>
            <w:tcW w:w="4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2024 - 2025</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 - 15.99%</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2025 - 2026</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 - 15%</w:t>
            </w: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convertible 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2025 - 2026</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3.94% - 15%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debentures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- 5%</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convertible notes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23"/>
                <w:szCs w:val="23"/>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2025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13.50%</w:t>
            </w: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73,906</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4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convertible notes</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tcPr>
          <w:p>
            <w:pPr>
              <w:spacing w:after="0"/>
              <w:rPr>
                <w:sz w:val="21"/>
                <w:szCs w:val="2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29,514</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or per share data)</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0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mature as follows: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3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73,906</w:t>
            </w:r>
          </w:p>
        </w:tc>
      </w:tr>
      <w:tr>
        <w:trPr>
          <w:trHeight w:val="20"/>
        </w:trPr>
        <w:tc>
          <w:tcPr>
            <w:tcW w:w="9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60"/>
        <w:spacing w:after="0" w:line="281" w:lineRule="auto"/>
        <w:rPr>
          <w:sz w:val="20"/>
          <w:szCs w:val="20"/>
          <w:color w:val="auto"/>
        </w:rPr>
      </w:pPr>
      <w:r>
        <w:rPr>
          <w:rFonts w:ascii="Times New Roman" w:cs="Times New Roman" w:eastAsia="Times New Roman" w:hAnsi="Times New Roman"/>
          <w:sz w:val="18"/>
          <w:szCs w:val="18"/>
          <w:color w:val="auto"/>
        </w:rPr>
        <w:t>Principal amount of 1st extension promissory notes</w:t>
      </w:r>
    </w:p>
    <w:p>
      <w:pPr>
        <w:spacing w:after="0" w:line="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Principal amount of 2nd extension promissory notes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10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1080" w:type="dxa"/>
            <w:vAlign w:val="bottom"/>
          </w:tcPr>
          <w:p>
            <w:pPr>
              <w:spacing w:after="0"/>
              <w:rPr>
                <w:sz w:val="18"/>
                <w:szCs w:val="18"/>
                <w:color w:val="auto"/>
              </w:rPr>
            </w:pP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6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8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-616585</wp:posOffset>
            </wp:positionV>
            <wp:extent cx="71323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3360" w:space="100"/>
            <w:col w:w="7780"/>
          </w:cols>
          <w:pgMar w:left="320" w:top="12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5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4520" w:type="dxa"/>
            <w:vAlign w:val="bottom"/>
          </w:tcPr>
          <w:p>
            <w:pPr>
              <w:spacing w:after="0"/>
              <w:rPr>
                <w:sz w:val="18"/>
                <w:szCs w:val="18"/>
                <w:color w:val="auto"/>
              </w:rPr>
            </w:pP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or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r>
      <w:tr>
        <w:trPr>
          <w:trHeight w:val="27"/>
        </w:trPr>
        <w:tc>
          <w:tcPr>
            <w:tcW w:w="45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4520" w:type="dxa"/>
            <w:vAlign w:val="bottom"/>
          </w:tcPr>
          <w:p>
            <w:pPr>
              <w:spacing w:after="0"/>
              <w:rPr>
                <w:sz w:val="18"/>
                <w:szCs w:val="18"/>
                <w:color w:val="auto"/>
              </w:rPr>
            </w:pP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nine months ended September 30, 2025 (Successor),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nine months ended September 30, 2025 (Successor) was 13.50%.</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2024 WTI Warrants are classified as a liability in accordance with ASC 480, as they represent an instrument that is not an outstanding share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 the issuer to settle the obligation by transferring assets, specifically cash. The Company is amortizing the discount over the term of the WTI Facility using the straight-line method.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$3,462 recorded on the condensed consolidated statements of operations and comprehensive income (loss) for the three and nine months ended September 30, 2025 (Successor). The legal requirement to maintain at least $5,000 of cash on deposit is presented as Restricted cash on the condensed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4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2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3"/>
                <w:szCs w:val="23"/>
                <w:color w:val="auto"/>
              </w:rPr>
            </w:pPr>
          </w:p>
        </w:tc>
      </w:tr>
      <w:tr>
        <w:trPr>
          <w:trHeight w:val="27"/>
        </w:trPr>
        <w:tc>
          <w:tcPr>
            <w:tcW w:w="454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4540" w:type="dxa"/>
            <w:vAlign w:val="bottom"/>
          </w:tcPr>
          <w:p>
            <w:pPr>
              <w:spacing w:after="0"/>
              <w:rPr>
                <w:sz w:val="18"/>
                <w:szCs w:val="18"/>
                <w:color w:val="auto"/>
              </w:rPr>
            </w:pP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 and</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$30,000. The Existing Convertible Debentures are convertible into shares of Common Stock and contain certain features that represent embedded derivatives, which are bifurcated and included within Prepaid expenses and other current assets on the condensed consolidated balance sheets. The Company issued the aggregate principal amount of the Existing Convertible Debentures in two tranches tied to separate reporting and filing requirements.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2025, the Company issued the first tranche of the Existing Convertible Debentures with a principal amount of $20,000, resulting in cash proceeds to the Company of $18,000,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September 30, 2025 (subject to future adjustments to the number and type of shares pursuant to the 2025 WTI Warrants), to the WTI Holders. Each of the 2025 WTI Warrants is exercisable through March 31, 2035. For further information on the 2025 WTI Warrants, refer to Note 10. Warrants.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the second tranche of the Existing Convertible Debentures with a principal amount of $10,000, resulting in cash proceeds to the Company of $9,000, representing an original issue discount of 10%. The second tranche was scheduled to be repaid in eleven monthly payments with a 5% payment premium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lender with each payment. There is no contractual interest associated with amounts outstanding for the Existing Convertible Debentures for the three and nine months ended September 30, 2025 (Successor).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$2,000.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15, 2025, the Company entered into a securities purchase agreement (the “Securities Purchase Agreement”) with Yorkville for up to $15,000 in convertible debentures (“New Convertible Debentures”), issuable in two tranches. The first tranche of $10,000 was issued with a 10% original issue discount, yielding $9,000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As of September 30, 2025, the second tranche of $5,000 had not been issued due to unmet requirements.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No gain or loss was recognized under the troubled debt restructuring accounting.</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(Successor), the Company issued 523,748 and 997,573 shares, respectively, of its Common Stock pursuant to the SEPA in payment of $2,602 and $4,937 of principal, respectively, and $130 and $247 of payment premium, respectively, for the Convertible Debentures. Also, the Company issued 140,168 shares of Common Stock due to the exercise of conversion option by Yorkville for a principal amount of $776 of the Convertible Debentures. For further information on this conversion, see Note 11. Stockholders' Equity. During the three months ended September 30, 2025 (Successor) and nine months ended September 30, 2025 (Successor), the Company made cash payments toward the Convertible Debentures totaling $552 and $1,386 of principal and $28 and $69 of payment premium,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Convertible Debentures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4540" w:type="dxa"/>
            <w:vAlign w:val="bottom"/>
          </w:tcPr>
          <w:p>
            <w:pPr>
              <w:spacing w:after="0"/>
              <w:rPr>
                <w:sz w:val="18"/>
                <w:szCs w:val="18"/>
                <w:color w:val="auto"/>
              </w:rPr>
            </w:pP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various dates in June and July of 2025, Accelsius entered into unsecured convertible notes with various other parties (the “Term Convertible Notes”) for a total principal amount of $7,750. The Term Convertible Notes have a stated maturity date of December 31, 2026 and bear interest at the annual applicable federal rate published by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w:t>
      </w:r>
    </w:p>
    <w:p>
      <w:pPr>
        <w:spacing w:after="0" w:line="122" w:lineRule="exact"/>
        <w:rPr>
          <w:sz w:val="20"/>
          <w:szCs w:val="20"/>
          <w:color w:val="auto"/>
        </w:rPr>
      </w:pPr>
    </w:p>
    <w:p>
      <w:pPr>
        <w:ind w:right="220"/>
        <w:spacing w:after="0" w:line="469" w:lineRule="auto"/>
        <w:rPr>
          <w:sz w:val="20"/>
          <w:szCs w:val="20"/>
          <w:color w:val="auto"/>
        </w:rPr>
      </w:pPr>
      <w:r>
        <w:rPr>
          <w:rFonts w:ascii="Times New Roman" w:cs="Times New Roman" w:eastAsia="Times New Roman" w:hAnsi="Times New Roman"/>
          <w:sz w:val="18"/>
          <w:szCs w:val="18"/>
          <w:color w:val="auto"/>
        </w:rPr>
        <w:t xml:space="preserve">The interest expense on the Term Convertible Notes was $85 and $88 for the three and nine months ended September 30, 2025 (Successor), respectively. </w:t>
      </w:r>
      <w:r>
        <w:rPr>
          <w:rFonts w:ascii="Times New Roman" w:cs="Times New Roman" w:eastAsia="Times New Roman" w:hAnsi="Times New Roman"/>
          <w:sz w:val="18"/>
          <w:szCs w:val="18"/>
          <w:b w:val="1"/>
          <w:bCs w:val="1"/>
          <w:i w:val="1"/>
          <w:iCs w:val="1"/>
          <w:color w:val="auto"/>
        </w:rPr>
        <w:t>Related Party Convertible Notes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On June 27, 2025, Accelsius received the first $1,000 draw and on July 24, 2025 received the second $1,000 draw, with a total outstanding principal of $2,000 as of September 30, 2025. The CPN has a stated interest rate of 15% and Accelsius is required to pay a loan fee (“Loan Fee”) of $35 upon maturity, repayment or conversion of this note.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of 2025, 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The Related Party Term Convertible Notes have a stated maturity date of December 31, 2026 and bear interest at the annual applicable federal rate published by the Internal Revenue Service.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expense on Related Party Convertible Notes, including the amortization of the loan fee, was $97 and $99 for the three and nine months ended September 30, 2025 (Successor),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2025 Notes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September 19, 2025, Accelsius issued unsecured convertible promissory notes (the “August 2025 Notes”) totaling $9,150 in principal, with $7,300 in proceeds received by September 30, 2025. The notes bear interest at 6.5% annually, are repayable upon demand after two years and are subordinate to existing senior debt. Upon the Company’s next preferred equity round raising at least $5,000 from unaffiliated investors,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will automatically convert into preferred units at 80% of the unit price, with accompanying warrants exercisable for 0.5 units at 120% of the unit price. During the three and nine months ended September 30, 2025 (Successor), the Company recognized $1,677 related to the change in fair value of the embedded derivative liability tied to the contingent conversion feature.</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August 2025 Notes are subordinate to the WTI Facility, Convertible Debentures, Term Convertible Notes and indebtedness of Accelsius owed to Innventure LLC and for as long as any portion of these senior debts remains outstanding, the lenders will not demand payment related to this August 2025 Notes, unless they convert the debt into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expense on the August 2025 Notes was $37 for the three and nine months ended September 30, 2025 (Successor).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9"/>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46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r>
      <w:tr>
        <w:trPr>
          <w:trHeight w:val="237"/>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46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37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667,936</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(346,557)</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323,463</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nine months ended September 30, 2025 (Successor), the Company recorded $346,557 in non-deductible, non-cash goodwill impairment charges,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7"/>
                <w:szCs w:val="7"/>
                <w:color w:val="auto"/>
              </w:rPr>
            </w:pPr>
          </w:p>
        </w:tc>
        <w:tc>
          <w:tcPr>
            <w:tcW w:w="11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vMerge w:val="restart"/>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Period Remaining</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7"/>
                <w:szCs w:val="7"/>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7"/>
                <w:szCs w:val="7"/>
                <w:color w:val="auto"/>
              </w:rPr>
            </w:pPr>
          </w:p>
        </w:tc>
        <w:tc>
          <w:tcPr>
            <w:tcW w:w="940" w:type="dxa"/>
            <w:vAlign w:val="bottom"/>
            <w:vMerge w:val="restart"/>
          </w:tcPr>
          <w:p>
            <w:pPr>
              <w:jc w:val="right"/>
              <w:ind w:right="192"/>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finite-lived intangible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165,941</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of $5,404 and $16,212 was recognized for the three and nine months ended September 30, 2025 (Successor), respectively, and is recorded within Cost of sales, General and administrative and Research and development on the condensed consolidated statements of operations and comprehensive income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4"/>
        </w:trPr>
        <w:tc>
          <w:tcPr>
            <w:tcW w:w="9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1"/>
        </w:trPr>
        <w:tc>
          <w:tcPr>
            <w:tcW w:w="9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nine months of fiscal year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165,941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Earnout Shares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Earnout Shares related to milestone three are liability classified and were fair valued at $5,460 and $14,752 as of September 30, 2025 and December 31, 2024, respectively. The Company recognized a loss of $1,090 and gain of $8,419 in Change in fair value of financial liabilities on the condensed consolidated statements of operations and comprehensive income (loss) for the three and nine months ended September 30, 2025 (Successor), respectively.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Warrants</w:t>
            </w:r>
          </w:p>
        </w:tc>
        <w:tc>
          <w:tcPr>
            <w:tcW w:w="1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23"/>
        </w:trPr>
        <w:tc>
          <w:tcPr>
            <w:tcW w:w="50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Public</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Private</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2024</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2025</w:t>
            </w:r>
          </w:p>
        </w:tc>
      </w:tr>
      <w:tr>
        <w:trPr>
          <w:trHeight w:val="238"/>
        </w:trPr>
        <w:tc>
          <w:tcPr>
            <w:tcW w:w="50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WTI Warrants</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WTI Warrants</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11,240,688</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7,146,000</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September 30, 2025 (Successor)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11,240,688</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7,146,000</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during the three and nine months ended September 30, 2024 (Predecessor).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equity-classified public warrants expire on October 2, 2029 or earlier upon redemption or liquidation and are exercisable for $11.50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September 30, 2025 (Successor) and December 31, 2024 (Predecessor), the fair value of the private placement warrants is $6,392 and $16,793, respectively, and is presented as a current liability in the condensed consolidated balance sheets. For the three and nine months ended September 30, 2025 (Successor), the Company recognized a gain of $754 and $10,401, respectively, in Change in fair value of financial liabilities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$12,720 and $17,230 as of September 30, 2025 (Successor) and December 31, 2024 (Predecessor), respectively. For the three and nine months ended September 30, 2025 (Successor), the Company recognized a loss of $270 and gain of $4,510, respectively, in change in fair value of financial liabilities on the condensed consolidated statements of operations and comprehensive income (loss). The 2024 WTI Warrants expire on March 31, 2035. See Note 4. Fair Value for details on the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$3,630 as of September 30, 2025 (Successor). For the three and nine months ended September 30, 2025 (Successor), the Company recognized a loss of $230 and $540, respectively, in the change in fair value of financial liabilities on the condensed consolidated statements of operations and comprehensive income (loss). The 2025 WTI Warrants expire on March 31, 2035. See Note 4. Fair Value for details on the valuation.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3,000,000 shares of the authorized preferred stock are designated as Series B preferred stock, $0.0001 par value per share (“Series B Preferred Stock”).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nine months ended September 30, 2025 (Successor), the holders of Series B Preferred Stock exercised their conversion right and converted 1,085,664 shares of Series B Preferred Stock for 2,164,673 shares of Common Stock. Upon conversion, all the converted Series B Preferred Stock shares were canceled and retired.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the Company had a total of 33,144 shares of Series B Preferred Stock issued and outstanding as of September 30, 2025. As of September 30, 2025, the Company accrued $20 for the 8% dividend in the Obligation to issue equity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nine months ended September 30, 2025 (Successor), the holders of Series C Preferred Stock exercised their conversion right and converted 2,735,848 shares of Series C Preferred Stock for 5,471,696 shares of Common Stock. Upon conversion, all the converted Series C Preferred Stock shares were canceled and retired.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C Preferred Stock is subject to similar terms and conditions as the Series B Preferred Stock. The Company had a total of 150,000 shares of Series C Preferred Stock issued and outstanding as of September 30, 2025. As of September 30, 2025, the Company accrued $60 for the 8% dividend in the Obligation to issue equity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As of September 30, 2025 there were 56,220,158 shares of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 the Company issued 523,748 and 997,573 shares of Common Stock to the investors as repayments under the Convertible Debentures referenced in Note 5. Borrowings during the three and nine months ended September 30, 2025 (Successor),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(Successor), in addition to the Common Stock issuances pursuant to the SEPA made in repayment towards the Convertible Debentures noted above, the Company sold — and 73,993 shares of Common Stock under the SEPA, raising $— and $931 in cash proceeds, respectively, which is classified within Issuance of common shares, net of issuance costs in the condensed consolidated statements of changes in mezzanine and stockholders' equity (deficit). As of September 30, 2025, the maximum remaining availability under the SEPA is approximately $67,000.</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access the SEPA is subject to certain conditions and limitations in the SEPA and the Purchase Agreements, which impose further limitations and conditions upon the Company’s ability to access the SEPA.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Convertible Debentures (further defined in Note 5. Borrowings), the Company issued 140,168 shares of Common Stock to Yorkville as repayments under the Convertible Debentures during the three and nine months ended September 30, 2025 (Successor).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2025, the Company issued 111,525 restricted stock units (“RSUs”) to five directors pursuant to the Innventure Non-Management Director Compensation Plan. The RSUs had a grant date fair value of $600 based on a fair value per unit of $5.38. The fair value of RSUs is determined based on the closing market price of the Company’s Common Stock at the date of the grant.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15, 2025, the Company issued 327,248 shares of Common Stock to settle 412,156 vested RSUs net of taxes that were originally issued as part of the 2024 Equity and Incentive Compensation Plan.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25, 2025, the Company issued 519,189 RSUs to five key employees. The RSUs had a grant date fair value of $2,303 based on a fair value per unit of $4.44. The fair value of RSUs is determined based on the closing market price of the Company’s Common Stock at the date of the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(Successor), the Company recognized compensation costs related to the RSUs of $3,534 and $14,429, respectively, in the condensed consolidated statements of operations and comprehensive income (loss). As of September 30, 2025, the Company had $11,168 in stock-based compensation expense remaining to be recognized over approximately 1.8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90,000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(Successor), the Company recognized compensation costs related to the stock options of $1,192 and $3,733, respectively, in the condensed consolidated statements of operations and comprehensive income (loss). As of September 30, 2025, the Company had $2,633 in compensation expense remaining to be recognized over approximately 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September 30, 2025 using the Black-Scholes option-pricing model based on an expected volatility of 70%, an expected term of approximately 1.3 years, and risk-free rate of return of 4%. The Company recognized a decrease in compensation expense in the amount of $237 and $931 in relation to the change in fair value of the cash-settled SARs for the three and nine months ended September 30, 2025 (Successor),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(Successor), there were 915,000 and 1,048,000 Class C units granted, respectively with a grant date fair value per share of $20.31 and $20.60, respectively. During the three and nine months ended September 30, 2024 (Predecessor), there were $ — and 110,000 Class C units granted, respectively, with a grant date fair value per unit of $— and $4.41,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of $2,747 and $4,557 for the three and nine months ended September 30, 2025 (Successor) and $326 and $919 for the three and nine months ended September 30, 2024 (Predecessor), respectively, in the condensed consolidated statements of operations and comprehensive income (loss). As of September 30, 2025, the Company had $24,179 in unit-based compensation expense remaining to be recognized over approximately 2.2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(Successor), the Company recognized income tax benefits of $3,603 and $7,222,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(Predecessor), no income tax provision or expense was recorded.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September 30, 2025 (Successor) was a benefit of 9.40%, driven primarily by an increase in the valuation allowance as a result of pre-tax book loss activity. For the nine months ended September 30, 2025 (Successor), the effective tax rate was a benefit of 1.65% driven primarily by the impact of the goodwill impairment, which is not deductible for tax purposes.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nine months ended September 30,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(255,556)</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 for participating securities</w:t>
            </w: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(255,636)</w:t>
            </w: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(28,360)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(255,636)</w:t>
            </w:r>
          </w:p>
        </w:tc>
      </w:tr>
      <w:tr>
        <w:trPr>
          <w:trHeight w:val="27"/>
        </w:trPr>
        <w:tc>
          <w:tcPr>
            <w:tcW w:w="7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55,846,721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51,583,853</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r>
      <w:tr>
        <w:trPr>
          <w:trHeight w:val="27"/>
        </w:trPr>
        <w:tc>
          <w:tcPr>
            <w:tcW w:w="7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10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5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75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7"/>
        </w:trPr>
        <w:tc>
          <w:tcPr>
            <w:tcW w:w="7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WTI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6,409,815</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8,102,531</w:t>
            </w:r>
          </w:p>
        </w:tc>
      </w:tr>
      <w:tr>
        <w:trPr>
          <w:trHeight w:val="27"/>
        </w:trPr>
        <w:tc>
          <w:tcPr>
            <w:tcW w:w="7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WTI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495,074</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w:t>
            </w: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279,723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194,062</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1,041,667</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1,041,667</w:t>
            </w: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2,210,225</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2,210,225</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was converted during the nine months ended September 30, 2024 (Predecessor). During the nine months ended September 30, 2025 (Successor), the Company entered into the Related Party Convertible Notes with various related parties, including other lenders.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Accelsius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On August 25, 2025, the Company issued 338,601 RSUs with a grant date fair value of $1,502 to two directors, pursuant to the 2024 Equity and Incentive Compensation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2. Accounting Policies in our 2024 Annual Report, the Company earns a 1-2% management fee for administrative, finance and accounting, and other back-office functions from the ESG Fund. Management fees earned from the ESG Fund were $— and $391 for the three and nine months ended September 30, 2025 (Successor), respectively, and $195 and $588 for the three and nine months ended September 30, 2024 (Predecessor), respectively, which is recorded as Revenue in the condensed consolidated statements of operations and comprehensive income (loss).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$6,870 and $4,375, respectively, of advances to AeroFlexx which is included in Due from related parties in the condensed consolidated balance sheets. The advances have no stated interest or maturity date but are expected to be repaid within a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2025 (Successor) and December 31, 2024 (Predecessor),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2025, Accelsius entered into an amended and restated agreement with the MNC. The amended agreement modifies several terms and notably</w:t>
      </w:r>
    </w:p>
    <w:p>
      <w:pPr>
        <w:spacing w:after="0" w:line="27" w:lineRule="exact"/>
        <w:rPr>
          <w:sz w:val="20"/>
          <w:szCs w:val="20"/>
          <w:color w:val="auto"/>
        </w:rPr>
      </w:pPr>
    </w:p>
    <w:p>
      <w:pPr>
        <w:ind w:right="20" w:firstLine="8"/>
        <w:spacing w:after="0" w:line="260"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fixed installment payments, as disclosed below, for each year of the agreement through December 31, 2040.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nine months of fiscal year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pay a semi-annual fee of $65 until ownership transfers or the Gasification Technology is no longer licensed, which is accrued on a monthly basis. During the three and nine months ended September 30, 2025 (Successor), $98 and $33, respectively, related to the Gasification Technology was recognized within General and administrative expense in the condensed consolidated statements of operations and comprehensive income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pay annual royalties based on Refinity-related gross sales and licensing revenue starting in 2025. For the three and nine months ended September 30, 2025 (Successor), no royalty payments were made to the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Framework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2025, Refinity entered into the Framework Agreement (“Framework Agreement”) with a third party to obtain research services focusing on the further development and optimization of the Gasification Technology.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nine months ended September 30, 2025 (Successor), Refinity incurred €379 and €960, respectively, of service expenses toward the Year 1 minimum fee. After currency conversion, Refinity incurred $445 and $1,064, respectively, toward the Year 1 minimum fee during the three and nine months ended September 30, 2025 (Successor). Additionally, during the three and nine months ended September 30, 2025 (Successor), Refinity made payments of $784 and $1,086, respectively, on costs incurred as a part of the Year 1 minimum fee.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Advance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received $2,159 of advance funds for future equity issuance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amount is shown within </w:t>
      </w:r>
      <w:r>
        <w:rPr>
          <w:rFonts w:ascii="Times New Roman" w:cs="Times New Roman" w:eastAsia="Times New Roman" w:hAnsi="Times New Roman"/>
          <w:sz w:val="18"/>
          <w:szCs w:val="18"/>
          <w:i w:val="1"/>
          <w:iCs w:val="1"/>
          <w:color w:val="auto"/>
        </w:rPr>
        <w:t>'Obligation to issue equity'</w:t>
      </w:r>
      <w:r>
        <w:rPr>
          <w:rFonts w:ascii="Times New Roman" w:cs="Times New Roman" w:eastAsia="Times New Roman" w:hAnsi="Times New Roman"/>
          <w:sz w:val="18"/>
          <w:szCs w:val="18"/>
          <w:color w:val="auto"/>
        </w:rPr>
        <w:t xml:space="preserve"> of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Data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three and nine months ended September 30, 2025 (Successor) and the three and nine months ended September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08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4540" w:type="dxa"/>
            <w:vAlign w:val="bottom"/>
          </w:tcPr>
          <w:p>
            <w:pPr>
              <w:spacing w:after="0"/>
              <w:rPr>
                <w:sz w:val="15"/>
                <w:szCs w:val="15"/>
                <w:color w:val="auto"/>
              </w:rPr>
            </w:pPr>
          </w:p>
        </w:tc>
        <w:tc>
          <w:tcPr>
            <w:tcW w:w="1660" w:type="dxa"/>
            <w:vAlign w:val="bottom"/>
            <w:tcBorders>
              <w:top w:val="single" w:sz="8" w:color="auto"/>
              <w:right w:val="single" w:sz="8" w:color="auto"/>
            </w:tcBorders>
            <w:gridSpan w:val="3"/>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5"/>
                <w:szCs w:val="15"/>
                <w:color w:val="auto"/>
              </w:rPr>
            </w:pPr>
          </w:p>
        </w:tc>
        <w:tc>
          <w:tcPr>
            <w:tcW w:w="1660" w:type="dxa"/>
            <w:vAlign w:val="bottom"/>
            <w:tcBorders>
              <w:top w:val="single" w:sz="8" w:color="auto"/>
              <w:right w:val="single" w:sz="8" w:color="auto"/>
            </w:tcBorders>
            <w:gridSpan w:val="3"/>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6"/>
        </w:trPr>
        <w:tc>
          <w:tcPr>
            <w:tcW w:w="4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380,399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16,322</w:t>
            </w:r>
          </w:p>
        </w:tc>
      </w:tr>
      <w:tr>
        <w:trPr>
          <w:trHeight w:val="270"/>
        </w:trPr>
        <w:tc>
          <w:tcPr>
            <w:tcW w:w="45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6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(12,818)</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(5,783)</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(379,633)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depreciation expense not already included in Cost of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 change in fair value of embedded derivative liability, loss on conversion of promissory note, travel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condensed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316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4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2025 (Successor)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20" w:type="dxa"/>
            <w:vAlign w:val="bottom"/>
          </w:tcPr>
          <w:p>
            <w:pPr>
              <w:spacing w:after="0"/>
              <w:rPr>
                <w:sz w:val="20"/>
                <w:szCs w:val="20"/>
                <w:color w:val="auto"/>
              </w:rPr>
            </w:pPr>
          </w:p>
        </w:tc>
        <w:tc>
          <w:tcPr>
            <w:tcW w:w="15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2025 (Successor)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250"/>
        </w:trPr>
        <w:tc>
          <w:tcPr>
            <w:tcW w:w="4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(429,684)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r>
    </w:tbl>
    <w:p>
      <w:pPr>
        <w:spacing w:after="0" w:line="238" w:lineRule="exact"/>
        <w:rPr>
          <w:sz w:val="20"/>
          <w:szCs w:val="20"/>
          <w:color w:val="auto"/>
        </w:rPr>
      </w:pPr>
    </w:p>
    <w:p>
      <w:pPr>
        <w:ind w:right="1060"/>
        <w:spacing w:after="0" w:line="470" w:lineRule="auto"/>
        <w:rPr>
          <w:sz w:val="20"/>
          <w:szCs w:val="20"/>
          <w:color w:val="auto"/>
        </w:rPr>
      </w:pPr>
      <w:r>
        <w:rPr>
          <w:rFonts w:ascii="Times New Roman" w:cs="Times New Roman" w:eastAsia="Times New Roman" w:hAnsi="Times New Roman"/>
          <w:sz w:val="18"/>
          <w:szCs w:val="18"/>
          <w:color w:val="auto"/>
        </w:rPr>
        <w:t>All long-lived assets are located entirely in the United States. Segment assets are not reviewed by the CODM and therefore are not disclosed. Note 18.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occurring after September 30, 2025 are: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and November 2025, the Company issued a total of 4,596,315 shares of Common Stock to Yorkville for a total principal amount of $12,900 of the Convertible Debentures, due to the exercise of conversion option by Yorkville as referenced in Note 5. Borrowings.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2, 2025, Accelsius issued and sold 685,163 Series B-1 Units (the “Series B-1 Units”) to Johnson Controls, Inc. (“JCI”) for approximately $25,000, before deducting financial advisor fees and other estimated offering expenses. JCI is entitled to appoint and remove a director to the board of directors of Accelsius if JCI and its affiliates maintain a significant ownership percentage. As a result of the sale of Series B-1 Units to JCI, the August 2025 Notes converted into 251,452 Series B-2 units and 125,725 B-2 Warrants were issued.</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3, 2025, the Company raised approximately $9,751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2025, the Company repaid the CPN in full due to its related party, amounting to $2,000 in principal, $74 in interest, and $35 for the loan fee, for a total of $2,109.</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12, 2025, the Company issued the second tranche of the New Convertible Debentures for $5,000, as referenced in Note 5. Borrowings. The debentures were issued with a 10% original issue discount, yielding $4,500 in net proceeds, bear 5% annual interest, and mature on September 15,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and our predecessor’s, as applicable, unaudited condensed consolidated financial statements and related notes as of September 30, 2025 and for the three and nine months ended September 30,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Refer to Item 1. Business of the Form 10-K for a detailed discussion of our business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additional internal and external accounting, legal and administrative resources, including increased audit and legal fees.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2025 (Successor) and three and nine months ended September 30, 2024 (Predecessor) (in thousands, except as otherwise noted)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three and nine months ended September 30, 2024 (labeled “Predecessor”) and (2) three and nine months ended September 30, 2025 (labeled “Successor”).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0" w:type="dxa"/>
            <w:vAlign w:val="bottom"/>
          </w:tcPr>
          <w:p>
            <w:pPr>
              <w:spacing w:after="0"/>
              <w:rPr>
                <w:sz w:val="14"/>
                <w:szCs w:val="14"/>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Predecessor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5060" w:type="dxa"/>
            <w:vAlign w:val="bottom"/>
          </w:tcPr>
          <w:p>
            <w:pPr>
              <w:spacing w:after="0"/>
              <w:rPr>
                <w:sz w:val="12"/>
                <w:szCs w:val="12"/>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w:t>
            </w:r>
          </w:p>
        </w:tc>
        <w:tc>
          <w:tcPr>
            <w:tcW w:w="60" w:type="dxa"/>
            <w:vAlign w:val="bottom"/>
          </w:tcPr>
          <w:p>
            <w:pPr>
              <w:spacing w:after="0"/>
              <w:rPr>
                <w:sz w:val="12"/>
                <w:szCs w:val="12"/>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w:t>
            </w:r>
          </w:p>
        </w:tc>
        <w:tc>
          <w:tcPr>
            <w:tcW w:w="340" w:type="dxa"/>
            <w:vAlign w:val="bottom"/>
          </w:tcPr>
          <w:p>
            <w:pPr>
              <w:spacing w:after="0"/>
              <w:rPr>
                <w:sz w:val="12"/>
                <w:szCs w:val="12"/>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30, 2025</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30, 2024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668"/>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647"/>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0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0" w:type="dxa"/>
            <w:vAlign w:val="bottom"/>
            <w:tcBorders>
              <w:bottom w:val="single" w:sz="8" w:color="CCEEFF"/>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1,234</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Cost of sales</w:t>
            </w:r>
          </w:p>
        </w:tc>
        <w:tc>
          <w:tcPr>
            <w:tcW w:w="800" w:type="dxa"/>
            <w:vAlign w:val="bottom"/>
          </w:tcPr>
          <w:p>
            <w:pPr>
              <w:spacing w:after="0"/>
              <w:rPr>
                <w:sz w:val="13"/>
                <w:szCs w:val="13"/>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7,192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825.6</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55,172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29,849</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800" w:type="dxa"/>
            <w:vAlign w:val="bottom"/>
          </w:tcPr>
          <w:p>
            <w:pPr>
              <w:spacing w:after="0"/>
              <w:rPr>
                <w:sz w:val="13"/>
                <w:szCs w:val="13"/>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346,557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346,557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36"/>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Sales and marketing</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6,818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2,640</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00" w:type="dxa"/>
            <w:vAlign w:val="bottom"/>
          </w:tcPr>
          <w:p>
            <w:pPr>
              <w:spacing w:after="0"/>
              <w:rPr>
                <w:sz w:val="13"/>
                <w:szCs w:val="13"/>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18,472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50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434,211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36,256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397,955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1,097.6 %</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Loss from Operations</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(432,977)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(35,492)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(397,485)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1,119.9 %</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Non-operating (Expense) and Income</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Interest expense, net</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on investments</w:t>
            </w:r>
          </w:p>
        </w:tc>
        <w:tc>
          <w:tcPr>
            <w:tcW w:w="8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15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 on investments – due to related parties</w:t>
            </w:r>
          </w:p>
        </w:tc>
        <w:tc>
          <w:tcPr>
            <w:tcW w:w="8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19,496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19,974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(4,178.7) %</w:t>
            </w:r>
          </w:p>
        </w:tc>
        <w:tc>
          <w:tcPr>
            <w:tcW w:w="0" w:type="dxa"/>
            <w:vAlign w:val="bottom"/>
          </w:tcPr>
          <w:p>
            <w:pPr>
              <w:spacing w:after="0"/>
              <w:rPr>
                <w:sz w:val="1"/>
                <w:szCs w:val="1"/>
                <w:color w:val="auto"/>
              </w:rPr>
            </w:pPr>
          </w:p>
        </w:tc>
      </w:tr>
      <w:tr>
        <w:trPr>
          <w:trHeight w:val="15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Equity method investment (loss) income</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(1,251.4) %</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15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8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Miscellaneous other expense</w:t>
            </w: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47"/>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Non-operating (Expense) Income</w:t>
            </w: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(3,929)</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9,011</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(12,940)</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(143.6)%</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5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benefit</w:t>
            </w:r>
          </w:p>
        </w:tc>
        <w:tc>
          <w:tcPr>
            <w:tcW w:w="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8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(429,684)</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(26,481)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(403,203)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1,522.6 %</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loss attributable to</w:t>
            </w:r>
          </w:p>
        </w:tc>
        <w:tc>
          <w:tcPr>
            <w:tcW w:w="8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Non-controlling interest</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(174,128)</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(162,366)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50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Loss Attributable to Innventure, Inc. Stockholders / Innventure LLC Unitholders</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(255,556)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(240,837)</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1,636.2 %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0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 net of taxes:</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Unrealized gain (loss) on available for sale debt securities - related party</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 %</w:t>
            </w:r>
          </w:p>
        </w:tc>
        <w:tc>
          <w:tcPr>
            <w:tcW w:w="0" w:type="dxa"/>
            <w:vAlign w:val="bottom"/>
          </w:tcPr>
          <w:p>
            <w:pPr>
              <w:spacing w:after="0"/>
              <w:rPr>
                <w:sz w:val="1"/>
                <w:szCs w:val="1"/>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Reclassification of realized gain on conversion of available for sale investments</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36"/>
        </w:trPr>
        <w:tc>
          <w:tcPr>
            <w:tcW w:w="50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 net of taxes</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(1,917)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(2,373)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456</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(19.2)%</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loss, net of taxes</w:t>
            </w: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(431,601)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(28,854)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(402,747)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1,395.8 %</w:t>
            </w:r>
          </w:p>
        </w:tc>
        <w:tc>
          <w:tcPr>
            <w:tcW w:w="0" w:type="dxa"/>
            <w:vAlign w:val="bottom"/>
          </w:tcPr>
          <w:p>
            <w:pPr>
              <w:spacing w:after="0"/>
              <w:rPr>
                <w:sz w:val="1"/>
                <w:szCs w:val="1"/>
                <w:color w:val="auto"/>
              </w:rPr>
            </w:pPr>
          </w:p>
        </w:tc>
      </w:tr>
      <w:tr>
        <w:trPr>
          <w:trHeight w:val="14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comprehensive loss attributable to</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Non-controlling interest</w:t>
            </w: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(174,128)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(162,366)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Comprehensive Loss Attributable to Innventure, Inc. Stockholders / Innventure LLC Unitholders</w:t>
            </w:r>
          </w:p>
        </w:tc>
        <w:tc>
          <w:tcPr>
            <w:tcW w:w="80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(257,473)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(17,092)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(240,381)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1,406.4 %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type w:val="continuous"/>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$1,234 for the nine months ended September 30, 2025 (Successor) and $764 for the nine months ended September 30, 2024 (Predecessor), an increase of $470, or 61.5%. The increase was driven by an increase of $667 of product sales in the Technology segment, offset by a decrease of $197 of management fee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was $7,192 for the nine months ended September 30, 2025 (Successor) and $777 for the nine months ended September 30, 2024 (Predecessor), an increase of $6,415, or 825.6%. The increase relates to the generation of revenue at the Technology segment resulting in an increase in costs related to supplies and materials amounting to $798, an increase in amortization of intangible assets of $3,660 and an increase in employee costs of $1,642.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$55,172 for the nine months ended September 30, 2025 (Successor) and $25,323 for the nine months ended September 30, 2024 (Predecessor), an increase of $29,849, or 117.9%. The increase in expenditure was attributed to increased stock-based compensation costs of $21,916, increased intangible asset amortization of $3,563 and increased professional and legal fees of $4,430.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impairment expense was $346,557 for the nine months ended September 30, 2025 (Successor) and $— for the nine months ended September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For the three months ended September 30, 2025 (Successor), there was no goodwill impairment charge.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$6,818 for the nine months ended September 30, 2025 (Successor) and $4,178 for the nine months ended September 30, 2024 (Predecessor), an increase of $2,640, or 63.2%. The increase was due to increased employee costs of $1,772 and an increase in advertising and marketing-related events and expenses primarily associated with the commercialization phase of the Technology segment of $745.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$18,472 for the nine months ended September 30, 2025 (Successor) and $5,978 for the nine months ended September 30, 2024 (Predecessor), an increase of $12,494 or 209.0%. The increase was due to an increase in amortization of intangible assets of $8,981, an increase in employee costs of $2,154 and an increase in development fees at Refinity of roughly $1,357.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expense, net was $7,586 for the nine months ended September 30, 2025 (Successor) and $1,300 for the nine months ended September 30, 2024 (Predecessor), an increase of $6,286, or 483.5%. The increase was due to interest expense on the convertible debentures (collectively, the “Convertible Debentures”) issued to Yorkville pursuant to each of the securities purchase agreement, dated September 15, 2025 (“Securities Purchase Agreement”), and the securities purchase agreement, dated March 25, 2025, of $3,705, contractual interest expense for the term loan agreement entered into on October 22, 2024 by and among the Company and WTI Fund X, Inc. and WTI Fund XI, Inc. (collectively, “WTI Lenders”), which provides for a term loan facility in the aggregate principal amount of up to $50,000 (the “WTI Facility”) of $2,048, amortization of issuance costs on the WTI Facility of $1,457, partially offset by a net decrease in interest expense related to other debt instruments that have been paid down of $587 and by an increase in interest income of $389.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 for the nine months ended September 30, 2025 (Successor) and $11,547 for the nine months ended September 30, 2024 (Predecessor), a decrease of $11,547 or 100.0%. The decrease was due to the gain on investment in PureCycle Technologies, Inc. (“PCT”) owned stock via Class PCTA units during the nine months ended September 30, 2024 (Predecessor), which is no longer consolidated in the Company’s condensed consolidated financial statements as a result of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on investments – due to related parties was $— for the nine months ended September 30, 2025 (Successor) and $468 for the nine months ended September 30, 2024 (Predecessor), a decrease of $468 or 100.0%. The decrease was due to an increase in the fair value of the liability of PCT stock owed to other parties for the nine months ended September 30, 2024 (Predecessor). The Class PCTA associated liabilities are no longer consolidated in the Company’s condensed consolidated financial statements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financial liabilities decreased by $19,496 for the nine months ended September 30, 2025 (Successor) and increased by $478 for the nine months ended September 30, 2024 (Predecessor), an increase to income of $19,974, or 4,178.7%. The increase to income was primarily due to decreases in fair value for warrants of $14,371 and earnout liabilities of $8,419 and was offset by a net increase in the fair value of the embedded derivative liabilities of $2,816.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method investment loss was $10,282 for the nine months ended September 30, 2025 (Successor) and the equity method investment income was $893 for the nine months ended September 30, 2024 (Predecessor), a change of $11,175, or 1,251.4%. The loss during the nine months ended September 30, 2025 (Successor) is related to losses from the Company’s equity method investment in AeroFlexx of $10,233. The income during the nine months ended September 30, 2024 (Predecessor) was due to allocated income from the Innventus ESG Fund I, L.P. (the “ESG Fund”) of $1,742 offset by losses from the Company’s equity method investment in AeroFlexx of $849.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conversion of available for sale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conversion of available for sale investment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debt was $3,462 for the nine months ended September 30, 2025 (Successor) and $— for the nine months ended September 30, 2024 (Predecessor), an increase of $3,462. The increase was due to the modification of the WTI Facility in connection with the issuance of the first tranche of Convertible Debentures to Yorkville, which was accounted for as an extinguishment. There was no gain or loss on extinguishment of debt for the nine months ended September 30,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related party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related party debt was $3,538 for the nine months ended September 30, 2025 (Successor) and $— for the nine months ended September 30, 2024 (Predecessor), an increase of $3,538. The increase was due to the extinguishment of the related party loans by additional issuances of the Company’s series C preferred stock, $0.0001 par value per share (“Series C Preferred Stock”) during the nine months ended September 30, 2025 (Successor). There was no gain or loss on extinguishment of related party debt for the nine months ended September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conversion of promissory notes was $— for the nine months ended September 30, 2025 (Successor) and $1,119 for the nine months ended September 30, 2024 (Predecessor), a decrease of $1,119 or 100.0%. This was due to the automatic conversion of promissory notes during the nine months ended September 30, 2024 (Predecessor) into equity instruments which was treated as an extinguishment thereby generating a loss. There was no equivalent transaction for the nine months ended September 30, 2025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available for sale debt securities - related party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available for sale debt securities - related party was $410 for the nine months ended September 30, 2025 (Successor) and $2,373 for the nine months ended September 30, 2024 (Predecessor), a decrease of $1,963 or 82.7%. The decrease was due to the fair value adjustment to the AeroFlexx investment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realized gain on conversion of available for sale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 of realized gain on conversion of available for sale investments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interests was $174,128 for the nine months ended September 30, 2025 (Successor) and $11,762 for the nine months ended September 30, 2024 (Predecessor), an increase of $162,366, or 1,380.4%. This was due to the increase in the Technology segment net loss as a result of goodwill impairment during the nine months ended September 30, 2025 (Successor) as compared to the nine months ended September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6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20"/>
                <w:szCs w:val="20"/>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20"/>
                <w:szCs w:val="20"/>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sales</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29,739</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15,748</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112.6 %</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(29,205)</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(15,531)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113.6 %</w:t>
            </w: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gain on investments</w:t>
            </w:r>
          </w:p>
        </w:tc>
        <w:tc>
          <w:tcPr>
            <w:tcW w:w="8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on investments – due to related parties</w:t>
            </w:r>
          </w:p>
        </w:tc>
        <w:tc>
          <w:tcPr>
            <w:tcW w:w="80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Equity method investment (loss) income</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 %</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Miscellaneous other expense</w:t>
            </w: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(Expense) Income</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(9,133)</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(15,166)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(251.4)%</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9"/>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(34,735)</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(27,094)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354.6 %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Innventure, Inc. Stockholders / Innventure</w:t>
            </w:r>
          </w:p>
        </w:tc>
        <w:tc>
          <w:tcPr>
            <w:tcW w:w="8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(28,332)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(26,121)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1,181.4 %</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LLC Unitholders</w:t>
            </w:r>
          </w:p>
        </w:tc>
        <w:tc>
          <w:tcPr>
            <w:tcW w:w="8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5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Unrealized gain (loss) on available for sale debt securities - related party</w:t>
            </w: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(111.8) %</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(111.8)%</w:t>
            </w:r>
          </w:p>
        </w:tc>
        <w:tc>
          <w:tcPr>
            <w:tcW w:w="0" w:type="dxa"/>
            <w:vAlign w:val="bottom"/>
          </w:tcPr>
          <w:p>
            <w:pPr>
              <w:spacing w:after="0"/>
              <w:rPr>
                <w:sz w:val="1"/>
                <w:szCs w:val="1"/>
                <w:color w:val="auto"/>
              </w:rPr>
            </w:pPr>
          </w:p>
        </w:tc>
      </w:tr>
      <w:tr>
        <w:trPr>
          <w:trHeight w:val="149"/>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(34,454)</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(24,440)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244.1 %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Comprehensive Loss Attributable to Innventure, Inc. Stockholders</w:t>
            </w: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(28,051)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511.9 %</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Innventure LLC Unitholders</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65"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$534 for the three months ended September 30, 2025 (Successor) and $317 for the three months ended September 30, 2024 (Predecessor), an increase of $217 or 68.5%. The increase was driven by an increase of $412 of product sales in the Technology segment, offset by a decrease of $196 of management fee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was $4,147 for the three months ended September 30, 2025 (Successor) and $777 for the three months ended September 30, 2024 (Predecessor), an increase of $3,370 or 433.7%. The increase relates to the generation of revenue at the Technology segment resulting in an increase in costs related to material costs and supplies amounting to $509, an increase in amortization of intangible assets of $2,047 and an increase of employee costs of $655.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$16,927 for the three months ended September 30, 2025 (Successor) and $9,052 for the three months ended September 30, 2024 (Predecessor), an increase of $7,875, or 87.0%. The increase was due to increased stock-based compensation costs of $7,592 and amortization expense resulting from the intangibles acquired in the Business Combination of $661.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$2,514 for the three months ended September 30, 2025 (Successor) and $1,629 for the three months ended September 30, 2024 (Predecessor), an increase of $885, or 54.3%. The increase was due to increased employee costs of $590 and a $236 increase in advertising and marketing-related events and expenses primarily associated with the commercialization phase of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$6,151 for the three months ended September 30, 2025 (Successor) and $2,533 for the three months ended September 30, 2024 (Predecessor), an increase of $3,618, or 142.8%. The increase was due to an increase of $2,693 of amortization of intangible assets and an increase in employee costs of $900.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was $3,401 for the three months ended September 30, 2025 (Successor) and $852 for the three months ended September 30, 2024 (Predecessor), an increase of $2,549, or 299.2%. The increase was due to interest expense on the Convertible Debentures of $2,004, an increase in contractual interest expense on the WTI Facility of $690, amortization of issuance costs on the WTI Facility of $601, partially offset by a net decrease in interest expense related to other debt instruments that have been paid down of $956.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 for the three months ended September 30, 2025 (Successor) and net gain on investments was $7,148 for the three months ended September 30, 2024 (Predecessor), a decrease of $7,148 or 100.0%. The decrease was due to the gain on investment in PCT owned stock via Class PCTA units during the three months ended September 30, 2024 (Predecessor), which is no longer consolidated in the Company’s condensed consolidated financial statements as a result of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on investments – due to related parties was $— for the three months ended September 30, 2025 (Successor) and $308 for the three months ended September 30, 2024 (Predecessor), a decrease of $308 or 100.0%. The decrease was due to a decrease in the fair value of the liability of PCT stock owed to other parties for the three months ended September 30, 2024 (Predecessor). The Class PCTA associated liabilities are no longer consolidated in the Company’s condensed consolidated financial statements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financial liabilities increased by $4,109 for the three months ended September 30, 2025 (Successor) and was $— for the three months ended September 30, 2024 (Predecessor), an overall decrease to income of $4,109. The decrease to income was primarily due to an increase in fair value of the earnout liabilities of $1,090 and a net increase in the fair value of the embedded derivative liabilities of $3,272, offset by a decrease in the fair value of the warrant liabilities of $254.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method investment loss was $1,602 for the three months ended September 30, 2025 (Successor) and equity method investment income was $109 for the three months ended September 30, 2024 (Predecessor), a decrease of $1,711, or 1,569.7%. The loss during the three months ended September 30, 2025 (Successor) is related to losses from the Company’s equity method investment in AeroFlexx of $1,621. The income during the three months ended September 30, 2024 (Predecessor) was due to allocated income from the ESG Fund of $400, offset by losses from the Company’s equity method investment in AeroFlexx of $290.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available for sale debt securities - related party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Unrealized gain on available for sale debt securities - related party was $281 for the three months ended September 30, 2025 (Successor) and unrealized loss on available for sale debt securities - related party amounted to $2,373 for the three months ended September 30, 2024 (Predecessor), a change of $2,654, or 111.8%. The change was due to the fair value adjustment to the AeroFlexx investment in debt securities which are classified as available for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interests was $6,403 for the three months ended September 30, 2025 (Successor) and $5,430 for the three months ended September 30, 2024 (Predecessor), an increase of $973, or 17.9%. This increase was due to the increase in the Technology segment net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860" w:type="dxa"/>
            <w:vAlign w:val="bottom"/>
            <w:gridSpan w:val="5"/>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80" w:type="dxa"/>
            <w:vAlign w:val="bottom"/>
            <w:tcBorders>
              <w:top w:val="single" w:sz="8" w:color="auto"/>
              <w:right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right w:val="single" w:sz="8" w:color="auto"/>
            </w:tcBorders>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1"/>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20"/>
                <w:szCs w:val="20"/>
                <w:color w:val="auto"/>
              </w:rPr>
            </w:pPr>
          </w:p>
        </w:tc>
        <w:tc>
          <w:tcPr>
            <w:tcW w:w="18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r>
      <w:tr>
        <w:trPr>
          <w:trHeight w:val="229"/>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(412,499)</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(25,035)</w:t>
            </w:r>
          </w:p>
        </w:tc>
      </w:tr>
      <w:tr>
        <w:trPr>
          <w:trHeight w:val="223"/>
        </w:trPr>
        <w:tc>
          <w:tcPr>
            <w:tcW w:w="3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financial</w:t>
            </w: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liabilities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9"/>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(6)</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of related party</w:t>
            </w: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3"/>
                <w:szCs w:val="23"/>
                <w:color w:val="auto"/>
                <w:vertAlign w:val="superscript"/>
              </w:rPr>
              <w:t>(7)</w:t>
            </w:r>
          </w:p>
        </w:tc>
        <w:tc>
          <w:tcPr>
            <w:tcW w:w="140" w:type="dxa"/>
            <w:vAlign w:val="bottom"/>
            <w:shd w:val="clear" w:color="auto" w:fill="CCEEFF"/>
          </w:tcPr>
          <w:p>
            <w:pPr>
              <w:spacing w:after="0"/>
              <w:rPr>
                <w:sz w:val="21"/>
                <w:szCs w:val="21"/>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(55,466)</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1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and nine months ended September 30, 2024 (Predecessor), this is comprised of consulting, legal, and other professional fees related to the Business Combination.</w:t>
      </w:r>
    </w:p>
    <w:p>
      <w:pPr>
        <w:jc w:val="both"/>
        <w:ind w:firstLine="8"/>
        <w:spacing w:after="0" w:line="241" w:lineRule="auto"/>
        <w:tabs>
          <w:tab w:leader="none" w:pos="21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and nine months ended September 30, 2025 (Successor), the change in fair value of financial liabilities primarily consists of the change in fair value of the warrant liability, the earnout liability and the embedded derivatives in various instruments. For the three and nine months ended September 30, 2024 (Predecessor),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and nine months ended September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three and nine months ended September 30, 2024 (Predecessor), stock-based compensation was comprised wholly of share-based payment employee incentive plans in existence at Innventure LLC and other subsidiaries.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1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nine months ended September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For the three months ended September 30, 2025 (Successor), there was not a triggering event that occurred, resulting in no additional goodwill impairment charge.There was no similar goodwill impairment charge for the three and nine months ended September 30, 2024 (Predecessor).</w:t>
      </w:r>
    </w:p>
    <w:p>
      <w:pPr>
        <w:spacing w:after="0" w:line="1" w:lineRule="exact"/>
        <w:rPr>
          <w:rFonts w:ascii="Times New Roman" w:cs="Times New Roman" w:eastAsia="Times New Roman" w:hAnsi="Times New Roman"/>
          <w:sz w:val="14"/>
          <w:szCs w:val="14"/>
          <w:color w:val="auto"/>
        </w:rPr>
      </w:pPr>
    </w:p>
    <w:p>
      <w:pPr>
        <w:ind w:firstLine="8"/>
        <w:spacing w:after="0" w:line="25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debt - For the three and nine months ended September 30, 2025 (Successor), the Company modified the WTI Facility, and such modification was accounted for as a debt extinguishment while no debt was repaid. There was no loss on extinguishment of debt for the three and nine months ended September 30, 2024 (Predecessor).</w:t>
      </w:r>
    </w:p>
    <w:p>
      <w:pPr>
        <w:ind w:right="20" w:firstLine="8"/>
        <w:spacing w:after="0" w:line="278" w:lineRule="auto"/>
        <w:tabs>
          <w:tab w:leader="none" w:pos="20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and nine months ended September 30, 2025 (Successor), the Company extinguished certain related party debts by issuing Series C Preferred Stock. There was no loss on extinguishment of related party debt for the three and nine months ended September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noted)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material cash requirements are from working capital requirements and operating expense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liquidity as of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137160</wp:posOffset>
            </wp:positionV>
            <wp:extent cx="270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r>
    </w:tbl>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long-term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As of September 30, 2025, we had limited cash on hand, and over the next 12 months, we anticipate that Innventure and its Operating Companies will require at least $50,000 to meet our collective operating and strategic needs, with an additional $25,000 required to support growth across our Operating Companies in accordance with our current business plan. We expect to meet these needs through a combination of cash on hand, operating cash flows, strategic investments, the Standby Equity Purchase Agreement (the “SEPA”) with Yorkville (maximum remaining availability of approximately $67,000 as of September 30, 2025, subject to the satisfaction of certain conditions in the SEPA and the Purchase Agreements, as described below, which impose additional limitations and conditions upon our ability to access the SEPA) and additional financings completed by us and our Operating Companies. Summarized below are equity and debt financing activities made during the nine months ended September 30, 2025 (Successor) and thereafter: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equity financing activities include:</w:t>
      </w:r>
    </w:p>
    <w:p>
      <w:pPr>
        <w:spacing w:after="0" w:line="171" w:lineRule="exact"/>
        <w:rPr>
          <w:sz w:val="20"/>
          <w:szCs w:val="20"/>
          <w:color w:val="auto"/>
        </w:rPr>
      </w:pPr>
    </w:p>
    <w:p>
      <w:pPr>
        <w:jc w:val="both"/>
        <w:ind w:left="66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the SEPA with Yorkville in October 2023, which provides the Company the right, but not the obligation, to sell to Yorkville up to $75,000 in the Company’s common stock, par value $0.0001 per share (“Common Stock”) from time to time through November 2027 (of which approximately $67,000 in Common Stock remains available for issuance under the SEPA), subject to the satisfaction of certain conditions in the SEPA and the Purchase Agreements, which impose additional limitations and conditions upon the Company’s ability to access the SEPA. During the nine months ended September 30, 2025 (Successor), the Company issued 997,573 shares of Common Stock pursuant to the SEPA in payment of $4,937 of principal and $247 of payment premiums for the Convertible Debentures. In addition to the Common Stock issuances pursuant to the SEPA made in repayment towards the Convertible Debentures, the Company sold 73,993 shares of Common Stock under the SEPA, raising $931 in cash proceeds.</w:t>
      </w:r>
    </w:p>
    <w:p>
      <w:pPr>
        <w:spacing w:after="0" w:line="13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raised a total of $7,120 through the issuance of Accelsius Series A Preferred units during the nine months ended September 30, 2025 (Successor).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issued 2,885,848 shares of Series C Preferred Stock on March 24, 2025 for a total amount of $28,858, with the consideration received in the form of cash, services, and related party debt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Accelsius raised $25,000 on October 2, 2025 through the issuance of 685,163 Series B-1 units to JCI. $7,337 of debt converted to equity in the form of 251,452 Series B-2 units and 125,725 B-2 Warrants in conjunction with the issuance of Series B-1 units by Accelsius.</w:t>
      </w:r>
    </w:p>
    <w:p>
      <w:pPr>
        <w:spacing w:after="0" w:line="107" w:lineRule="exact"/>
        <w:rPr>
          <w:rFonts w:ascii="Times New Roman" w:cs="Times New Roman" w:eastAsia="Times New Roman" w:hAnsi="Times New Roman"/>
          <w:sz w:val="18"/>
          <w:szCs w:val="18"/>
          <w:b w:val="1"/>
          <w:bCs w:val="1"/>
          <w:i w:val="1"/>
          <w:iCs w:val="1"/>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raised $9,751 on October 3, 2025 through a private placement by issuing 1,625,235 shares of Common Stock at $6.00 per share and Series A warrants to purchase 1,625,235 shares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debt financing activities include:</w:t>
      </w:r>
    </w:p>
    <w:p>
      <w:pPr>
        <w:spacing w:after="0" w:line="171" w:lineRule="exact"/>
        <w:rPr>
          <w:sz w:val="20"/>
          <w:szCs w:val="20"/>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$30,000 in Convertible Debentures in April and May 2025, split between two tranches. The Company received $18,000 and $9,000 in cash proceeds for the first and second tranche, respectively. In connection with the issuance of the Convertible Debentures, the Company issued two warrants (the “2025 WTI Warrants”) to purchase, at a price of $0.01 per share (subject to certain limitations and adjustment), up to an aggregate total of 495,074 shares of Common Stock (subject to future adjustments to the number and type of shares pursuant to the 2025 WTI Warrants), to WTI Fund X, LLC and WTI Fund XI, LLC, exercisable through March 31, 2035.</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entered into unsecured convertible notes (“Related Party Term Convertible Notes”) with certain investors deemed to be Related Parties (as defined in the Company’s Related Party Transactions Policy) for a total principal amount of $4,250 in June 2025. The Related Party Term Convertible Notes are convertible into Series A Units of Accelsius and have a maturity date of December 31, 2026.</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Accelsius entered into an unsecured Convertible Promissory Note (“CPN”) with a related party lender in June 2025 that is drawable in three tranches with 15% interest and a $35 loan fee. As of September 30, 2025, $2,000 was drawn down by Accelsius. On October 8, 2025, the Company repaid the CPN in full due to its related party lender, amounting to $2,000 in principal, $74 in interest, and $35 for the loan fee.</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Accelsius issued unsecured convertible notes with various other parties for a total principal amount of $7,750 in June and July of 2025 that are convertible into Series A Units of Accelsius starting January 2026.</w:t>
      </w:r>
    </w:p>
    <w:p>
      <w:pPr>
        <w:spacing w:after="0" w:line="10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Accelsius entered into unsecured convertible promissory notes totaling $9,150 in principal between August 12, 2025 and September 19, 2025, with $7,300 in cash proceeds received by September 30, 2025.</w:t>
      </w:r>
    </w:p>
    <w:p>
      <w:pPr>
        <w:spacing w:after="0" w:line="10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3"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entered into the Securities Purchase Agreement with Yorkville on September 15, 2025 to issue the New Convertible Debentures. Of the $15,000 authorized, one tranche totaling $10,000 was issued before September 30, 2025 totaling $9,000 in cash proceeds. On November 12, 2025, the Company issued the second tranche of the New Convertible Debentures for $5,000, totaling $4,500 in cash proceeds. In addition, as provided by the Securities Purchase Agreement, for so long as any amounts remain outstanding under the Convertible Debentures, unless otherwise agreed by Yorkville: (A) the Company shall not submit an advance notice in writing to Yorkville under the SEPA (each, an “Advance,” and notice of such request, an “Advance Notice”) prior to January 15, 2026 (the date that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w:t>
      </w:r>
    </w:p>
    <w:p>
      <w:pPr>
        <w:spacing w:after="0" w:line="13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Fifth Amendment to Loan and Security Agreement between Innventure LLC and Accelsius, on September 18, 2025 the Company elected to convert $550 of accrued interest outstanding into 45,159 Series A Units of Accelsius.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convertible notes are subordinated to the WTI Facility and other debt of the Company owed to the WTI Lenders, and the holders of the convertible notes have agreed not to demand repayment while senior obligations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nine months ended September 30, 2025 (Successor)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(Predecessor)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178"/>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37"/>
        </w:trPr>
        <w:tc>
          <w:tcPr>
            <w:tcW w:w="5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(37,681)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1,743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 %</w:t>
            </w:r>
          </w:p>
        </w:tc>
      </w:tr>
      <w:tr>
        <w:trPr>
          <w:trHeight w:val="37"/>
        </w:trPr>
        <w:tc>
          <w:tcPr>
            <w:tcW w:w="5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63,349</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25,158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2,942</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13,722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(10,780)</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Operating Activities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were $56,328 for the nine months ended September 30, 2025 (Successor), as compared to $18,647 for the nine months ended September 30, 2024 (Predecessor), an increase of $37,681, or 202.1%. The increase is primarily related to an increase in the Company’s 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by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$4,079 for the nine months ended September 30, 2025 (Successor), as compared to $5,822 for the nine months ended September 30, 2024 (Predecessor), a decrease of $1,743 or 29.9%. The decrease is primarily related to lower investments in debt securities and advances to our related parties, partially offset by reduced proceeds from sales of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Provided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$63,349 for the nine months ended September 30, 2025 (Successor), as compared to $38,191 for the nine months ended September 30, 2024 (Predecessor), an increase of $25,158 or 65.9%. The increase is primarily related to proceeds from the issuance of additional debt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condensed consolidated financial statements for the three and nine months ended September 30, 2025 (Successor) and three and nine months ended September 30, 2024 (Predecessor) included in Item 1. of this Form 10-Q for a discussion of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(remaining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26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73,906</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future installments payable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60,353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88,537</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-710565</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-710565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-710565</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-710565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continue to have an ongoing need to raise significant additional cash from outside sources to sustain our operations and fund our growth plans.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or otherwise generate sufficient revenues from our Operating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Operating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w:t>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September 30, 2025, because of the material weaknesses in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21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evidence of control procedures over the periodic reconciliation of significant accounts. This included lack of segregation of duties and lack of review.</w:t>
      </w:r>
    </w:p>
    <w:p>
      <w:pPr>
        <w:spacing w:after="0" w:line="20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and (c) segregation of duties.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2025, the Company entered into the Securities Purchase Agreement with Yorkville in connection with the issuance and sale by the Company of the New Convertible Debentures issuable in an aggregate principal amount of up to $15,000,000, which New Convertible Debentures are convertible into Common Stock and include embedded derivatives. Pursuant to the terms of the Securities Purchase Agreement, Yorkville purchased and the Company issued, $10,000,000 in aggregate principal amount of New Convertible Debentures on September 15,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SEPA, during the three months ended September 30, 2025, the Company issued an aggregate of 523,748 shares of Common Stock to Yorkville for aggregate gross proceeds of $2,732.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Rule 16a-1(f) under the Exchange Act) adopted, modified or terminated a Rule 10b5-1 trading arrangement or a “non-Rule 10b5-1 trading arrangement” (as defined in Item 408 of Regulation S-K).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8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80" w:type="dxa"/>
            <w:vAlign w:val="bottom"/>
            <w:gridSpan w:val="3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9880" w:type="dxa"/>
            <w:vAlign w:val="bottom"/>
            <w:gridSpan w:val="31"/>
          </w:tcPr>
          <w:p>
            <w:pPr>
              <w:spacing w:after="0" w:line="194"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70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1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5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SEC on October 9, 2024).</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3.3</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Innventure, Inc.’s Quarterly Report on Form 10-Q filed with the SEC on May 15, 2025).</w:t>
              </w:r>
            </w:hyperlink>
          </w:p>
        </w:tc>
        <w:tc>
          <w:tcPr>
            <w:tcW w:w="28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3.4</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w:t>
            </w:r>
          </w:p>
        </w:tc>
        <w:tc>
          <w:tcPr>
            <w:tcW w:w="9880" w:type="dxa"/>
            <w:vAlign w:val="bottom"/>
            <w:gridSpan w:val="31"/>
          </w:tcPr>
          <w:p>
            <w:pPr>
              <w:spacing w:after="0"/>
              <w:rPr>
                <w:rFonts w:ascii="Times New Roman" w:cs="Times New Roman" w:eastAsia="Times New Roman" w:hAnsi="Times New Roman"/>
                <w:sz w:val="18"/>
                <w:szCs w:val="18"/>
                <w:color w:val="auto"/>
              </w:rPr>
            </w:pPr>
            <w:hyperlink r:id="rId26">
              <w:r>
                <w:rPr>
                  <w:rFonts w:ascii="Times New Roman" w:cs="Times New Roman" w:eastAsia="Times New Roman" w:hAnsi="Times New Roman"/>
                  <w:sz w:val="18"/>
                  <w:szCs w:val="18"/>
                  <w:color w:val="auto"/>
                </w:rPr>
                <w:t xml:space="preserve">Third </w:t>
              </w:r>
              <w:r>
                <w:rPr>
                  <w:rFonts w:ascii="Times New Roman" w:cs="Times New Roman" w:eastAsia="Times New Roman" w:hAnsi="Times New Roman"/>
                  <w:sz w:val="18"/>
                  <w:szCs w:val="18"/>
                  <w:color w:val="0000FF"/>
                </w:rPr>
                <w:t>Convertible Debenture, issued to YA II PN, Ltd., dated September 15, 2025 (incorporated by reference to Exhibit 4.1 to</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gridSpan w:val="5"/>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658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Innventure, Inc.’s Current Report on Form 8-K filed with the SEC on September 16, 2025).</w:t>
              </w:r>
            </w:hyperlink>
          </w:p>
        </w:tc>
        <w:tc>
          <w:tcPr>
            <w:tcW w:w="2480" w:type="dxa"/>
            <w:vAlign w:val="bottom"/>
            <w:gridSpan w:val="12"/>
          </w:tcPr>
          <w:p>
            <w:pPr>
              <w:spacing w:after="0"/>
              <w:rPr>
                <w:sz w:val="13"/>
                <w:szCs w:val="13"/>
                <w:color w:val="auto"/>
              </w:rPr>
            </w:pPr>
          </w:p>
        </w:tc>
        <w:tc>
          <w:tcPr>
            <w:tcW w:w="220" w:type="dxa"/>
            <w:vAlign w:val="bottom"/>
            <w:vMerge w:val="continue"/>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31"/>
          </w:tcPr>
          <w:p>
            <w:pPr>
              <w:spacing w:after="0"/>
              <w:rPr>
                <w:rFonts w:ascii="Times New Roman" w:cs="Times New Roman" w:eastAsia="Times New Roman" w:hAnsi="Times New Roman"/>
                <w:sz w:val="18"/>
                <w:szCs w:val="18"/>
                <w:color w:val="auto"/>
              </w:rPr>
            </w:pPr>
            <w:hyperlink r:id="rId27">
              <w:r>
                <w:rPr>
                  <w:rFonts w:ascii="Times New Roman" w:cs="Times New Roman" w:eastAsia="Times New Roman" w:hAnsi="Times New Roman"/>
                  <w:sz w:val="18"/>
                  <w:szCs w:val="18"/>
                  <w:color w:val="auto"/>
                </w:rPr>
                <w:t xml:space="preserve">Securities Purchase Agreement, by and between Innventure, Inc. and YA II PN, Ltd., dated September 15, 2025 </w:t>
              </w:r>
              <w:r>
                <w:rPr>
                  <w:rFonts w:ascii="Times New Roman" w:cs="Times New Roman" w:eastAsia="Times New Roman" w:hAnsi="Times New Roman"/>
                  <w:sz w:val="18"/>
                  <w:szCs w:val="18"/>
                  <w:color w:val="0000FF"/>
                </w:rPr>
                <w:t>(incorporated by</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804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reference to Exhibit 10.1 to Innventure, Inc.’s Current Report on Form 8-K filed with the SEC on September 16,</w:t>
              </w:r>
            </w:hyperlink>
          </w:p>
        </w:tc>
        <w:tc>
          <w:tcPr>
            <w:tcW w:w="560" w:type="dxa"/>
            <w:vAlign w:val="bottom"/>
            <w:tcBorders>
              <w:top w:val="single" w:sz="8" w:color="0000FF"/>
              <w:bottom w:val="single" w:sz="8" w:color="0000FF"/>
            </w:tcBorders>
            <w:gridSpan w:val="4"/>
          </w:tcPr>
          <w:p>
            <w:pPr>
              <w:jc w:val="right"/>
              <w:ind w:right="20"/>
              <w:spacing w:after="0" w:line="15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2025).</w:t>
              </w:r>
            </w:hyperlink>
          </w:p>
        </w:tc>
        <w:tc>
          <w:tcPr>
            <w:tcW w:w="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gridSpan w:val="31"/>
          </w:tcPr>
          <w:p>
            <w:pPr>
              <w:spacing w:after="0"/>
              <w:rPr>
                <w:rFonts w:ascii="Times New Roman" w:cs="Times New Roman" w:eastAsia="Times New Roman" w:hAnsi="Times New Roman"/>
                <w:sz w:val="18"/>
                <w:szCs w:val="18"/>
                <w:color w:val="auto"/>
              </w:rPr>
            </w:pPr>
            <w:hyperlink r:id="rId28">
              <w:r>
                <w:rPr>
                  <w:rFonts w:ascii="Times New Roman" w:cs="Times New Roman" w:eastAsia="Times New Roman" w:hAnsi="Times New Roman"/>
                  <w:sz w:val="18"/>
                  <w:szCs w:val="18"/>
                  <w:color w:val="auto"/>
                </w:rPr>
                <w:t xml:space="preserve">Global Guaranty </w:t>
              </w:r>
              <w:r>
                <w:rPr>
                  <w:rFonts w:ascii="Times New Roman" w:cs="Times New Roman" w:eastAsia="Times New Roman" w:hAnsi="Times New Roman"/>
                  <w:sz w:val="18"/>
                  <w:szCs w:val="18"/>
                  <w:color w:val="0000FF"/>
                </w:rPr>
                <w:t>Agreement by Innventure LLC, dated September 15, 2025 (incorporated by reference to Exhibit 10.2 to Innventure,</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9580" w:type="dxa"/>
            <w:vAlign w:val="bottom"/>
            <w:gridSpan w:val="23"/>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Inc.’s Current Report on Form 8-K filed with the SEC on September 16, 2025).</w:t>
              </w:r>
            </w:hyperlink>
          </w:p>
        </w:tc>
        <w:tc>
          <w:tcPr>
            <w:tcW w:w="60" w:type="dxa"/>
            <w:vAlign w:val="bottom"/>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86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31"/>
          </w:tcPr>
          <w:p>
            <w:pPr>
              <w:spacing w:after="0"/>
              <w:rPr>
                <w:rFonts w:ascii="Times New Roman" w:cs="Times New Roman" w:eastAsia="Times New Roman" w:hAnsi="Times New Roman"/>
                <w:sz w:val="18"/>
                <w:szCs w:val="18"/>
                <w:color w:val="auto"/>
              </w:rPr>
            </w:pPr>
            <w:hyperlink r:id="rId29">
              <w:r>
                <w:rPr>
                  <w:rFonts w:ascii="Times New Roman" w:cs="Times New Roman" w:eastAsia="Times New Roman" w:hAnsi="Times New Roman"/>
                  <w:sz w:val="18"/>
                  <w:szCs w:val="18"/>
                  <w:color w:val="auto"/>
                </w:rPr>
                <w:t xml:space="preserve">Registration Rights Agreement, dated September 15, 2025, between Innventure, Inc. and YA II PN, Ltd. </w:t>
              </w:r>
              <w:r>
                <w:rPr>
                  <w:rFonts w:ascii="Times New Roman" w:cs="Times New Roman" w:eastAsia="Times New Roman" w:hAnsi="Times New Roman"/>
                  <w:sz w:val="18"/>
                  <w:szCs w:val="18"/>
                  <w:color w:val="0000FF"/>
                </w:rPr>
                <w:t>(incorporated by reference to</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60" w:type="dxa"/>
            <w:vAlign w:val="bottom"/>
            <w:gridSpan w:val="8"/>
            <w:shd w:val="clear" w:color="auto" w:fill="0000FF"/>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770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Exhibit 10.3 to Innventure, Inc.’s Current Report on Form 8-K filed with the SEC on September 16, 2025).</w:t>
              </w:r>
            </w:hyperlink>
          </w:p>
        </w:tc>
        <w:tc>
          <w:tcPr>
            <w:tcW w:w="1940" w:type="dxa"/>
            <w:vAlign w:val="bottom"/>
            <w:gridSpan w:val="14"/>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31"/>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Amendment to Convertible Debentures, by and between Innventure, Inc. and YA II PN, Ltd., dated September 15, 2025 (incorporated by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reference to Exhibit 10.4 to Innventure, Inc.’s Current Report on Form 8-K filed with the SEC on September 16,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860" w:type="dxa"/>
            <w:vAlign w:val="bottom"/>
            <w:tcBorders>
              <w:left w:val="single" w:sz="8" w:color="0000FF"/>
            </w:tcBorders>
            <w:gridSpan w:val="7"/>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Form of Term Convertible Note (incorporated by reference to Exhibit 10.1 to Innventure, Inc.’s Current Report on Form 8-K filed with</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the SEC on July 1, 2025).</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9880" w:type="dxa"/>
            <w:vAlign w:val="bottom"/>
            <w:gridSpan w:val="31"/>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Form of Bridge Convertible Note (incorporated by reference to Exhibit 10.3 to Innventure, Inc.’s Current Report on Form 8-K filed with</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the SEC on July 1, 2025).</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31.1*</w:t>
            </w:r>
          </w:p>
        </w:tc>
        <w:tc>
          <w:tcPr>
            <w:tcW w:w="8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Rule 13a-14(a) Certification by Gregory W. Haskell, Chief Executive Officer, for the quarter ended September 30, 2025.</w:t>
              </w:r>
            </w:hyperlink>
          </w:p>
        </w:tc>
        <w:tc>
          <w:tcPr>
            <w:tcW w:w="120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31.2*</w:t>
            </w:r>
          </w:p>
        </w:tc>
        <w:tc>
          <w:tcPr>
            <w:tcW w:w="85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Rule 13a-14(a) Certification by David Yablunosky, Chief Financial Officer, for the quarter ended September 30, 2025.</w:t>
              </w:r>
            </w:hyperlink>
          </w:p>
        </w:tc>
        <w:tc>
          <w:tcPr>
            <w:tcW w:w="13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8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Section 1350 Certification by Gregory W. Haskell, Chief Executive Officer, for the quarter ended September 30, 2025.</w:t>
              </w:r>
            </w:hyperlink>
          </w:p>
        </w:tc>
        <w:tc>
          <w:tcPr>
            <w:tcW w:w="130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83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 xml:space="preserve">Section 1350 Certification by David Yablunosky, Chief Financial Officer, for the quarter ended September 30, </w:t>
              </w:r>
            </w:hyperlink>
            <w:r>
              <w:rPr>
                <w:rFonts w:ascii="Times New Roman" w:cs="Times New Roman" w:eastAsia="Times New Roman" w:hAnsi="Times New Roman"/>
                <w:sz w:val="18"/>
                <w:szCs w:val="18"/>
                <w:color w:val="0000FF"/>
                <w:w w:val="99"/>
              </w:rPr>
              <w:t>2025.</w:t>
            </w:r>
          </w:p>
        </w:tc>
        <w:tc>
          <w:tcPr>
            <w:tcW w:w="15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40" w:right="379" w:bottom="1440" w:gutter="0" w:footer="0" w:header="0"/>
        </w:sectPr>
      </w:pPr>
    </w:p>
    <w:bookmarkStart w:id="56" w:name="page57"/>
    <w:bookmarkEnd w:id="56"/>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101*</w:t>
            </w:r>
          </w:p>
        </w:tc>
        <w:tc>
          <w:tcPr>
            <w:tcW w:w="100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 ended September 30, 2025,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Condensed Consolidated Balance Sheets as of September 30,</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2025 and December 31, 2024; (ii) Condensed Consolidated Statements of Operations and Comprehensive Income (Loss) for the three</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and nine months ended September 30, 2025 (Successor), and for the three and nine months ended September 30, 2024 (Predecessor);</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(iii) Condensed Consolidated Statements of Changes in Unitholders’ Deficit for the period December 31, 2023 through the three and</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nine months ended September 30, 2024 (Predecessor); (iv) Condensed Consolidated Statements of Changes in Mezzanine and</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Stockholders’ Equity (Deficit) for the period December 31, 2024 through the three and nine months ended September 30, 2025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(Successor); (v) Condensed Consolidated Statements of Cash Flows for the nine months ended September 30, 2025 (Successor), and the</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 2024 (Predecessor); and (vi) Notes to Condensed Consolidated Financial Statements.</w:t>
            </w:r>
          </w:p>
        </w:tc>
        <w:tc>
          <w:tcPr>
            <w:tcW w:w="0" w:type="dxa"/>
            <w:vAlign w:val="bottom"/>
          </w:tcPr>
          <w:p>
            <w:pPr>
              <w:spacing w:after="0"/>
              <w:rPr>
                <w:sz w:val="1"/>
                <w:szCs w:val="1"/>
                <w:color w:val="auto"/>
              </w:rPr>
            </w:pPr>
          </w:p>
        </w:tc>
      </w:tr>
      <w:tr>
        <w:trPr>
          <w:trHeight w:val="234"/>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58" w:lineRule="exact"/>
        <w:rPr>
          <w:sz w:val="20"/>
          <w:szCs w:val="20"/>
          <w:color w:val="auto"/>
        </w:rPr>
      </w:pPr>
    </w:p>
    <w:p>
      <w:pPr>
        <w:ind w:left="340" w:right="200" w:hanging="332"/>
        <w:spacing w:after="0" w:line="271" w:lineRule="auto"/>
        <w:tabs>
          <w:tab w:leader="none" w:pos="32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15" w:lineRule="exact"/>
        <w:rPr>
          <w:sz w:val="20"/>
          <w:szCs w:val="20"/>
          <w:color w:val="auto"/>
        </w:rPr>
      </w:pPr>
    </w:p>
    <w:p>
      <w:pPr>
        <w:ind w:left="340" w:right="60" w:hanging="332"/>
        <w:spacing w:after="0" w:line="263" w:lineRule="auto"/>
        <w:tabs>
          <w:tab w:leader="none" w:pos="26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pursuant to Rule 601(b)(10) of Regulation S-K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1440" w:right="43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4"/>
          </w:tcPr>
          <w:p>
            <w:pPr>
              <w:ind w:left="162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392"/>
        </w:trPr>
        <w:tc>
          <w:tcPr>
            <w:tcW w:w="3500" w:type="dxa"/>
            <w:vAlign w:val="bottom"/>
          </w:tcPr>
          <w:p>
            <w:pPr>
              <w:spacing w:after="0"/>
              <w:rPr>
                <w:sz w:val="24"/>
                <w:szCs w:val="24"/>
                <w:color w:val="auto"/>
              </w:rPr>
            </w:pPr>
          </w:p>
        </w:tc>
        <w:tc>
          <w:tcPr>
            <w:tcW w:w="2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48"/>
        </w:trPr>
        <w:tc>
          <w:tcPr>
            <w:tcW w:w="35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37"/>
        </w:trPr>
        <w:tc>
          <w:tcPr>
            <w:tcW w:w="3500" w:type="dxa"/>
            <w:vAlign w:val="bottom"/>
          </w:tcPr>
          <w:p>
            <w:pPr>
              <w:spacing w:after="0"/>
              <w:rPr>
                <w:sz w:val="20"/>
                <w:szCs w:val="20"/>
                <w:color w:val="auto"/>
              </w:rPr>
            </w:pPr>
          </w:p>
        </w:tc>
        <w:tc>
          <w:tcPr>
            <w:tcW w:w="2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70"/>
        </w:trPr>
        <w:tc>
          <w:tcPr>
            <w:tcW w:w="3500" w:type="dxa"/>
            <w:vAlign w:val="bottom"/>
          </w:tcPr>
          <w:p>
            <w:pPr>
              <w:spacing w:after="0"/>
              <w:rPr>
                <w:sz w:val="23"/>
                <w:szCs w:val="23"/>
                <w:color w:val="auto"/>
              </w:rPr>
            </w:pPr>
          </w:p>
        </w:tc>
        <w:tc>
          <w:tcPr>
            <w:tcW w:w="2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27"/>
        </w:trPr>
        <w:tc>
          <w:tcPr>
            <w:tcW w:w="3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3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5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12,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9"/>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9"/>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9"/>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9"/>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Fourth Convertible Debenture</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Innventure, Inc., a Delaware corporation (the “Company”), with the Securities and Exchange Commission (the “SEC”) on September 16, 2025, the Company entered into a securities purchase agreement (the “Purchase Agreement”) with YA II PN, Ltd. (“Yorkville”), for the issuance and sale by the Company of convertible debentures (the “Convertible Debentures”) issuable in an aggregate principal amount of up to $15,000,000, which Convertible Debentures are convertible into shares of the Company’s common stock, par value $0.0001 per share (the “Common Stock”) (as converted, the “Conversion Shares”). On September 15, 2025, the Company issued a Convertible Debenture to Yorkville with a principal amount of $10,000,000, resulting in gross proceeds to the Company of approximately $7,000,000, representing an original issue discount of 10% and including a concurrent $2,000,000 payment to Yorkville (as described previously).</w:t>
      </w:r>
    </w:p>
    <w:p>
      <w:pPr>
        <w:spacing w:after="0" w:line="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November 12, 2025, the Company issued a Convertible Debenture to Yorkville with a principal amount of $5,000,000 (the “Fourth Convertible Debenture”). The Fourth Convertible Debenture will bear interest at an annual rate of 5.0%, unless an event of default occurs and remains uncured, upon which the Fourth Convertible Debenture will bear interest at an annual rate of 18.0%. The Fourth Convertible Debenture will mature on September 15, 2026 (the “Maturity Date”). The Fourth Convertible Debenture resulted in gross proceeds to the Company of approximately $4,500,000 (including the original issue discount of 10%). With respect to the Fourth Convertible Debenture, the Company will not be required to make monthly cash payments unless an Amortization Event (as defined below) has occurred and then the Company will make monthly cash payments each month until the earlier of (i) the entire outstanding amount under the Fourth Convertible Debenture has been repaid or (ii) the Amortization Event ceases, as provided in the Fourth Convertible Debenture. An “Amortization Event” means (i) the daily volume-weighted average price (“VWAP”) of the Company’s Common Stock is lower than the Floor Price (as defined below) for any five of seven consecutive trading days, (ii) the Company has issued in excess of 99% of the Common Stock available under the Exchange Cap (as defined below) or (iii) Yorkville is unable to use the Company’s registration statement on Form S-1 filed with the SEC on October 23, 2025, which registered the resale of at least 12 million Conversion Shares, for a period of 20 consecutive trading days. The monthly cash payments will be in an amount equal to 10% of the original principal amount (or the outstanding principal amount of the Fourth Convertible Debenture if lower than such amount), plus a payment premium of 5% and all accrued and unpaid interest as of the date of such payment. Such Amortization Event payments will commence 15 days following the Amortization Event.</w:t>
      </w:r>
    </w:p>
    <w:p>
      <w:pPr>
        <w:spacing w:after="0" w:line="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Fourth Convertible Debenture is convertible at the option of the holder into Common Stock equal to the applicable Conversion Amount (as defined below) divided by the Conversion Price (as defined below). The conversion price for the Fourth Convertible Debenture will be the lower of (i) $7.00 per share of Common Stock (the “Fixed Price”), or (ii) 95% of the lowest daily VWAP of the Common Stock during the five consecutive trading days immediately preceding conversion date or other date of determination (the “Variable Price” and the applicable purchase price, the “Conversion Price”), but which Variable Price shall not be lower than the Floor Price then in effect. The Floor Price is $1.16, the price equal to 20% of the Minimum Price of the Common Stock (as calculated pursuant to the rules of the Nasdaq Stock Market). Any portion of the Fourth Convertible Debenture may be converted at any time and from time to time, subject to the Exchange Cap. The Conversion Amount with respect to any requested conversion will equal the principal amount requested to be converted plus all accrued and unpaid interest on the Fourth Convertible Debenture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Fourth Convertible Debenture held by Yorkville if the issuance of such Common Stock underlying the Fourth Convertible Debenture would exceed the aggregate number of Common Stock that the Company may issue upon conversion of the Fourth Convertible Debenture in compliance with the Company’s obligations under the rules or regulations of Nasdaq Stock Market (the “Exchange Cap”). The Exchange Cap will not apply if the Company obtains the approval of its stockholders as required by the applicable rules of the Nasdaq Stock Market for issuances of Common Stock in excess of such amount.</w:t>
      </w:r>
    </w:p>
    <w:p>
      <w:pPr>
        <w:spacing w:after="0" w:line="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the VWAP of the Common Stock is less than the Fixed Price, then the Fourth Convertible Debenture provides the Company, subject to certain conditions, with an optional redemption right pursuant to which the Company, upon 10 trading days’ prior written notice to Yorkville, may redeem in cash, in whole or in part, all amounts outstanding under the Fourth Convertible Debenture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sectPr>
          <w:pgSz w:w="11900" w:h="16838" w:orient="portrait"/>
          <w:cols w:equalWidth="0" w:num="1">
            <w:col w:w="11240"/>
          </w:cols>
          <w:pgMar w:left="320" w:top="1197"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Convertible Debenture does not purport to be complete and is qualified in its entirety by reference to the full text of such document, which is filed herewith as Exhibit 4.1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Fourth Convertible Debenture was, and the Conversion Shares issuable upon conversion of the Fourth Convertible Debenture will be, exempt from registration pursuant to Section 4(a)(2) of the Securities Act. Yorkville represented to the Company that it is an “accredited investor” as defined in Rule 501 of the Securities Act and that each of the Fourth Convertible Debenture and the Conversion Shares will be acquired for investment purposes and not with a view to, or for sale in connection with, any distribution thereof.</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60"/>
          </w:cols>
          <w:pgMar w:left="320" w:top="1201" w:right="519" w:bottom="1440" w:gutter="0" w:footer="0" w:header="0"/>
        </w:sect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65" w:lineRule="exact"/>
        <w:rPr>
          <w:sz w:val="20"/>
          <w:szCs w:val="20"/>
          <w:color w:val="auto"/>
        </w:rPr>
      </w:pPr>
    </w:p>
    <w:p>
      <w:pPr>
        <w:sectPr>
          <w:pgSz w:w="11900" w:h="16838" w:orient="portrait"/>
          <w:cols w:equalWidth="0" w:num="2">
            <w:col w:w="4720" w:space="720"/>
            <w:col w:w="5620"/>
          </w:cols>
          <w:pgMar w:left="320" w:top="1201" w:right="519"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8"/>
          <w:szCs w:val="18"/>
          <w:color w:val="auto"/>
        </w:rPr>
        <w:t>4.1</w:t>
      </w:r>
      <w:r>
        <w:rPr>
          <w:rFonts w:ascii="Cambria" w:cs="Cambria" w:eastAsia="Cambria" w:hAnsi="Cambria"/>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7"/>
          <w:szCs w:val="17"/>
          <w:color w:val="auto"/>
        </w:rPr>
      </w:pPr>
      <w:hyperlink r:id="rId37">
        <w:r>
          <w:rPr>
            <w:rFonts w:ascii="Times New Roman" w:cs="Times New Roman" w:eastAsia="Times New Roman" w:hAnsi="Times New Roman"/>
            <w:sz w:val="17"/>
            <w:szCs w:val="17"/>
            <w:color w:val="auto"/>
          </w:rPr>
          <w:t>Fourth Convertible Debenture, issued to YA II PN, Ltd., dated November 12, 2025.</w:t>
        </w:r>
      </w:hyperlink>
    </w:p>
    <w:p>
      <w:pPr>
        <w:spacing w:after="0" w:line="75" w:lineRule="exact"/>
        <w:rPr>
          <w:sz w:val="20"/>
          <w:szCs w:val="20"/>
          <w:color w:val="auto"/>
        </w:rPr>
      </w:pPr>
    </w:p>
    <w:p>
      <w:pPr>
        <w:sectPr>
          <w:pgSz w:w="11900" w:h="16838" w:orient="portrait"/>
          <w:cols w:equalWidth="0" w:num="2">
            <w:col w:w="940" w:space="640"/>
            <w:col w:w="9480"/>
          </w:cols>
          <w:pgMar w:left="320" w:top="1201" w:right="519" w:bottom="1440" w:gutter="0" w:footer="0" w:header="0"/>
          <w:type w:val="continuous"/>
        </w:sectPr>
      </w:pPr>
    </w:p>
    <w:p>
      <w:pPr>
        <w:ind w:left="640"/>
        <w:spacing w:after="0"/>
        <w:tabs>
          <w:tab w:leader="none" w:pos="15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Inline XBRL).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w:t>
      </w:r>
    </w:p>
    <w:p>
      <w:pPr>
        <w:sectPr>
          <w:pgSz w:w="11900" w:h="16838" w:orient="portrait"/>
          <w:cols w:equalWidth="0" w:num="1">
            <w:col w:w="11060"/>
          </w:cols>
          <w:pgMar w:left="320" w:top="1201" w:right="519" w:bottom="1440" w:gutter="0" w:footer="0" w:header="0"/>
          <w:type w:val="continuous"/>
        </w:sectPr>
      </w:pPr>
    </w:p>
    <w:p>
      <w:pPr>
        <w:spacing w:after="0" w:line="19" w:lineRule="exact"/>
        <w:rPr>
          <w:sz w:val="20"/>
          <w:szCs w:val="20"/>
          <w:color w:val="auto"/>
        </w:rPr>
      </w:pPr>
    </w:p>
    <w:p>
      <w:pPr>
        <w:ind w:left="220" w:hanging="212"/>
        <w:spacing w:after="0"/>
        <w:tabs>
          <w:tab w:leader="none" w:pos="220" w:val="left"/>
        </w:tabs>
        <w:numPr>
          <w:ilvl w:val="0"/>
          <w:numId w:val="20"/>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ectPr>
          <w:pgSz w:w="11900" w:h="16838" w:orient="portrait"/>
          <w:cols w:equalWidth="0" w:num="1">
            <w:col w:w="11060"/>
          </w:cols>
          <w:pgMar w:left="320" w:top="1201" w:right="51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yperlink" Target="https://www.sec.gov/Archives/edgar/data/2001557/000114036124040480/ny20012992x29_s4a.htm#tANNEXA" TargetMode="External"/><Relationship Id="rId22" Type="http://schemas.openxmlformats.org/officeDocument/2006/relationships/hyperlink" Target="https://www.sec.gov/Archives/edgar/data/2001557/000114036124043179/ef20036737_ex3-1.htm" TargetMode="External"/><Relationship Id="rId23" Type="http://schemas.openxmlformats.org/officeDocument/2006/relationships/hyperlink" Target="https://www.sec.gov/Archives/edgar/data/2001557/000114036124043179/ef20036737_ex3-2.htm" TargetMode="External"/><Relationship Id="rId24" Type="http://schemas.openxmlformats.org/officeDocument/2006/relationships/hyperlink" Target="https://www.sec.gov/Archives/edgar/data/2001557/000162828025025892/inv-ex33innventureseriesbp.htm" TargetMode="External"/><Relationship Id="rId25" Type="http://schemas.openxmlformats.org/officeDocument/2006/relationships/hyperlink" Target="https://www.sec.gov/Archives/edgar/data/2001557/000114036125010165/ef20045914_ex3-1.htm" TargetMode="External"/><Relationship Id="rId26" Type="http://schemas.openxmlformats.org/officeDocument/2006/relationships/hyperlink" Target="https://www.sec.gov/Archives/edgar/data/2001557/000200155725000007/exhibit41-thirdconvertible.htm" TargetMode="External"/><Relationship Id="rId27" Type="http://schemas.openxmlformats.org/officeDocument/2006/relationships/hyperlink" Target="https://www.sec.gov/Archives/edgar/data/2001557/000200155725000007/exhibit101-securitiespurch.htm" TargetMode="External"/><Relationship Id="rId28" Type="http://schemas.openxmlformats.org/officeDocument/2006/relationships/hyperlink" Target="https://www.sec.gov/Archives/edgar/data/2001557/000200155725000007/exhibit102-globalguarantya.htm" TargetMode="External"/><Relationship Id="rId29" Type="http://schemas.openxmlformats.org/officeDocument/2006/relationships/hyperlink" Target="https://www.sec.gov/Archives/edgar/data/2001557/000200155725000007/exhibit103-registrationrig.htm" TargetMode="External"/><Relationship Id="rId30" Type="http://schemas.openxmlformats.org/officeDocument/2006/relationships/hyperlink" Target="https://www.sec.gov/Archives/edgar/data/2001557/000200155725000007/exhibit104-amendmenttoconv.htm" TargetMode="External"/><Relationship Id="rId31" Type="http://schemas.openxmlformats.org/officeDocument/2006/relationships/hyperlink" Target="https://www.sec.gov/Archives/edgar/data/2001557/000162828025033614/exhibit101.htm" TargetMode="External"/><Relationship Id="rId32" Type="http://schemas.openxmlformats.org/officeDocument/2006/relationships/hyperlink" Target="https://www.sec.gov/Archives/edgar/data/2001557/000162828025033614/exhibit103.htm" TargetMode="External"/><Relationship Id="rId33" Type="http://schemas.openxmlformats.org/officeDocument/2006/relationships/hyperlink" Target="https://www.sec.gov/Archives/edgar/data/2001557/000162828025052035/inv-exhibit311to2025q310xq.htm" TargetMode="External"/><Relationship Id="rId34" Type="http://schemas.openxmlformats.org/officeDocument/2006/relationships/hyperlink" Target="https://www.sec.gov/Archives/edgar/data/2001557/000162828025052035/inv-exhibit312to2025q310xq.htm" TargetMode="External"/><Relationship Id="rId35" Type="http://schemas.openxmlformats.org/officeDocument/2006/relationships/hyperlink" Target="https://www.sec.gov/Archives/edgar/data/2001557/000162828025052035/inv-exhibit321to2025q310xq.htm" TargetMode="External"/><Relationship Id="rId36" Type="http://schemas.openxmlformats.org/officeDocument/2006/relationships/hyperlink" Target="https://www.sec.gov/Archives/edgar/data/2001557/000162828025052035/inv-exhibit322to2025q310xq.htm" TargetMode="External"/><Relationship Id="rId37" Type="http://schemas.openxmlformats.org/officeDocument/2006/relationships/hyperlink" Target="https://www.sec.gov/Archives/edgar/data/2001557/000162828025051586/inv-ex41to8xkfourthconve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2025-11-14T15:57:37Z</dcterms:created>
  <dcterms:modified xsi:type="dcterms:W3CDTF">2025-11-14T15:57:37Z</dcterms:modified>
</cp:coreProperties>
</file>