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Current Report on Form 8-K, which was filed with the Securities and Exchange Commission (the “SEC”) on December 18, 2024 (the “Current Report”). Accordingly, we have attached the Current Report to this prospectus supplement. Capitalized terms used in this prospectus supplement and not otherwise defined herein have the meanings specified in the Prospectus.</w:t>
      </w:r>
    </w:p>
    <w:p>
      <w:pPr>
        <w:spacing w:after="0" w:line="1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2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December 17, 2024, the closing price of our Common Stock was $12.79 per share.</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671195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611505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18, 2024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7.01 - Regulation FD Disclosure</w:t>
      </w:r>
    </w:p>
    <w:p>
      <w:pPr>
        <w:spacing w:after="0" w:line="25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December 18, 2024, Innventure, Inc. issued a press release, attached hereto as Exhibit 99.1 and incorporated herein by reference, announcing its plan to collaborate with The Dow Chemical Company on a waste-to-value platform and the launch of Refinity, a new majority-owned subsidiary, that intends to commercialize waste-to-value technologies.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1098" w:right="339" w:bottom="1440" w:gutter="0" w:footer="0" w:header="0"/>
        </w:sectPr>
      </w:pPr>
    </w:p>
    <w:p>
      <w:pPr>
        <w:spacing w:after="0" w:line="293" w:lineRule="exact"/>
        <w:rPr>
          <w:sz w:val="20"/>
          <w:szCs w:val="20"/>
          <w:color w:val="auto"/>
        </w:rPr>
      </w:pPr>
    </w:p>
    <w:p>
      <w:pPr>
        <w:jc w:val="center"/>
        <w:ind w:left="4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Exhibit Number </w:t>
      </w:r>
      <w:r>
        <w:rPr>
          <w:rFonts w:ascii="Times New Roman" w:cs="Times New Roman" w:eastAsia="Times New Roman" w:hAnsi="Times New Roman"/>
          <w:sz w:val="19"/>
          <w:szCs w:val="19"/>
          <w:color w:val="auto"/>
        </w:rPr>
        <w:t>99.1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Description of Exhibit</w:t>
      </w:r>
    </w:p>
    <w:p>
      <w:pPr>
        <w:spacing w:after="0" w:line="60" w:lineRule="exact"/>
        <w:rPr>
          <w:sz w:val="20"/>
          <w:szCs w:val="20"/>
          <w:color w:val="auto"/>
        </w:rPr>
      </w:pPr>
    </w:p>
    <w:p>
      <w:pPr>
        <w:spacing w:after="0"/>
        <w:rPr>
          <w:rFonts w:ascii="Times New Roman" w:cs="Times New Roman" w:eastAsia="Times New Roman" w:hAnsi="Times New Roman"/>
          <w:sz w:val="22"/>
          <w:szCs w:val="22"/>
          <w:color w:val="auto"/>
        </w:rPr>
      </w:pPr>
      <w:hyperlink r:id="rId10">
        <w:r>
          <w:rPr>
            <w:rFonts w:ascii="Times New Roman" w:cs="Times New Roman" w:eastAsia="Times New Roman" w:hAnsi="Times New Roman"/>
            <w:sz w:val="22"/>
            <w:szCs w:val="22"/>
            <w:color w:val="auto"/>
          </w:rPr>
          <w:t>Press Release by Innventure, Inc. dated December 18, 2024</w:t>
        </w:r>
      </w:hyperlink>
    </w:p>
    <w:p>
      <w:pPr>
        <w:spacing w:after="0" w:line="43" w:lineRule="exact"/>
        <w:rPr>
          <w:sz w:val="20"/>
          <w:szCs w:val="20"/>
          <w:color w:val="auto"/>
        </w:rPr>
      </w:pPr>
    </w:p>
    <w:p>
      <w:pPr>
        <w:sectPr>
          <w:pgSz w:w="11900" w:h="16838" w:orient="portrait"/>
          <w:cols w:equalWidth="0" w:num="2">
            <w:col w:w="1540" w:space="40"/>
            <w:col w:w="9660"/>
          </w:cols>
          <w:pgMar w:left="320" w:top="1098" w:right="339" w:bottom="1440" w:gutter="0" w:footer="0" w:header="0"/>
          <w:type w:val="continuous"/>
        </w:sectPr>
      </w:pPr>
    </w:p>
    <w:p>
      <w:pPr>
        <w:ind w:left="1580" w:hanging="944"/>
        <w:spacing w:after="0"/>
        <w:tabs>
          <w:tab w:leader="none" w:pos="15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Cover Page Interactive Data File (formatted in Inline XBRL)</w:t>
      </w:r>
    </w:p>
    <w:p>
      <w:pPr>
        <w:sectPr>
          <w:pgSz w:w="11900" w:h="16838" w:orient="portrait"/>
          <w:cols w:equalWidth="0" w:num="1">
            <w:col w:w="11240"/>
          </w:cols>
          <w:pgMar w:left="320" w:top="1098"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040" w:type="dxa"/>
            <w:vAlign w:val="bottom"/>
          </w:tcPr>
          <w:p>
            <w:pPr>
              <w:spacing w:after="0"/>
              <w:rPr>
                <w:sz w:val="20"/>
                <w:szCs w:val="20"/>
                <w:color w:val="auto"/>
              </w:rPr>
            </w:pPr>
            <w:r>
              <w:rPr>
                <w:rFonts w:ascii="Calibri" w:cs="Calibri" w:eastAsia="Calibri" w:hAnsi="Calibri"/>
                <w:sz w:val="20"/>
                <w:szCs w:val="20"/>
                <w:color w:val="auto"/>
              </w:rPr>
              <w:t>Date: December 18, 2024</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272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4"/>
                <w:szCs w:val="24"/>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sec.gov/Archives/edgar/data/2001557/000162828024051816/exhibit991to12-18x248xk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2024-12-18T08:24:01Z</dcterms:created>
  <dcterms:modified xsi:type="dcterms:W3CDTF">2024-12-18T08:24:01Z</dcterms:modified>
</cp:coreProperties>
</file>