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184150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87630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217170</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Innventure,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193040</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680" w:space="720"/>
            <w:col w:w="3220"/>
          </w:cols>
          <w:pgMar w:left="320" w:top="516"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Orlando, Florida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32827</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404" w:lineRule="exact"/>
        <w:rPr>
          <w:sz w:val="24"/>
          <w:szCs w:val="24"/>
          <w:color w:val="auto"/>
        </w:rPr>
      </w:pPr>
    </w:p>
    <w:p>
      <w:pPr>
        <w:sectPr>
          <w:pgSz w:w="11900" w:h="16838" w:orient="portrait"/>
          <w:cols w:equalWidth="0" w:num="2">
            <w:col w:w="7360" w:space="720"/>
            <w:col w:w="316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203200</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53"/>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8"/>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INV</w:t>
            </w:r>
          </w:p>
        </w:tc>
        <w:tc>
          <w:tcPr>
            <w:tcW w:w="120" w:type="dxa"/>
            <w:vAlign w:val="bottom"/>
          </w:tcPr>
          <w:p>
            <w:pPr>
              <w:spacing w:after="0"/>
              <w:rPr>
                <w:sz w:val="20"/>
                <w:szCs w:val="20"/>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66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Innventure Private Placement</w:t>
      </w:r>
    </w:p>
    <w:p>
      <w:pPr>
        <w:spacing w:after="0" w:line="2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October 3, 2025, Innventure,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subscription agreements (the “</w:t>
      </w:r>
      <w:r>
        <w:rPr>
          <w:rFonts w:ascii="Times New Roman" w:cs="Times New Roman" w:eastAsia="Times New Roman" w:hAnsi="Times New Roman"/>
          <w:sz w:val="18"/>
          <w:szCs w:val="18"/>
          <w:b w:val="1"/>
          <w:bCs w:val="1"/>
          <w:i w:val="1"/>
          <w:iCs w:val="1"/>
          <w:color w:val="auto"/>
        </w:rPr>
        <w:t>Subscription Agreements</w:t>
      </w:r>
      <w:r>
        <w:rPr>
          <w:rFonts w:ascii="Times New Roman" w:cs="Times New Roman" w:eastAsia="Times New Roman" w:hAnsi="Times New Roman"/>
          <w:sz w:val="18"/>
          <w:szCs w:val="18"/>
          <w:color w:val="auto"/>
        </w:rPr>
        <w:t>”) with certain investors (the “</w:t>
      </w:r>
      <w:r>
        <w:rPr>
          <w:rFonts w:ascii="Times New Roman" w:cs="Times New Roman" w:eastAsia="Times New Roman" w:hAnsi="Times New Roman"/>
          <w:sz w:val="18"/>
          <w:szCs w:val="18"/>
          <w:b w:val="1"/>
          <w:bCs w:val="1"/>
          <w:i w:val="1"/>
          <w:iCs w:val="1"/>
          <w:color w:val="auto"/>
        </w:rPr>
        <w:t>Investors</w:t>
      </w:r>
      <w:r>
        <w:rPr>
          <w:rFonts w:ascii="Times New Roman" w:cs="Times New Roman" w:eastAsia="Times New Roman" w:hAnsi="Times New Roman"/>
          <w:sz w:val="18"/>
          <w:szCs w:val="18"/>
          <w:color w:val="auto"/>
        </w:rPr>
        <w:t>”), pursuant to which the Company agreed to sell to the Investors, in a private placement, an aggregate of 1,625,235 shares of the Company’s common stock, par value $0.0001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Series A warrants to purchase an aggregate of 1,625,235 shares of Common Stock (the “</w:t>
      </w:r>
      <w:r>
        <w:rPr>
          <w:rFonts w:ascii="Times New Roman" w:cs="Times New Roman" w:eastAsia="Times New Roman" w:hAnsi="Times New Roman"/>
          <w:sz w:val="18"/>
          <w:szCs w:val="18"/>
          <w:b w:val="1"/>
          <w:bCs w:val="1"/>
          <w:i w:val="1"/>
          <w:iCs w:val="1"/>
          <w:color w:val="auto"/>
        </w:rPr>
        <w:t>Series A Warrants,</w:t>
      </w:r>
      <w:r>
        <w:rPr>
          <w:rFonts w:ascii="Times New Roman" w:cs="Times New Roman" w:eastAsia="Times New Roman" w:hAnsi="Times New Roman"/>
          <w:sz w:val="18"/>
          <w:szCs w:val="18"/>
          <w:color w:val="auto"/>
        </w:rPr>
        <w:t>” and the shares of Common Stock issuable upon exercise of the Series A Warrants, the “</w:t>
      </w:r>
      <w:r>
        <w:rPr>
          <w:rFonts w:ascii="Times New Roman" w:cs="Times New Roman" w:eastAsia="Times New Roman" w:hAnsi="Times New Roman"/>
          <w:sz w:val="18"/>
          <w:szCs w:val="18"/>
          <w:b w:val="1"/>
          <w:bCs w:val="1"/>
          <w:i w:val="1"/>
          <w:iCs w:val="1"/>
          <w:color w:val="auto"/>
        </w:rPr>
        <w:t>Warrant Shares</w:t>
      </w:r>
      <w:r>
        <w:rPr>
          <w:rFonts w:ascii="Times New Roman" w:cs="Times New Roman" w:eastAsia="Times New Roman" w:hAnsi="Times New Roman"/>
          <w:sz w:val="18"/>
          <w:szCs w:val="18"/>
          <w:color w:val="auto"/>
        </w:rPr>
        <w:t>”) at a price of $6.00 per share of Common Stock and one Series A Warrant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The Series A Warrants have an exercise price of $8.00 per share, will be exercisable any time on or after April 6, 2026 (the calendar day following the six month anniversary of the date of issuance), will expire on October 3, 2030 and are redeemable by the Company at a price of $0.01 per Series A Warrant if the last sales price of the Common Stock has been equal to or greater than $15.00 per share (subject to adjustment for splits, dividends, recapitalizations and other similar events) for any twenty (20) trading days within a thirty (30) trading day period commencing after the Series A Warrants become exercisable. The sales of the securities pursuant to the Subscription Agreements closed on October 3, 2025. The gross proceeds to the Company from the Offering are approximately $9.75 million before deducting fees and other estimated offering expenses.</w:t>
      </w:r>
    </w:p>
    <w:p>
      <w:pPr>
        <w:spacing w:after="0" w:line="182"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18"/>
          <w:szCs w:val="18"/>
          <w:color w:val="auto"/>
        </w:rPr>
        <w:t>As part of the Subscription Agreements, the Company is required to prepare and file a registration statement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covering the resale of the Shares and the Warrant Shares. The Company is required to have such Registration Statement declared effective by the Commission within 120 calendar days (or 150 calendar days in the event of a “full review” by the Commission) following the closing of the Offering.</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foregoing descriptions of the Subscription Agreements and the Series A Warrants and the transactions contemplated thereby are only a summary and do not purport to be complete and are qualified in their entirety by reference to the full text of the form of Series A Warrant and the form of Subscription Agreement, copies of which are attached to this Current Report on Form 8-K as Exhibit 4.1 and Exhibit 10.1, respectively,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 w:name="page3"/>
    <w:bookmarkEnd w:id="2"/>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JCI Investment in Accelsius</w:t>
      </w:r>
    </w:p>
    <w:p>
      <w:pPr>
        <w:spacing w:after="0" w:line="22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On October 2, 2025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Accelsius Holdings LLC (“</w:t>
      </w:r>
      <w:r>
        <w:rPr>
          <w:rFonts w:ascii="Times New Roman" w:cs="Times New Roman" w:eastAsia="Times New Roman" w:hAnsi="Times New Roman"/>
          <w:sz w:val="18"/>
          <w:szCs w:val="18"/>
          <w:b w:val="1"/>
          <w:bCs w:val="1"/>
          <w:i w:val="1"/>
          <w:iCs w:val="1"/>
          <w:color w:val="auto"/>
        </w:rPr>
        <w:t>Accelsius</w:t>
      </w:r>
      <w:r>
        <w:rPr>
          <w:rFonts w:ascii="Times New Roman" w:cs="Times New Roman" w:eastAsia="Times New Roman" w:hAnsi="Times New Roman"/>
          <w:sz w:val="18"/>
          <w:szCs w:val="18"/>
          <w:color w:val="auto"/>
        </w:rPr>
        <w:t>”), a subsidiary of the Company, issued and sold to Johnson Controls, Inc., a Wisconsin corporation (“</w:t>
      </w:r>
      <w:r>
        <w:rPr>
          <w:rFonts w:ascii="Times New Roman" w:cs="Times New Roman" w:eastAsia="Times New Roman" w:hAnsi="Times New Roman"/>
          <w:sz w:val="14"/>
          <w:szCs w:val="14"/>
          <w:b w:val="1"/>
          <w:bCs w:val="1"/>
          <w:i w:val="1"/>
          <w:iCs w:val="1"/>
          <w:color w:val="auto"/>
        </w:rPr>
        <w:t>JCI</w:t>
      </w:r>
      <w:r>
        <w:rPr>
          <w:rFonts w:ascii="Times New Roman" w:cs="Times New Roman" w:eastAsia="Times New Roman" w:hAnsi="Times New Roman"/>
          <w:sz w:val="18"/>
          <w:szCs w:val="18"/>
          <w:color w:val="auto"/>
        </w:rPr>
        <w:t>”), 685,163 units of Accelsius’s Series B-1 Units (the “</w:t>
      </w:r>
      <w:r>
        <w:rPr>
          <w:rFonts w:ascii="Times New Roman" w:cs="Times New Roman" w:eastAsia="Times New Roman" w:hAnsi="Times New Roman"/>
          <w:sz w:val="18"/>
          <w:szCs w:val="18"/>
          <w:b w:val="1"/>
          <w:bCs w:val="1"/>
          <w:i w:val="1"/>
          <w:iCs w:val="1"/>
          <w:color w:val="auto"/>
        </w:rPr>
        <w:t>Series B-1 Units</w:t>
      </w:r>
      <w:r>
        <w:rPr>
          <w:rFonts w:ascii="Times New Roman" w:cs="Times New Roman" w:eastAsia="Times New Roman" w:hAnsi="Times New Roman"/>
          <w:sz w:val="18"/>
          <w:szCs w:val="18"/>
          <w:color w:val="auto"/>
        </w:rPr>
        <w:t>”). The gross proceeds to the Company from the Closing were approximately $25,000,000 before deducting financial advisor fees and other estimated offering expenses.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Accelsius will use the proceeds from the sale of the Series B-1 Units for general company purposes. Upon consummation of the Closing, certain outstanding convertible notes and other indebtedness of Accelsius that is automatically convertible into equity securities of Accelsius will automatically convert into equity securities of Accelsius in accordance with their terms. The Series B-1 Units are convertible at any time and from time to time into Accelsius’s Class A Common Units by dividing the Series B-1 Unit’s Issue Price (as defined below) by the Conversion Price (as defined below) in effect at the time of conversion. The “Issue Price” means $36.4877 per unit, subject to appropriate adjustment in the event of any unit dividend, unit split, combination or other similar recapitalization with respect to the applicable Series B-1 Units. The “Conversion Price” shall initially equal $36.4877 and will be subject to certain adjustments.</w:t>
      </w:r>
    </w:p>
    <w:p>
      <w:pPr>
        <w:spacing w:after="0" w:line="185"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color w:val="auto"/>
        </w:rPr>
        <w:t>The securities have not been registered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may not be offered or sold absent registration or an applicable exemption from registration requirements.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Rights Provided to JCI</w:t>
      </w:r>
    </w:p>
    <w:p>
      <w:pPr>
        <w:spacing w:after="0" w:line="22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color w:val="auto"/>
        </w:rPr>
        <w:t>In connection with the Closing, Accelsius amended its limited liability company agreement (“</w:t>
      </w:r>
      <w:r>
        <w:rPr>
          <w:rFonts w:ascii="Times New Roman" w:cs="Times New Roman" w:eastAsia="Times New Roman" w:hAnsi="Times New Roman"/>
          <w:sz w:val="18"/>
          <w:szCs w:val="18"/>
          <w:b w:val="1"/>
          <w:bCs w:val="1"/>
          <w:i w:val="1"/>
          <w:iCs w:val="1"/>
          <w:color w:val="auto"/>
        </w:rPr>
        <w:t>Operating Agreement</w:t>
      </w:r>
      <w:r>
        <w:rPr>
          <w:rFonts w:ascii="Times New Roman" w:cs="Times New Roman" w:eastAsia="Times New Roman" w:hAnsi="Times New Roman"/>
          <w:sz w:val="18"/>
          <w:szCs w:val="18"/>
          <w:color w:val="auto"/>
        </w:rPr>
        <w:t>”) to provide for certain rights to JCI with respect to the Series B-1 Units.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Rights</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so long as JCI and its affiliates continue to beneficially own an aggregate of at least 50% of the Series B-1 Units purchased by JCI (subject to appropriate adjustment for any unit splits, unit dividends, combinations, recapitalizations and the like or any conversion), JCI will be entitled to designate and remove one director (the “</w:t>
      </w:r>
      <w:r>
        <w:rPr>
          <w:rFonts w:ascii="Times New Roman" w:cs="Times New Roman" w:eastAsia="Times New Roman" w:hAnsi="Times New Roman"/>
          <w:sz w:val="18"/>
          <w:szCs w:val="18"/>
          <w:b w:val="1"/>
          <w:bCs w:val="1"/>
          <w:i w:val="1"/>
          <w:iCs w:val="1"/>
          <w:color w:val="auto"/>
        </w:rPr>
        <w:t>Preferred Director</w:t>
      </w:r>
      <w:r>
        <w:rPr>
          <w:rFonts w:ascii="Times New Roman" w:cs="Times New Roman" w:eastAsia="Times New Roman" w:hAnsi="Times New Roman"/>
          <w:sz w:val="18"/>
          <w:szCs w:val="18"/>
          <w:color w:val="auto"/>
        </w:rPr>
        <w:t>”). Each director will be entitled to one vote on all matters that come before the board of directors of Accelsius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The Preferred Director will be entitled in such person’s discretion to be a member of any committee of the Board or of the board of directors or managers of any subsidiary of Accelsius.</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No action shall be taken by the Board or any officer on behalf of Accelsius with respect to any Preferred Decision (as defined in the Operating Agreement) without the approval of the Preferred Director. Such “Preferred Decisions” include, among others, (i) any amendment of any provision of the Operating Agreement that would adversely affect the special rights, powers, or preferences of the Series B-1 Units, (ii) the incurrence or guarantee of indebtedness by Accelsius in excess of $20,000,000 in a single transaction or series of related transactions, (iii) the creation of any new class or series of units that would rank senior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to the Series B-1 Units, and (iv) an increase in the authorized number of Accelsius’s Class A Common Units, Class C Units, or any series of preferred units.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Preemptive Rights; Right of First Refusal; Right of Co-Sale</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Subject to certain exceptions and conditions, (i) JCI has preemptive rights to purchase its proportional share of new equity issuances by Accelsius, with oversubscription rights for unsubscribed amounts; (ii) holders of Accelsius units seeking to transfer their units in response to an offer (the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Notice</w:t>
      </w:r>
      <w:r>
        <w:rPr>
          <w:rFonts w:ascii="Times New Roman" w:cs="Times New Roman" w:eastAsia="Times New Roman" w:hAnsi="Times New Roman"/>
          <w:sz w:val="18"/>
          <w:szCs w:val="18"/>
          <w:color w:val="auto"/>
        </w:rPr>
        <w:t>”) must first offer such units in writing to Accelsius and then to JCI on the same terms as the Transfer Notice (the “</w:t>
      </w:r>
      <w:r>
        <w:rPr>
          <w:rFonts w:ascii="Times New Roman" w:cs="Times New Roman" w:eastAsia="Times New Roman" w:hAnsi="Times New Roman"/>
          <w:sz w:val="18"/>
          <w:szCs w:val="18"/>
          <w:b w:val="1"/>
          <w:bCs w:val="1"/>
          <w:i w:val="1"/>
          <w:iCs w:val="1"/>
          <w:color w:val="auto"/>
        </w:rPr>
        <w:t>Right of First Refusal</w:t>
      </w:r>
      <w:r>
        <w:rPr>
          <w:rFonts w:ascii="Times New Roman" w:cs="Times New Roman" w:eastAsia="Times New Roman" w:hAnsi="Times New Roman"/>
          <w:sz w:val="18"/>
          <w:szCs w:val="18"/>
          <w:color w:val="auto"/>
        </w:rPr>
        <w:t>”); and (iii)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any such units are not purchased under the Right of First Refusal and are to be sold to a transferee named in such Transfer Notice, JCI may exercise a pro rata right of co-sale pursuant to the Operating Agreement on the same terms and conditions specified in the Transfer Notice.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Rights and Inspection</w:t>
      </w:r>
    </w:p>
    <w:p>
      <w:pPr>
        <w:spacing w:after="0" w:line="22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JCI has the right, at JCI’s expense, to examine Accelsius’s books of account and records and discuss Accelsius’s affairs with its officers, subject to confidentiality or trade secret and privilege protection and competitive sensitivity limitations. Additionally, JCI has the right to receive annual audited financials, quarterly unaudited financials and quarterly capitalization information within specified periods of time.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 on Transfer</w:t>
      </w:r>
    </w:p>
    <w:p>
      <w:pPr>
        <w:spacing w:after="0" w:line="22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Accelsius’s preferred units, including its Series B-1 Units, and certain of Accelsius’s Class A Common Units (“</w:t>
      </w:r>
      <w:r>
        <w:rPr>
          <w:rFonts w:ascii="Times New Roman" w:cs="Times New Roman" w:eastAsia="Times New Roman" w:hAnsi="Times New Roman"/>
          <w:sz w:val="18"/>
          <w:szCs w:val="18"/>
          <w:b w:val="1"/>
          <w:bCs w:val="1"/>
          <w:i w:val="1"/>
          <w:iCs w:val="1"/>
          <w:color w:val="auto"/>
        </w:rPr>
        <w:t>Registrable Securities</w:t>
      </w:r>
      <w:r>
        <w:rPr>
          <w:rFonts w:ascii="Times New Roman" w:cs="Times New Roman" w:eastAsia="Times New Roman" w:hAnsi="Times New Roman"/>
          <w:sz w:val="18"/>
          <w:szCs w:val="18"/>
          <w:color w:val="auto"/>
        </w:rPr>
        <w:t>”) may not be sold, pledged, or otherwise transferred, and Accelsius may issue stop-transfer instructions, subject to certain conditions to ensure compliance with U.S. securities laws and regulations, and any proposed transferee of the Registrable Securities must agree to hold such securities subject to the provisions and conditions in the Operating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w:t>
      </w:r>
    </w:p>
    <w:p>
      <w:pPr>
        <w:spacing w:after="0" w:line="227"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Holders of a majority of Registrable Securities have received certain customary registration rights, subject to customary deferrals and frequency limits, as set forth in the Operating Agreement. Additionally, JCI has the right to participate in company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initiated registrations, subject to underwriter cutbacks.</w:t>
      </w:r>
    </w:p>
    <w:p>
      <w:pPr>
        <w:spacing w:after="0" w:line="16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400" w:type="dxa"/>
            <w:vAlign w:val="bottom"/>
          </w:tcPr>
          <w:p>
            <w:pPr>
              <w:spacing w:after="0"/>
              <w:rPr>
                <w:sz w:val="18"/>
                <w:szCs w:val="18"/>
                <w:color w:val="auto"/>
              </w:rPr>
            </w:pPr>
          </w:p>
        </w:tc>
      </w:tr>
      <w:tr>
        <w:trPr>
          <w:trHeight w:val="245"/>
        </w:trPr>
        <w:tc>
          <w:tcPr>
            <w:tcW w:w="8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400" w:type="dxa"/>
            <w:vAlign w:val="bottom"/>
            <w:tcBorders>
              <w:bottom w:val="single" w:sz="8" w:color="auto"/>
            </w:tcBorders>
          </w:tcPr>
          <w:p>
            <w:pPr>
              <w:ind w:left="43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6"/>
        </w:trPr>
        <w:tc>
          <w:tcPr>
            <w:tcW w:w="660" w:type="dxa"/>
            <w:vAlign w:val="bottom"/>
            <w:gridSpan w:val="4"/>
            <w:shd w:val="clear" w:color="auto" w:fill="CCEEFF"/>
          </w:tcPr>
          <w:p>
            <w:pPr>
              <w:jc w:val="center"/>
              <w:ind w:left="170"/>
              <w:spacing w:after="0" w:line="176"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180" w:type="dxa"/>
            <w:vAlign w:val="bottom"/>
            <w:shd w:val="clear" w:color="auto" w:fill="CCEEFF"/>
          </w:tcPr>
          <w:p>
            <w:pPr>
              <w:spacing w:after="0"/>
              <w:rPr>
                <w:sz w:val="17"/>
                <w:szCs w:val="17"/>
                <w:color w:val="auto"/>
              </w:rPr>
            </w:pPr>
          </w:p>
        </w:tc>
        <w:tc>
          <w:tcPr>
            <w:tcW w:w="104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Form of Series A Warrant</w:t>
            </w:r>
          </w:p>
        </w:tc>
      </w:tr>
      <w:tr>
        <w:trPr>
          <w:trHeight w:val="216"/>
        </w:trPr>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400" w:type="dxa"/>
            <w:vAlign w:val="bottom"/>
            <w:tcBorders>
              <w:top w:val="single" w:sz="8" w:color="CCEEFF"/>
            </w:tcBorders>
          </w:tcPr>
          <w:p>
            <w:pPr>
              <w:spacing w:after="0"/>
              <w:rPr>
                <w:sz w:val="18"/>
                <w:szCs w:val="18"/>
                <w:color w:val="auto"/>
              </w:rPr>
            </w:pPr>
          </w:p>
        </w:tc>
      </w:tr>
      <w:tr>
        <w:trPr>
          <w:trHeight w:val="196"/>
        </w:trPr>
        <w:tc>
          <w:tcPr>
            <w:tcW w:w="840" w:type="dxa"/>
            <w:vAlign w:val="bottom"/>
            <w:gridSpan w:val="5"/>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040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Form of Subscription Agreement</w:t>
            </w:r>
          </w:p>
        </w:tc>
      </w:tr>
      <w:tr>
        <w:trPr>
          <w:trHeight w:val="216"/>
        </w:trPr>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400" w:type="dxa"/>
            <w:vAlign w:val="bottom"/>
            <w:tcBorders>
              <w:top w:val="single" w:sz="8" w:color="CCEEFF"/>
            </w:tcBorders>
          </w:tcPr>
          <w:p>
            <w:pPr>
              <w:spacing w:after="0"/>
              <w:rPr>
                <w:sz w:val="18"/>
                <w:szCs w:val="18"/>
                <w:color w:val="auto"/>
              </w:rPr>
            </w:pPr>
          </w:p>
        </w:tc>
      </w:tr>
      <w:tr>
        <w:trPr>
          <w:trHeight w:val="216"/>
        </w:trPr>
        <w:tc>
          <w:tcPr>
            <w:tcW w:w="660" w:type="dxa"/>
            <w:vAlign w:val="bottom"/>
            <w:gridSpan w:val="4"/>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CCEEFF"/>
          </w:tcPr>
          <w:p>
            <w:pPr>
              <w:spacing w:after="0"/>
              <w:rPr>
                <w:sz w:val="18"/>
                <w:szCs w:val="18"/>
                <w:color w:val="auto"/>
              </w:rPr>
            </w:pPr>
          </w:p>
        </w:tc>
        <w:tc>
          <w:tcPr>
            <w:tcW w:w="10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(in Inline XBRL format)</w:t>
            </w:r>
          </w:p>
        </w:tc>
      </w:tr>
    </w:tbl>
    <w:p>
      <w:pPr>
        <w:sectPr>
          <w:pgSz w:w="11900" w:h="16838" w:orient="portrait"/>
          <w:cols w:equalWidth="0" w:num="1">
            <w:col w:w="11240"/>
          </w:cols>
          <w:pgMar w:left="320" w:top="117" w:right="339" w:bottom="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color w:val="auto"/>
        </w:rPr>
        <w:t>^Certain schedules have been omitted pursuant to Item 601(a)(5) of Regulation S-K. Innventure, Inc. agrees to furnish a copy of any omitted schedule to the SEC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4" w:name="page5"/>
    <w:bookmarkEnd w:id="4"/>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 /s/ David Yablunosky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26035</wp:posOffset>
            </wp:positionV>
            <wp:extent cx="299148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30"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David Yablunosky</w:t>
      </w:r>
    </w:p>
    <w:p>
      <w:pPr>
        <w:spacing w:after="0" w:line="2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17" w:right="659" w:bottom="1440" w:gutter="0" w:footer="0" w:header="0"/>
        </w:sectPr>
      </w:pPr>
    </w:p>
    <w:bookmarkStart w:id="5" w:name="page6"/>
    <w:bookmarkEnd w:id="5"/>
    <w:p>
      <w:pPr>
        <w:ind w:left="103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Series A Warrant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IF APPLICABLE, HAVE BEEN REGISTERED WITH THE SECURITIES AND EXCHANGE COMMISSION OR THE SECURITIES COMMISSION OF ANY STATE IN RELIANCE UPON AN EXEMPTION FROM REGISTRATION UNDER THE SECURITIES ACT OF 1933, AS AMENDED (THE “SECURITIES ACT”), AND, ACCORDINGLY, MAY NOT UNDER ANY CIRCUMSTANCES BE OFFERED, TRANSFERRED, SOLD OR OTHERWISE DISPOSED OF EXCEPT PURSUANT TO AN EFFECTIVE REGISTRATION STATEMENT UNDER THE SECURITIES ACT OR PURSUANT TO AN AVAILABLE EXEMPTION FROM, OR IN A TRANSACTION NOT SUBJECT TO, THE REGISTRATION REQUIREMENTS OF THE SECURITIES ACT AND IN ACCORDANCE WITH APPLICABLE FEDERAL, STATE AND FOREIGN SECURITIES LAWS.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2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SERIES A WARRANT</w:t>
            </w:r>
          </w:p>
        </w:tc>
      </w:tr>
      <w:tr>
        <w:trPr>
          <w:trHeight w:val="220"/>
        </w:trPr>
        <w:tc>
          <w:tcPr>
            <w:tcW w:w="1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22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INNVENTURE, INC.</w:t>
            </w:r>
          </w:p>
        </w:tc>
      </w:tr>
      <w:tr>
        <w:trPr>
          <w:trHeight w:val="234"/>
        </w:trPr>
        <w:tc>
          <w:tcPr>
            <w:tcW w:w="1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2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Issue Date: October 3, 2025</w:t>
            </w:r>
          </w:p>
        </w:tc>
      </w:tr>
      <w:tr>
        <w:trPr>
          <w:trHeight w:val="45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Warrant Shares:</w:t>
            </w:r>
          </w:p>
        </w:tc>
        <w:tc>
          <w:tcPr>
            <w:tcW w:w="1700" w:type="dxa"/>
            <w:vAlign w:val="bottom"/>
            <w:tcBorders>
              <w:bottom w:val="single" w:sz="8" w:color="auto"/>
            </w:tcBorders>
          </w:tcPr>
          <w:p>
            <w:pPr>
              <w:spacing w:after="0"/>
              <w:rPr>
                <w:sz w:val="24"/>
                <w:szCs w:val="24"/>
                <w:color w:val="auto"/>
              </w:rPr>
            </w:pPr>
          </w:p>
        </w:tc>
        <w:tc>
          <w:tcPr>
            <w:tcW w:w="5220" w:type="dxa"/>
            <w:vAlign w:val="bottom"/>
          </w:tcPr>
          <w:p>
            <w:pPr>
              <w:ind w:left="2680"/>
              <w:spacing w:after="0"/>
              <w:rPr>
                <w:sz w:val="20"/>
                <w:szCs w:val="20"/>
                <w:color w:val="auto"/>
              </w:rPr>
            </w:pPr>
            <w:r>
              <w:rPr>
                <w:rFonts w:ascii="Times New Roman" w:cs="Times New Roman" w:eastAsia="Times New Roman" w:hAnsi="Times New Roman"/>
                <w:sz w:val="18"/>
                <w:szCs w:val="18"/>
                <w:color w:val="auto"/>
                <w:w w:val="99"/>
              </w:rPr>
              <w:t>Initial Exercise Date: April 6, 2026</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SERIES A WARRANT (this “</w:t>
      </w:r>
      <w:r>
        <w:rPr>
          <w:rFonts w:ascii="Times New Roman" w:cs="Times New Roman" w:eastAsia="Times New Roman" w:hAnsi="Times New Roman"/>
          <w:sz w:val="18"/>
          <w:szCs w:val="18"/>
          <w:u w:val="single" w:color="auto"/>
          <w:color w:val="auto"/>
        </w:rPr>
        <w:t>Series A Warrant</w:t>
      </w:r>
      <w:r>
        <w:rPr>
          <w:rFonts w:ascii="Times New Roman" w:cs="Times New Roman" w:eastAsia="Times New Roman" w:hAnsi="Times New Roman"/>
          <w:sz w:val="18"/>
          <w:szCs w:val="18"/>
          <w:color w:val="auto"/>
        </w:rPr>
        <w:t>”) certifies that, for value received, _____________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the terms and subject to the limitations on exercise and the conditions hereinafter set forth, at any time on or after April 6, 2026 (the “</w:t>
      </w:r>
      <w:r>
        <w:rPr>
          <w:rFonts w:ascii="Times New Roman" w:cs="Times New Roman" w:eastAsia="Times New Roman" w:hAnsi="Times New Roman"/>
          <w:sz w:val="18"/>
          <w:szCs w:val="18"/>
          <w:u w:val="single" w:color="auto"/>
          <w:color w:val="auto"/>
        </w:rPr>
        <w:t>Initial 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and on or prior to the earlier of (i) 5:00 p.m. (New York City time) on October 3, 2030 and (ii) the date fixed for redemption of the Subscription Warrants (defined below) as provided in Section 4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Innventure,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shares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Common Stock. The purchase price of one share of Common Stock under this Series A Warrant shall be equal to the Exercise Price, as defined in Section 2(b).</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Series A Warrant is issued pursuant to that certain Subscription Agreement (the “</w:t>
      </w:r>
      <w:r>
        <w:rPr>
          <w:rFonts w:ascii="Times New Roman" w:cs="Times New Roman" w:eastAsia="Times New Roman" w:hAnsi="Times New Roman"/>
          <w:sz w:val="18"/>
          <w:szCs w:val="18"/>
          <w:u w:val="single" w:color="auto"/>
          <w:color w:val="auto"/>
        </w:rPr>
        <w:t>Subscription Agreement</w:t>
      </w:r>
      <w:r>
        <w:rPr>
          <w:rFonts w:ascii="Times New Roman" w:cs="Times New Roman" w:eastAsia="Times New Roman" w:hAnsi="Times New Roman"/>
          <w:sz w:val="18"/>
          <w:szCs w:val="18"/>
          <w:color w:val="auto"/>
        </w:rPr>
        <w:t>”), dated _____________, 2025,</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between the Company and the Holder. On or around the date of the Subscription Agreement, the Company entered into separate subscription agreements with the Company (“</w:t>
      </w:r>
      <w:r>
        <w:rPr>
          <w:rFonts w:ascii="Times New Roman" w:cs="Times New Roman" w:eastAsia="Times New Roman" w:hAnsi="Times New Roman"/>
          <w:sz w:val="18"/>
          <w:szCs w:val="18"/>
          <w:u w:val="single" w:color="auto"/>
          <w:color w:val="auto"/>
        </w:rPr>
        <w:t>Other Subscription Agreements</w:t>
      </w:r>
      <w:r>
        <w:rPr>
          <w:rFonts w:ascii="Times New Roman" w:cs="Times New Roman" w:eastAsia="Times New Roman" w:hAnsi="Times New Roman"/>
          <w:sz w:val="18"/>
          <w:szCs w:val="18"/>
          <w:color w:val="auto"/>
        </w:rPr>
        <w:t>”) with certain other “qualified institutional buyers” (within the meaning of Rule 144A under the Securities Act and “accredited investors” (within the meaning of Rule 501(a) under the Securities Act), pursuant to which the Company issued and sold to such investors additional Series A warrants with terms substantially similar to this Series A Warrant (the “</w:t>
      </w:r>
      <w:r>
        <w:rPr>
          <w:rFonts w:ascii="Times New Roman" w:cs="Times New Roman" w:eastAsia="Times New Roman" w:hAnsi="Times New Roman"/>
          <w:sz w:val="18"/>
          <w:szCs w:val="18"/>
          <w:u w:val="single" w:color="auto"/>
          <w:color w:val="auto"/>
        </w:rPr>
        <w:t>Other Series A Warrants</w:t>
      </w:r>
      <w:r>
        <w:rPr>
          <w:rFonts w:ascii="Times New Roman" w:cs="Times New Roman" w:eastAsia="Times New Roman" w:hAnsi="Times New Roman"/>
          <w:sz w:val="18"/>
          <w:szCs w:val="18"/>
          <w:color w:val="auto"/>
        </w:rPr>
        <w:t>”, and together with this Series A Warrant, the “</w:t>
      </w:r>
      <w:r>
        <w:rPr>
          <w:rFonts w:ascii="Times New Roman" w:cs="Times New Roman" w:eastAsia="Times New Roman" w:hAnsi="Times New Roman"/>
          <w:sz w:val="18"/>
          <w:szCs w:val="18"/>
          <w:u w:val="single" w:color="auto"/>
          <w:color w:val="auto"/>
        </w:rPr>
        <w:t>Subscription Warrants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Series A Warrant, for all purposes of this Series A Warrant, the following terms have the meanings set forth in this Section 1.</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Subscription Warrants then outstanding and reasonably acceptable to the Company, the fees and expenses of which shall be paid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6" w:name="page7"/>
    <w:bookmarkEnd w:id="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Black Scholes Value</w:t>
      </w:r>
      <w:r>
        <w:rPr>
          <w:rFonts w:ascii="Times New Roman" w:cs="Times New Roman" w:eastAsia="Times New Roman" w:hAnsi="Times New Roman"/>
          <w:sz w:val="18"/>
          <w:szCs w:val="18"/>
          <w:color w:val="auto"/>
        </w:rPr>
        <w:t>” means the value of this Series A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highest VWAP during the period beginning on the Trading Day immediately preceding the announcement of the applicable Fundamental Transaction (or the consummation of the applicable Fundamental Transaction, if earlier) and ending on the Trading Day of the Holder’s request pursuant to Section 3(d) and</w:t>
      </w:r>
    </w:p>
    <w:p>
      <w:pPr>
        <w:spacing w:after="0" w:line="6" w:lineRule="exact"/>
        <w:rPr>
          <w:sz w:val="20"/>
          <w:szCs w:val="20"/>
          <w:color w:val="auto"/>
        </w:rPr>
      </w:pPr>
    </w:p>
    <w:p>
      <w:pPr>
        <w:jc w:val="both"/>
        <w:ind w:firstLine="8"/>
        <w:spacing w:after="0" w:line="251" w:lineRule="auto"/>
        <w:tabs>
          <w:tab w:leader="none" w:pos="29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(or such other consideration) within the later of (i) five business days of the Holder’s election and (ii) the date of consummation of the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Series A Warrant in accordance with the provisions of Section 3(d) pursuant to written agreements in form and substance reasonably satisfactory to the Holder and approved by the Holder (without unreasonable delay) prior to such Fundamental Transaction and shall, at the option of the Holder, deliver to the Holder in exchange for this Series A Warrant a security of the Successor Entity evidenced by a written instrument substantially similar in form and substance to this Series A Warrant which is exercisable for a corresponding number of shares of capital stock of such Successor Entity (or its parent entity) equivalent to the shares of Common Stock acquirable and receivable upon exercise of this Series A Warrant (without regard to any limitations on the exercise of this Series A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Series A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Series A Warrant referring to the “Company” shall refer instead to the Successor Entity), and may exercise every right and power of the Company and shall assume all of the obligations of the Company under this Series A Warrant with the same effect as if such Successor Entity had been named as the Company herein.</w:t>
      </w:r>
    </w:p>
    <w:p>
      <w:pPr>
        <w:spacing w:after="0" w:line="19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 a day other than Saturday, Sunday or other day on which commercial banks in New York, New York are authorized or required by law to close.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Company’s common stock, par value $0.0001 per share.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that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Subscription Warrants then outstanding and reasonably acceptable to the Company, the fees and expenses of which shall be paid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shall be any duly appointed agent selected by the Company. The Warrant Agent shall initially be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Exercise of Series A Warrant.</w:t>
      </w:r>
    </w:p>
    <w:p>
      <w:pPr>
        <w:spacing w:after="0" w:line="225" w:lineRule="exact"/>
        <w:rPr>
          <w:sz w:val="20"/>
          <w:szCs w:val="20"/>
          <w:color w:val="auto"/>
        </w:rPr>
      </w:pPr>
    </w:p>
    <w:p>
      <w:pPr>
        <w:jc w:val="both"/>
        <w:ind w:left="1300"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Exercise by Holder</w:t>
      </w:r>
      <w:r>
        <w:rPr>
          <w:rFonts w:ascii="Times New Roman" w:cs="Times New Roman" w:eastAsia="Times New Roman" w:hAnsi="Times New Roman"/>
          <w:sz w:val="18"/>
          <w:szCs w:val="18"/>
          <w:color w:val="auto"/>
        </w:rPr>
        <w:t>. Exercise of the purchase rights represented by this Series A Warrant may be made, in whole or in part, at any time or times on or after the Initial Exercise Date and on or before the Termination Date by delivery to the Company (with a copy to the Warrant Agent) of a duly executed facsimile copy or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Within the earlier of (i) two Trading Days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w:t>
      </w:r>
    </w:p>
    <w:p>
      <w:pPr>
        <w:spacing w:after="0" w:line="188" w:lineRule="exact"/>
        <w:rPr>
          <w:sz w:val="20"/>
          <w:szCs w:val="20"/>
          <w:color w:val="auto"/>
        </w:rPr>
      </w:pPr>
    </w:p>
    <w:p>
      <w:pPr>
        <w:jc w:val="both"/>
        <w:ind w:left="1300"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xml:space="preserve">. Notwithstanding anything herein to the contrary, subject to Section 2(d)(ii), the Holder shall not be required to physically surrender this Series A Warrant to the Company until the Holder has purchased all of the Warrant Shares available hereunder and this Series A Warrant has been exercised in full, in which case, the Holder shall surrender this Series A Warrant to the Company for cancellation within three Trading Days of the date on which the final Notice of Exercise is delivered to the Company (with a copy to the Warrant Agent). Partial exercises of this Series A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business day of receipt of such notice. </w:t>
      </w:r>
      <w:r>
        <w:rPr>
          <w:rFonts w:ascii="Times New Roman" w:cs="Times New Roman" w:eastAsia="Times New Roman" w:hAnsi="Times New Roman"/>
          <w:sz w:val="18"/>
          <w:szCs w:val="18"/>
          <w:b w:val="1"/>
          <w:bCs w:val="1"/>
          <w:color w:val="auto"/>
        </w:rPr>
        <w:t>The Holder and any assignee, by acceptance of this Series A 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both"/>
        <w:ind w:left="1300" w:firstLine="648"/>
        <w:spacing w:after="0" w:line="251" w:lineRule="auto"/>
        <w:rPr>
          <w:sz w:val="20"/>
          <w:szCs w:val="20"/>
          <w:color w:val="auto"/>
        </w:rPr>
      </w:pP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xml:space="preserve">. The Holder may notify the Company in writing in the event it elects to be subject to the provisions contained in this Section 2(a)(iii);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no Holder shall be subject to this Section 2(a)(iii) unless he, she or it makes such election. If the election is made by the Holder, the Warrant Agent shall not effect the exercise of all or a portion of this Series A Warrant, and such Holder shall not have the right to exercise all or a portion of this Series A Warrant, to the extent that after giving effect to such exercise, such person (together with such person’s affiliates), to the Warrant Agent’s actual knowledge, would beneficially own in excess of 19.9% (or such other amount as a Holder may specify) (the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of the shares of Common Stock outstanding immediately after giving effect to such exercise. For purposes of the foregoing sentence, the aggregate number shares of Common Stock beneficially owned by such person and its affiliates shall include the number of shares of Common Stock issuable upon exercise of all or a portion of this Series A Warrant with respect to which the determination of such sentence is being made, but shall exclude Common Stock that would be issuable upon (x) exercise of the remaining, unexercised portion of this Series A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For purposes of this Series A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as the case may be, (2) a more recent public announcement by the Company or (3) any other notice by the Company setting forth the number of shares of Common Stock outstanding. For any reason at any time, upon the written request of the Holder, the Company shall, within five Business Days, confirm orally and in writing to the Holder the number of shares of Common Stock then outstanding. By written notice to the Company, the Holder may from time to time increase or decrease the Maximum Percentage applicable to it to any other percentage specified in such notice; provided, however, that any such increase shall not be effective until the 61st day after such notice is delivered to the Company.</w:t>
      </w:r>
    </w:p>
    <w:p>
      <w:pPr>
        <w:spacing w:after="0" w:line="205"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per share of Common Stock under this Series A Warrant shall be $8.00,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any time after the Initial Exercise Date, there is no effective registration statement registering, or the prospectus contained therein is not available for the resale of the Warrant Shares by the holder, then this Series A Warrant may also be exercised, in whole or in part, at such time by means of a “cashless exercise” in which the Holder shall be entitled to receive a number of Warrant Shares equal to the quotient obtained by dividing [(A-B) (X)] by (A), where:</w:t>
      </w:r>
    </w:p>
    <w:p>
      <w:pPr>
        <w:spacing w:after="0" w:line="180" w:lineRule="exact"/>
        <w:rPr>
          <w:sz w:val="20"/>
          <w:szCs w:val="20"/>
          <w:color w:val="auto"/>
        </w:rPr>
      </w:pPr>
    </w:p>
    <w:p>
      <w:pPr>
        <w:ind w:left="3160" w:hanging="1127"/>
        <w:spacing w:after="0" w:line="253" w:lineRule="auto"/>
        <w:tabs>
          <w:tab w:leader="none" w:pos="2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(“Bloomberg”) as of the time of the Holder’s execution of the applicable Notice of Exercise if such Notice of Exercise is executed during “regular trading hours” on a Trading Day and is delivered within two hours thereafter (including until two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 =</w:t>
            </w:r>
          </w:p>
        </w:tc>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Exercise Price of this Series A Warrant, as adjusted hereunder; and</w:t>
            </w:r>
          </w:p>
        </w:tc>
      </w:tr>
      <w:tr>
        <w:trPr>
          <w:trHeight w:val="414"/>
        </w:trPr>
        <w:tc>
          <w:tcPr>
            <w:tcW w:w="28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(X) =</w:t>
            </w:r>
          </w:p>
        </w:tc>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number of Warrant Shares that would be issuable upon exercise of this Series A Warrant in accordance with</w:t>
            </w:r>
          </w:p>
        </w:tc>
      </w:tr>
      <w:tr>
        <w:trPr>
          <w:trHeight w:val="216"/>
        </w:trPr>
        <w:tc>
          <w:tcPr>
            <w:tcW w:w="2800" w:type="dxa"/>
            <w:vAlign w:val="bottom"/>
          </w:tcPr>
          <w:p>
            <w:pPr>
              <w:spacing w:after="0"/>
              <w:rPr>
                <w:sz w:val="18"/>
                <w:szCs w:val="18"/>
                <w:color w:val="auto"/>
              </w:rPr>
            </w:pPr>
          </w:p>
        </w:tc>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terms of this Series A Warrant if such exercise were by means of a cash exercise rather than a cashless</w:t>
            </w:r>
          </w:p>
        </w:tc>
      </w:tr>
      <w:tr>
        <w:trPr>
          <w:trHeight w:val="234"/>
        </w:trPr>
        <w:tc>
          <w:tcPr>
            <w:tcW w:w="2800" w:type="dxa"/>
            <w:vAlign w:val="bottom"/>
          </w:tcPr>
          <w:p>
            <w:pPr>
              <w:spacing w:after="0"/>
              <w:rPr>
                <w:sz w:val="20"/>
                <w:szCs w:val="20"/>
                <w:color w:val="auto"/>
              </w:rPr>
            </w:pPr>
          </w:p>
        </w:tc>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w:t>
            </w:r>
          </w:p>
        </w:tc>
      </w:tr>
      <w:tr>
        <w:trPr>
          <w:trHeight w:val="398"/>
        </w:trPr>
        <w:tc>
          <w:tcPr>
            <w:tcW w:w="2800" w:type="dxa"/>
            <w:vAlign w:val="bottom"/>
            <w:tcBorders>
              <w:bottom w:val="single" w:sz="8" w:color="auto"/>
            </w:tcBorders>
          </w:tcPr>
          <w:p>
            <w:pPr>
              <w:spacing w:after="0"/>
              <w:rPr>
                <w:sz w:val="24"/>
                <w:szCs w:val="24"/>
                <w:color w:val="auto"/>
              </w:rPr>
            </w:pPr>
          </w:p>
        </w:tc>
        <w:tc>
          <w:tcPr>
            <w:tcW w:w="8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characteristics of this Series A Warrant being exercised, and the holding period of the Warrant Shares being issued may be tacked on to the holding period of this Series A Warrant. The Company agrees not to take any position contrary to this Section 2(c).</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Company’s transfer agent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to the Holder by crediting the account of the Holder’s or its designee’s balance account with the Company’s Transfer Agent, and otherwise by physical delivery of a certificate, registered in the Company’s share register in the name of the Holder or its designee, for the number of Warrant Shares to which the Holder is entitled pursuant to such exercise to the address specified by the Holder by the date that is the earliest of (i) two Trading Days after the delivery to the Company of the Notice of Exercise, (ii) one Trading Day after delivery of the aggregate Exercise Price to the Company and (iii)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Series A Warrant has been exercised, irrespective of the date of delivery of the Warrant Shares, provided that payment of the aggregate Exercise Price (other than in the case of a cashless exercise) is received within the earlier of (i) two Trading Days and (ii) the number of Trading Days comprising the Standard Settlement Period following delivery of the Notice of Exercise. The Company agrees to maintain a transfer agent that is a participant in the FAST program so long as this Series A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196" w:lineRule="exact"/>
        <w:rPr>
          <w:sz w:val="20"/>
          <w:szCs w:val="20"/>
          <w:color w:val="auto"/>
        </w:rPr>
      </w:pPr>
    </w:p>
    <w:p>
      <w:pPr>
        <w:jc w:val="both"/>
        <w:ind w:left="130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Delivery of New Series A Warrants Upon Exercise</w:t>
      </w:r>
      <w:r>
        <w:rPr>
          <w:rFonts w:ascii="Times New Roman" w:cs="Times New Roman" w:eastAsia="Times New Roman" w:hAnsi="Times New Roman"/>
          <w:sz w:val="18"/>
          <w:szCs w:val="18"/>
          <w:color w:val="auto"/>
        </w:rPr>
        <w:t>. If this Series A Warrant shall have been exercised in part, the Company shall, at the request of the Holder and upon surrender of this Series A Warrant certificate, at the time of delivery of the Warrant Shares, deliver to the Holder a new Series A Warrant evidencing the rights of the Holder to purchase the unpurchased Warrant Shares called for by this Series A Warrant, which new Series A Warrant shall in all other respects be identical with this Series A Warrant.</w:t>
      </w:r>
    </w:p>
    <w:p>
      <w:pPr>
        <w:spacing w:after="0" w:line="180"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Reserved</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firstLine="648"/>
        <w:spacing w:after="0" w:line="257" w:lineRule="auto"/>
        <w:rPr>
          <w:sz w:val="20"/>
          <w:szCs w:val="20"/>
          <w:color w:val="auto"/>
        </w:rPr>
      </w:pPr>
      <w:r>
        <w:rPr>
          <w:rFonts w:ascii="Times New Roman" w:cs="Times New Roman" w:eastAsia="Times New Roman" w:hAnsi="Times New Roman"/>
          <w:sz w:val="18"/>
          <w:szCs w:val="18"/>
          <w:u w:val="single" w:color="auto"/>
          <w:color w:val="auto"/>
        </w:rPr>
        <w:t>No Fractional Series A Warrant, Shares or Scrip</w:t>
      </w:r>
      <w:r>
        <w:rPr>
          <w:rFonts w:ascii="Times New Roman" w:cs="Times New Roman" w:eastAsia="Times New Roman" w:hAnsi="Times New Roman"/>
          <w:sz w:val="18"/>
          <w:szCs w:val="18"/>
          <w:color w:val="auto"/>
        </w:rPr>
        <w:t>. No fractional Series A Warrants, shares or scrip representing fractional shares shall be issued upon the exercise of this Series A Warrant. To the extent the Holder would be entitled to a fractional Warrant Share, the Company shall round down to the nearest whole number of Warrant Shares to be issued to the Holder.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both"/>
        <w:ind w:left="1300"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that Warrant Shares are to be issued in a name other than the name of the Holder, this Series A Warrant when surrendered for exercise shall be accompanied by the Assignment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8"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Series A Warrant, pursuant to the terms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Series A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Series A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Series A Warrant shall be proportionately adjusted such that the aggregate Exercise Price of this Series A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90"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Series A Warrant (without regard to any limitations on exercise hereof) immediately before the date on which a record is taken for the grant, issuance or sale of such Purchase Rights, or, if no such record is taken, the date as of which the record holders of shares of Common Stock are to be determined for the grant, issue or sale of such Purchase Rights.</w:t>
      </w:r>
    </w:p>
    <w:p>
      <w:pPr>
        <w:spacing w:after="0" w:line="189"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Series A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Series A Warrant, then, in each such case, the Holder shall be entitled to participate in such Distribution to the same extent that the Holder would have participated therein if the Holder had held the number of shares of Common Stock acquirable upon complete exercise of this Series A Warrant (without regard to any limitations on exercise hereof) immediately before the date of which a record is taken for such Distribution, or, if no such record is taken, the date as of which the record holders of shares of Common Stock are to be determined for the participation in such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both"/>
        <w:ind w:firstLine="648"/>
        <w:spacing w:after="0" w:line="251" w:lineRule="auto"/>
        <w:rPr>
          <w:sz w:val="20"/>
          <w:szCs w:val="20"/>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Series A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the consolidated assets of the Company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Series A Warrant, the Holder shall have the right to receive, for each Warrant Share that would have been issuable upon such exercise immediately prior to the occurrence of such Fundamental Transaction, at the option of the Holder (without regard to any limitation in Section 2(a)(iii) on the exercise of this Series A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xml:space="preserve">”) receivable as a result of such Fundamental Transaction by a holder of the number of shares of Common Stock for which this Series A Warrant is exercisable immediately prior to such Fundamental Transaction (without regard to any limitation in Section 2(a)(iii) on the exercise of this Series A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Series A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Series A Warrant from the Holder by paying to the Holder an amount of cash equal to the Black Scholes Value of the remaining unexercised portion of this Series A Warrant on the date of the consummation of such Fundamental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Series A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holders of Common Stock of the Company are not offered or paid any consideration in such Fundamental Transaction, such holders of Common Stock will be deemed to have received common stock of the Successor Entity (which Successor Entity may be the Company following such Fundamental Transaction) in such Fundamental Transaction.</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234950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2" w:name="page13"/>
    <w:bookmarkEnd w:id="12"/>
    <w:p>
      <w:pPr>
        <w:jc w:val="both"/>
        <w:ind w:left="130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w:t>
      </w:r>
    </w:p>
    <w:p>
      <w:pPr>
        <w:jc w:val="both"/>
        <w:ind w:left="1300" w:firstLine="4"/>
        <w:spacing w:after="0" w:line="251" w:lineRule="auto"/>
        <w:tabs>
          <w:tab w:leader="none" w:pos="160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Series A Warrant constitutes, or contains, material, non-public information regarding the Company, the Company shall simultaneously file such notice with the Commission pursuant to a Current Report on Form 8-K. The Holder shall remain entitled to exercise this Series A Warrant during the period commencing on the date of such notice to the effective date of the event triggering such notice except as may otherwise be expressly set forth herein.</w:t>
      </w:r>
    </w:p>
    <w:p>
      <w:pPr>
        <w:spacing w:after="0" w:line="189"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Trading Market, the Company may at any time during the term of this Series A Warrant, subject to the prior written consent of the Holder, reduce the then current Exercise Price to any amount and for any period of time deemed appropriate by the board of directors of the Company.</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distributions (or deemed distributions) with respect to this Series A Warrant shall be subject to withholding and backup withholding of taxes to the extent required by law, subject to applicable exemptions, and amounts withheld, if any, shall be treated as received by the 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Subject to Section 4(d), at any time following the Initial Exercise Date, all (and not less than all) of the outstanding Subscription Warrants may be redeemed, in whole and not in part, at the option of the Company, at any time after the Subscription Warrants become exercisable, and prior to their expiration, at the office of the Warrant Agent, upon the notice referred to in Section 6(b), at the price of $0.01 per Warrant Share (“</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provided that the last sales price of the shares of Common Stock has been equal to or greater than $15.00 per share (subject to adjustment for splits, dividends, recapitalizations and other similar events) for any 20 Trading Days within a 30 Trading Day period commencing after the Subscription Warrants become exercisable and redeemable pursuant to this Section 4 and ending on the third business day prior to the date on which notice of redemption is given and provided further that there is a current registration statement in effect with respect to the shares of Common Stock underlying the Subscription Warrants for each day in the 30-Trading Day period and continuing each day thereafter until the Redemption Date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both"/>
        <w:ind w:left="660"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Date Fixed for, and Notice of, Redemption</w:t>
      </w:r>
      <w:r>
        <w:rPr>
          <w:rFonts w:ascii="Times New Roman" w:cs="Times New Roman" w:eastAsia="Times New Roman" w:hAnsi="Times New Roman"/>
          <w:sz w:val="18"/>
          <w:szCs w:val="18"/>
          <w:color w:val="auto"/>
        </w:rPr>
        <w:t>. In the event the Company shall elect to redeem all of the Subscription Warrants, the Company shall fix a date for the redemption (the “</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Notice of redemption shall be mailed by first class mail, postage prepaid, or sent via electronic mail by the Company not less than 30 days prior to the date fixed for redemption to the holders of the Subscription Warrants to be redeemed at their last addresses as they shall appear on the Warrant Register (defined below). Any notice mailed in the manner herein provided shall be conclusively presumed to have been duly given, whether or not the holder received such notice or sent via electronic mail without any error message to the correct electronic mailing address provided by the holders of the Subscription Warrants.</w:t>
      </w:r>
    </w:p>
    <w:p>
      <w:pPr>
        <w:spacing w:after="0" w:line="187"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Exercise After Notice of Redemption</w:t>
      </w:r>
      <w:r>
        <w:rPr>
          <w:rFonts w:ascii="Times New Roman" w:cs="Times New Roman" w:eastAsia="Times New Roman" w:hAnsi="Times New Roman"/>
          <w:sz w:val="18"/>
          <w:szCs w:val="18"/>
          <w:color w:val="auto"/>
        </w:rPr>
        <w:t>. This Series A Warrant may be exercised in accordance with Section 2 at any time after notice of redemption shall have been given by the Company pursuant to Section 6(b) hereof and prior to the Redemption Date; provided that the Company may require the Holder to exercise this Series A Warrant to elect “cashless exercise” in accordance with the procedures of Section 2(c), and the Holder must exercise this Series A Warrant on a cashless basis if the Company so requires. On and after the Redemption Date, the Holder of this Series A Warrant shall have no further rights except to receive, upon surrender of this Series A Warrant, the Redemption Price.</w:t>
      </w:r>
    </w:p>
    <w:p>
      <w:pPr>
        <w:spacing w:after="0" w:line="183"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No Other Rights to Cash Payment</w:t>
      </w:r>
      <w:r>
        <w:rPr>
          <w:rFonts w:ascii="Times New Roman" w:cs="Times New Roman" w:eastAsia="Times New Roman" w:hAnsi="Times New Roman"/>
          <w:sz w:val="18"/>
          <w:szCs w:val="18"/>
          <w:color w:val="auto"/>
        </w:rPr>
        <w:t>. Except for a redemption in accordance with this Section 4, the Holder shall not be entitled to any cash payment whatsoever from the Company in connection with the ownership, exercise or surrender of this Series A Warrant.</w:t>
      </w:r>
    </w:p>
    <w:p>
      <w:pPr>
        <w:spacing w:after="0" w:line="162"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Exclusion of Certain Series A Warrants</w:t>
      </w:r>
      <w:r>
        <w:rPr>
          <w:rFonts w:ascii="Times New Roman" w:cs="Times New Roman" w:eastAsia="Times New Roman" w:hAnsi="Times New Roman"/>
          <w:sz w:val="18"/>
          <w:szCs w:val="18"/>
          <w:color w:val="auto"/>
        </w:rPr>
        <w:t>. The Company understands that the redemption rights provided for by this Section 4 apply only to outstanding Subscription Warrants. To the extent a person holds rights to purchase Subscription Warrants, such purchase rights shall not be extinguished by redemption. However, once such purchase rights are exercised, the Company may redeem the Subscription Warrants issued upon such exercise provided that the criteria for redemption is met.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Transfer of Series A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this Series A Warrant and all rights hereunder are transferable, in whole or in part, upon surrender of this Series A Warrant at the principal office of the Company or its designated Warrant Agent, which shall initially be the Company, together with a written assignment of this Series A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Series A Warrant or Series A Warrants in the name of the assignee or assignees, as applicable, and in the denomination or denominations specified in such instrument of assignment, and shall issue to the assignor a new Series A Warrant evidencing the portion of this Series A Warrant not so assigned, and this Series A Warrant shall promptly be cancelled. Notwithstanding anything herein to the contrary, the Holder shall not be required to physically surrender this Series A Warrant to the Company unless the Holder has assigned this Series A Warrant in full, in which case, the Holder shall surrender this Series A Warrant to the Company within three Trading Days of the date on which the Holder delivers an assignment form to the Company assigning this Series A Warrant in full. The Series A Warrant, if properly assigned in accordance herewith, may be exercised by a new holder for the purchase of Warrant Shares without having a new Series A Warrant issued.</w:t>
      </w:r>
    </w:p>
    <w:p>
      <w:pPr>
        <w:spacing w:after="0" w:line="190"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New Series A Warrants</w:t>
      </w:r>
      <w:r>
        <w:rPr>
          <w:rFonts w:ascii="Times New Roman" w:cs="Times New Roman" w:eastAsia="Times New Roman" w:hAnsi="Times New Roman"/>
          <w:sz w:val="18"/>
          <w:szCs w:val="18"/>
          <w:color w:val="auto"/>
        </w:rPr>
        <w:t>. This Series A Warrant may be divided or combined with Other Series A Warrants upon presentation hereof at the aforesaid office of the Company, together with a written notice specifying the names and denominations in which new Series A Warrants are to be issued, signed by the Holder or its agent or attorney. Subject to compliance with Section 5(a), as to any transfer which may be involved in such division or combination, the Company shall execute and deliver a new Series A Warrant or Series A Warrants in exchange for the Series A Warrant or Series A Warrants to be divided or combined in accordance with such notice. All Series A Warrants issued on transfers or exchanges shall be dated the original issuance date and shall be identical with this Series A Warrant except as to the number of Warrant Shares issuable pursuant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both"/>
        <w:ind w:left="660"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Series A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and the Warrant Agent may deem and treat the registered Holder of this Series A Warrant as the absolute owner hereof for the purpose of any exercise hereof or any distribution to the Holder, and for all other purposes, absent actual notice to the contrary. The Company has appointed the Warrant Agent to maintain the Warrant Register, as the Company’s agent. The Company shall remain responsible for the contents of the Warrant Register, notwithstanding the appointment of a Warrant Agent. The Company shall provide 30 days’ prior written notice to the Holder of any appointment of or change in Warrant Agent and the new Warrant Agent’s contact information, including if the Company shall itself directly maintain the Warrant Register after a third-party Warrant Agent has been appointed.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Series A Warrant does not entitle the Holder to any voting rights, dividends or other rights as a stockholder of the Company prior to the exercise hereof,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Series A Warrant.</w:t>
      </w:r>
    </w:p>
    <w:p>
      <w:pPr>
        <w:spacing w:after="0" w:line="180"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Loss, Theft, Destruction or Mutilation of Series A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Series A Warrant or any stock certificate relating to the Warrant Shares, and in case of loss, theft or destruction, of indemnity or security reasonably satisfactory to it (which, in the case of this Series A Warrant, shall not include the posting of any bond), and upon surrender and cancellation of this Series A Warrant or stock certificate, if mutilated, the Company will make and deliver a new Series A Warrant or stock certificate of like tenor and dated as of such cancellation, in lieu of such Series A Warrant or stock certificate.</w:t>
      </w:r>
    </w:p>
    <w:p>
      <w:pPr>
        <w:spacing w:after="0" w:line="187"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 The Company covenants that, during the period this Series A Warrant is outstanding, it will reserve from its authorized and unissued Common Stock a sufficient number of shares to provide for the issuance of the Warrant Shares upon the exercise of any purchase rights under this Series A Warrant. The Company further covenants that its issuance of this Series A Warrant shall constitute full authority to its officers who are charged with the duty of issuing the necessary Warrant Shares upon the exercise of the purchase rights under this Series A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Series A Warrant will, upon exercise of the purchase rights represented by this Series A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4"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Series A Warrant, but will at all times in good faith assist in the carrying out of all such terms and in the taking of all such actions as may be necessary or appropriate to protect the rights of Holder as set forth in this Series A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Series A Warrant and (iii) use commercially reasonable efforts to obtain all such authorizations, exemptions or consents from any public regulatory body having jurisdiction thereof, as may be, necessary to enable the Company to perform its obligations under this Series A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Series A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Series A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Series A Warrant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this Series A Warrant),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Series A Warrant and agrees that such service shall constitute good and sufficient service of process and notice thereof. Nothing contained herein shall be deemed to limit in any way any right to serve process in any other manner permitted by law. If either party shall commence an action or proceeding to enforce any provisions of this Series A Warrant,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Series A Warrant, if not registered or if the Holder does not utilize cashless exercise, will have restrictions upon resale imposed by state and federal securities laws.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the Holder shall operate as a waiver of such right or otherwise prejudice the Holder’s rights, powers or remedies. Without limiting any other provision of this Series A Warrant, if the Company willfully and knowingly fails to comply with any provision of this Series A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communication required or permitted hereunder shall be in writing and either delivered personally, emailed or sent by overnight mail via a reputable overnight carrier, or sent by certified or registered mail, postage prepaid, and shall be deemed to be given and received (i) when so delivered personally, (ii) when sent, with no mail undeliverable or other rejection notice, if sent by email, or (iii) three business days after the date of mailing to the address below or to such other address or addresses as such person may hereafter designate by notice given hereunder:</w:t>
      </w:r>
    </w:p>
    <w:p>
      <w:pPr>
        <w:spacing w:after="0" w:line="183" w:lineRule="exact"/>
        <w:rPr>
          <w:sz w:val="20"/>
          <w:szCs w:val="20"/>
          <w:color w:val="auto"/>
        </w:rPr>
      </w:pPr>
    </w:p>
    <w:p>
      <w:pPr>
        <w:jc w:val="both"/>
        <w:ind w:left="640" w:firstLine="648"/>
        <w:spacing w:after="0" w:line="261" w:lineRule="auto"/>
        <w:rPr>
          <w:sz w:val="20"/>
          <w:szCs w:val="20"/>
          <w:color w:val="auto"/>
        </w:rPr>
      </w:pPr>
      <w:r>
        <w:rPr>
          <w:rFonts w:ascii="Times New Roman" w:cs="Times New Roman" w:eastAsia="Times New Roman" w:hAnsi="Times New Roman"/>
          <w:sz w:val="18"/>
          <w:szCs w:val="18"/>
          <w:color w:val="auto"/>
        </w:rPr>
        <w:t>if to a Holder, to its address, email address and/or facsimile number set forth on the register of Holders on file with the Company, with copies to such Holder’s representatives as set forth on such register, or to such other address, email address and/or to the attention of such other person as the recipient party has specified by written notice given to each other party five days prior to the effectiveness of such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236855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6" w:name="page17"/>
    <w:bookmarkEnd w:id="16"/>
    <w:p>
      <w:pPr>
        <w:ind w:left="130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Innventure,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6900 Tavistock Lakes Blvd, Suite 400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Orlando, Florida 32827</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Suzanne Niemeyer</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required copy to (which copy shall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Jones Day</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1221 Peachtree Street, NE, Suite 400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Atlanta, Georgia 30361</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Joel T. May and Thomas L. Short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 [***]</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Series A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may be entitled to seek specific performance of its rights under this Series A Warrant.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Series A Warrant and the rights and obligations evidenced hereby shall inure to the benefit of and be binding upon the successors and permitted assigns of the Company and the successors and permitted assigns of Holder. The provisions of this Series A Warrant are intended to be for the benefit of any Holder from time to time of this Series A Warrant and shall be enforceable by the Holder or holder of Warrant Shares.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Series A Warrant may be amended by the Company without the consent of any of the holders of the Subscription Warrants for the purpose of (i) curing any ambiguity, or curing, correcting or supplementing any defective provision contained herein, or making any other provisions with respect to matters or questions arising under this Series A Warrant that is not inconsistent with the provisions of this Series A Warrant, (ii) evidencing the succession of another corporation to the Company and the assumption by any such successor of the covenants of the Company contained in this Series A Warrant, (iii) evidencing and providing for the acceptance of appointment by a successor Warrant Agent with respect to the Subscription Warrants, and any provisions required in connection therewith, (iv) adding to the covenants of the Company for the benefit of the Holder or surrendering any right or power conferred upon the Company under this Series A Warrant, (v) to comply with the rules of the Depositary Trust Company (“DTC”), including to permit the deposit of Subscription Warrants with the DTC and settlement through the facilities thereof, if applicable; or (vi) amending this Series A Warrant in any manner that the Company may deem to be necessary or desirable and that will not adversely affect the interests of the Holder in any material respect. All other modifications or amendments to this Series A Warrant and the other Subscription Warrants, including any amendment to increase the Exercise Price or move the Termination Date, shall require the written consent of the holders of a majority in interest of the then outstanding Subscription Warrants; provided that any material and adverse modification, waiver or termination of the economic terms of the transactions contemplated under this Series A Warrant shall require the prior written consent of the Holder of this Series A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248285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7" w:name="page18"/>
    <w:bookmarkEnd w:id="17"/>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Series A Warrant shall be interpreted in such manner as to be effective and valid under applicable law, but if any provision of this Series A Warrant shall be prohibited by or invalid under applicable law, such provision shall be ineffective to the extent of such prohibition or invalidity, without invalidating the remainder of such provisions or the remaining provisions of this Series A Warrant.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Series A Warrant are for the convenience of reference only and shall not, for any purpose, be deemed a part of this Series A Warrant.</w:t>
      </w:r>
    </w:p>
    <w:p>
      <w:pPr>
        <w:spacing w:after="0" w:line="1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254635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8" w:name="page19"/>
    <w:bookmarkEnd w:id="18"/>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Series A Warrant to be executed by its officer thereunto duly authorized as of the date first above indicated.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INNVENTURE, INC.</w:t>
      </w:r>
    </w:p>
    <w:p>
      <w:pPr>
        <w:spacing w:after="0" w:line="225"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AGENT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86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Series A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320" w:hanging="206"/>
        <w:spacing w:after="0"/>
        <w:tabs>
          <w:tab w:leader="none" w:pos="2320" w:val="left"/>
        </w:tabs>
        <w:numPr>
          <w:ilvl w:val="2"/>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2120" w:hanging="6"/>
        <w:spacing w:after="0" w:line="266" w:lineRule="auto"/>
        <w:tabs>
          <w:tab w:leader="none" w:pos="2335" w:val="left"/>
        </w:tabs>
        <w:numPr>
          <w:ilvl w:val="2"/>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otherwise permitted, the cancellation of such number of Warrant Shares as is necessary, in accordance with the formula set forth in subsection 2(c), to exercise this Series A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960" w:hanging="656"/>
        <w:spacing w:after="0"/>
        <w:tabs>
          <w:tab w:leader="none" w:pos="19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291465</wp:posOffset>
            </wp:positionV>
            <wp:extent cx="213423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undersigned’s account number with the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291465</wp:posOffset>
            </wp:positionV>
            <wp:extent cx="213423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firstLine="1304"/>
        <w:spacing w:after="0" w:line="282" w:lineRule="auto"/>
        <w:tabs>
          <w:tab w:leader="none" w:pos="18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undersigned is (a) an “accredited investor” as defined in Regulation D promulgated under the Securities Act of 1933, as amended, and/or (b) a “qualified institutional buyer” as defined by Rule 144A promulgated under the Securities Act of 1933, as amended.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17145</wp:posOffset>
            </wp:positionV>
            <wp:extent cx="39173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91731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Entity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-1905</wp:posOffset>
            </wp:positionV>
            <wp:extent cx="39173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917315"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8890</wp:posOffset>
            </wp:positionV>
            <wp:extent cx="39173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91731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8890</wp:posOffset>
            </wp:positionV>
            <wp:extent cx="39173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91731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8890</wp:posOffset>
            </wp:positionV>
            <wp:extent cx="39173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91731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SUBSCRIPTION AGREEMENT (this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is entered into this ____ day of ___________, 2025, by and between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undersigned (the “</w:t>
      </w:r>
      <w:r>
        <w:rPr>
          <w:rFonts w:ascii="Times New Roman" w:cs="Times New Roman" w:eastAsia="Times New Roman" w:hAnsi="Times New Roman"/>
          <w:sz w:val="18"/>
          <w:szCs w:val="18"/>
          <w:b w:val="1"/>
          <w:bCs w:val="1"/>
          <w:color w:val="auto"/>
        </w:rPr>
        <w:t>Subscriber</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Company’s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is listed on the Nasdaq Stock Market,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ticker symbol “INV”;</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Subscriber desires to subscribe for and to purchase from the Company (i) that number of shares of Common Stock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signature page hereto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xml:space="preserve">”) and (ii) that number of Series A warrants set forth on the signature page hereto,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Series A Warrants</w:t>
      </w:r>
      <w:r>
        <w:rPr>
          <w:rFonts w:ascii="Times New Roman" w:cs="Times New Roman" w:eastAsia="Times New Roman" w:hAnsi="Times New Roman"/>
          <w:sz w:val="18"/>
          <w:szCs w:val="18"/>
          <w:color w:val="auto"/>
        </w:rPr>
        <w:t>”), with each whole Series A Warrant entitling the holder to purchase one share of Common Stock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and together with the Common Shares and the Series A Warrants,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for the aggregate purchase price set forth on the signature page hereto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which payment (other than the aggregate par value of the Common Shares) will be directed to the Company, and the Company desires to issue and sell to the Subscriber the Common Shares and the Series A Warrants in consideration of the payment of the Purchase Price by or on behalf of the Subscriber to the Company; and</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to the extent the Subscriber would be entitled to a fractional Series A Warrant, the Company shall round down to the nearest whole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Series A Warrants to be issued to the Subscriber.</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certain other “qualified institutional buyers” (within the meaning of Rule 144A under the Securities Act of 1933, as amended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“accredited investors” (within the meaning of Rule 501(a) under the Securities Act) have entered into separate subscription agreements with the Company (“</w:t>
      </w:r>
      <w:r>
        <w:rPr>
          <w:rFonts w:ascii="Times New Roman" w:cs="Times New Roman" w:eastAsia="Times New Roman" w:hAnsi="Times New Roman"/>
          <w:sz w:val="18"/>
          <w:szCs w:val="18"/>
          <w:b w:val="1"/>
          <w:bCs w:val="1"/>
          <w:color w:val="auto"/>
        </w:rPr>
        <w:t>Other Subscription Agreements</w:t>
      </w:r>
      <w:r>
        <w:rPr>
          <w:rFonts w:ascii="Times New Roman" w:cs="Times New Roman" w:eastAsia="Times New Roman" w:hAnsi="Times New Roman"/>
          <w:sz w:val="18"/>
          <w:szCs w:val="18"/>
          <w:color w:val="auto"/>
        </w:rPr>
        <w:t>”), pursuant to which all such investors (the “</w:t>
      </w:r>
      <w:r>
        <w:rPr>
          <w:rFonts w:ascii="Times New Roman" w:cs="Times New Roman" w:eastAsia="Times New Roman" w:hAnsi="Times New Roman"/>
          <w:sz w:val="18"/>
          <w:szCs w:val="18"/>
          <w:b w:val="1"/>
          <w:bCs w:val="1"/>
          <w:color w:val="auto"/>
        </w:rPr>
        <w:t>Other Subscribers</w:t>
      </w:r>
      <w:r>
        <w:rPr>
          <w:rFonts w:ascii="Times New Roman" w:cs="Times New Roman" w:eastAsia="Times New Roman" w:hAnsi="Times New Roman"/>
          <w:sz w:val="18"/>
          <w:szCs w:val="18"/>
          <w:color w:val="auto"/>
        </w:rPr>
        <w:t>”) have, together with the Subscriber pursuant to this Subscription Agreement, agreed to purchase shares of Common Shares and Series A Warrants, with each whole Series A Warrant entitling the holder to purchase one share of Common Stock, at an aggregate purchase price of $6.</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mutual representations, warranties and covenants, and subject to the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contained, and intending to be legally bound hereby, the parties hereto hereby agree as follows:</w:t>
      </w:r>
    </w:p>
    <w:p>
      <w:pPr>
        <w:spacing w:after="0" w:line="159" w:lineRule="exact"/>
        <w:rPr>
          <w:sz w:val="20"/>
          <w:szCs w:val="20"/>
          <w:color w:val="auto"/>
        </w:rPr>
      </w:pPr>
    </w:p>
    <w:p>
      <w:pPr>
        <w:jc w:val="both"/>
        <w:ind w:firstLine="656"/>
        <w:spacing w:after="0" w:line="258" w:lineRule="auto"/>
        <w:tabs>
          <w:tab w:leader="none" w:pos="13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Subscription</w:t>
      </w:r>
      <w:r>
        <w:rPr>
          <w:rFonts w:ascii="Times New Roman" w:cs="Times New Roman" w:eastAsia="Times New Roman" w:hAnsi="Times New Roman"/>
          <w:sz w:val="18"/>
          <w:szCs w:val="18"/>
          <w:color w:val="auto"/>
        </w:rPr>
        <w:t>. Subject to the terms and conditions hereof (including without limitation the satisfaction or waiver of the conditions to closing set forth in Section 3.2), the Subscriber hereby irrevocably subscribes for, and the Company hereby agrees to issue to the Subscriber, upon the payment of the Purchase Price, the Common Shares and the Series A Warrants on the terms and subject to the conditions set forth herein (such subscription and issuance, the “</w:t>
      </w:r>
      <w:r>
        <w:rPr>
          <w:rFonts w:ascii="Times New Roman" w:cs="Times New Roman" w:eastAsia="Times New Roman" w:hAnsi="Times New Roman"/>
          <w:sz w:val="18"/>
          <w:szCs w:val="18"/>
          <w:b w:val="1"/>
          <w:bCs w:val="1"/>
          <w:color w:val="auto"/>
        </w:rPr>
        <w:t>Subscription</w:t>
      </w:r>
      <w:r>
        <w:rPr>
          <w:rFonts w:ascii="Times New Roman" w:cs="Times New Roman" w:eastAsia="Times New Roman" w:hAnsi="Times New Roman"/>
          <w:sz w:val="18"/>
          <w:szCs w:val="18"/>
          <w:color w:val="auto"/>
        </w:rPr>
        <w:t>”). The proceeds from the Subscription shall be used by the Company for working capital and other general corporate purposes.</w:t>
      </w:r>
    </w:p>
    <w:p>
      <w:pPr>
        <w:spacing w:after="0" w:line="183"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and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Subscriber’s Representations, Warranties and Agreements</w:t>
      </w:r>
      <w:r>
        <w:rPr>
          <w:rFonts w:ascii="Times New Roman" w:cs="Times New Roman" w:eastAsia="Times New Roman" w:hAnsi="Times New Roman"/>
          <w:sz w:val="18"/>
          <w:szCs w:val="18"/>
          <w:color w:val="auto"/>
        </w:rPr>
        <w:t>. To induce the Company to issue the Common Shares and Series A Warrants to the Subscriber, the Subscriber hereby represents and warrants to the Company and agrees with the Company as follows:</w:t>
      </w:r>
    </w:p>
    <w:p>
      <w:pPr>
        <w:spacing w:after="0" w:line="162" w:lineRule="exact"/>
        <w:rPr>
          <w:sz w:val="20"/>
          <w:szCs w:val="20"/>
          <w:color w:val="auto"/>
        </w:rPr>
      </w:pPr>
    </w:p>
    <w:p>
      <w:pPr>
        <w:jc w:val="both"/>
        <w:ind w:left="660" w:firstLine="648"/>
        <w:spacing w:after="0" w:line="275" w:lineRule="auto"/>
        <w:rPr>
          <w:sz w:val="20"/>
          <w:szCs w:val="20"/>
          <w:color w:val="auto"/>
        </w:rPr>
      </w:pPr>
      <w:r>
        <w:rPr>
          <w:rFonts w:ascii="Times New Roman" w:cs="Times New Roman" w:eastAsia="Times New Roman" w:hAnsi="Times New Roman"/>
          <w:sz w:val="18"/>
          <w:szCs w:val="18"/>
          <w:color w:val="auto"/>
        </w:rPr>
        <w:t>2.1.1 The Subscriber has been duly formed or incorporated and is validly existing and in good standing under the laws of its jurisdiction of incorporation or formation, with power and authority to enter into, deliver and perform its obligations under this Subscription Agreement.</w:t>
      </w:r>
    </w:p>
    <w:p>
      <w:pPr>
        <w:spacing w:after="0" w:line="386" w:lineRule="exact"/>
        <w:rPr>
          <w:sz w:val="20"/>
          <w:szCs w:val="20"/>
          <w:color w:val="auto"/>
        </w:rPr>
      </w:pPr>
    </w:p>
    <w:p>
      <w:pPr>
        <w:jc w:val="both"/>
        <w:ind w:left="660" w:firstLine="648"/>
        <w:spacing w:after="0" w:line="262" w:lineRule="auto"/>
        <w:rPr>
          <w:sz w:val="20"/>
          <w:szCs w:val="20"/>
          <w:color w:val="auto"/>
        </w:rPr>
      </w:pPr>
      <w:r>
        <w:rPr>
          <w:rFonts w:ascii="Times New Roman" w:cs="Times New Roman" w:eastAsia="Times New Roman" w:hAnsi="Times New Roman"/>
          <w:sz w:val="18"/>
          <w:szCs w:val="18"/>
          <w:color w:val="auto"/>
        </w:rPr>
        <w:t>2.1.2 This Subscription Agreement and the Series A Warrants (collectively,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have been duly authorized, executed and delivered by the Subscriber. Each of the Transaction Documents is enforceable against the Subscriber in accordance with its terms, except as may be limited or otherwise affected by (a) bankruptcy, insolvency, fraudulent conveyance, reorganization, moratorium or other laws relating to or affecting the rights of creditors generally, and (b) principles of equity, whether considered at law or equity.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1" w:name="page22"/>
    <w:bookmarkEnd w:id="2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2.1.3 The execution, delivery and performance by the Subscriber of each of the Transaction Documents and the consummation of the transactions contemplated in the Transaction Documents will not (a) conflict with or result in a breach or violation of any of the terms or provisions of, or constitute a default under, or result in the creation or imposition of any lien, charge or encumbrance upon any of the property or assets of the Subscriber pursuant to the terms of any indenture, mortgage, deed of trust, loan agreement, lease, license or other agreement or instrument to which the Subscriber is a party or by which the Subscriber is bound or to which any of the property or assets of the Subscriber is subject, which would reasonably be expected to have a material adverse effect on the business, properties, financial condition, stockholders’ equity or results of operations of the Subscriber, taken as a whole (a “</w:t>
      </w:r>
      <w:r>
        <w:rPr>
          <w:rFonts w:ascii="Times New Roman" w:cs="Times New Roman" w:eastAsia="Times New Roman" w:hAnsi="Times New Roman"/>
          <w:sz w:val="18"/>
          <w:szCs w:val="18"/>
          <w:b w:val="1"/>
          <w:bCs w:val="1"/>
          <w:color w:val="auto"/>
        </w:rPr>
        <w:t>Subscriber Material Adverse Effect</w:t>
      </w:r>
      <w:r>
        <w:rPr>
          <w:rFonts w:ascii="Times New Roman" w:cs="Times New Roman" w:eastAsia="Times New Roman" w:hAnsi="Times New Roman"/>
          <w:sz w:val="18"/>
          <w:szCs w:val="18"/>
          <w:color w:val="auto"/>
        </w:rPr>
        <w:t>”), or materially affect the legal authority of the Subscriber to comply in all material respects with the terms of the Transaction Documents; (b) result in any violation of the provisions of the organizational documents of the Subscriber; or (c) result in any violation of any statute or any judgment, order, rule or regulation of any court or governmental agency or body, domestic or foreign, having jurisdiction over the Subscriber or any of its properties that would reasonably be expected to have the Subscriber Material Adverse Effect or materially affect the legal authority of the Subscriber to comply in all material respects with the Transaction Documents.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2.1.4 The Subscriber (a) is a “qualified institutional buyer” (as defined in Rule 144A under the Securities Act) or an “accredited investor” (within the meaning of Rule 501(a) under the Securities Act) satisfying the applicable requirements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(b) is acquiring the Securities only for its own account and not for the account of others, or if the Subscriber is subscribing for the Securities as a fiduciary or agent for one or more investor accounts, each owner of such account is an accredited investor and the Subscriber has full investment discretion with respect to each such account, and the full power and authority to make the acknowledgements, representations and agreements herein on behalf of each owner of each such account, and (c) is not acquiring the Securities with a view to, or for offer or sale in connection with, any distribution thereof in violation of the Securities Act (and shall provide the requested information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following the signature page hereto). The Subscriber is not an entity formed for the specific purpose of acquiring the Securities.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2.1.5 The Subscriber understands that the Securities are being offered in a transaction not involving any public offering within the meaning of the Securities Act and that the Securities have not been registered under the Securities Act. The Subscriber understands that the Securities may not be resold, transferred, pledged or otherwise disposed of by the Subscriber, any investment fund or managed account managed by the same investment adviser as the Subscriber or having the same general partner or an affiliated general partner (each “</w:t>
      </w:r>
      <w:r>
        <w:rPr>
          <w:rFonts w:ascii="Times New Roman" w:cs="Times New Roman" w:eastAsia="Times New Roman" w:hAnsi="Times New Roman"/>
          <w:sz w:val="18"/>
          <w:szCs w:val="18"/>
          <w:b w:val="1"/>
          <w:bCs w:val="1"/>
          <w:color w:val="auto"/>
        </w:rPr>
        <w:t>Subscriber Affiliate</w:t>
      </w:r>
      <w:r>
        <w:rPr>
          <w:rFonts w:ascii="Times New Roman" w:cs="Times New Roman" w:eastAsia="Times New Roman" w:hAnsi="Times New Roman"/>
          <w:sz w:val="18"/>
          <w:szCs w:val="18"/>
          <w:color w:val="auto"/>
        </w:rPr>
        <w:t>”) absent an effective registration statement under the Securities Act with respect to the Securities or an opinion of counsel satisfactory to the Company that such registration statement is not required and an applicable exemption from the registration requirements of the Securities Act is available, and that any certificates or book entries representing the Securities shall contain a legend to such effect. The Subscriber acknowledges that the Securities will not be eligible for resale pursuant to Rule 144A promulgated under the Securities Act. The Subscriber understands and agrees that the Securities will be subject to transfer restrictions and, as a result of these transfer restrictions, the Subscriber may not be able to readily resell the Securities and may be required to bear the financial risk of an investment in the Securities for an indefinite period of time. The Subscriber understands that it has been advised to consult legal counsel prior to making any offer, resale, pledge or transfer of any of the Securities.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2.1.6 The Subscriber acknowledges that no representations, warranties, covenants and agreements are being made to the Subscriber by the Company or any of its officers, affiliates, directors, agents or advisors, expressly or by implication, other than those representations, warranties, covenants and agreements included in the Transaction Documents.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2.1.7 The Subscriber represents and warrants that (a) it is not a Benefit Plan Investor as contemplated by the Employee Retirement Income Security Act of 1974, as amended, or (b) its acquisition and holding of the Securities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35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22" w:name="page23"/>
    <w:bookmarkEnd w:id="2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2.1.8 In making its decision to purchase the Securities, the Subscriber represents that it has relied solely upon independent investigation made by the Subscriber. The Subscriber acknowledges and agrees that the Subscriber has received and has had an adequate opportunity to review, and ask questions with respect to, such financial and other information as the Subscriber deems necessary in order to make an investment decision with respect to the Securities and made its own assessment and is satisfied concerning the relevant tax, legal and other economic considerations relevant to the Subscriber’s investment in the Securities. Without limiting the generality of the foregoing, the Subscriber acknowledges that it has reviewed the documents provided to the Subscriber by the Company. The Subscriber represents and agrees that the Subscriber has had the full opportunity to ask such questions, and has received such answers and obtained such information regarding the Company as the Subscriber has deemed necessary and adequate to make an investment decision with respect to the Securities.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2.1.9 The Subscriber became aware of this offering of the Securities solely and directly from the Company as a result of a pre-exiting, substantial relationship with the Company, and the Securities were offered to the Subscriber solely by direct contact between the Subscriber and the Company. The Subscriber did not become aware of this offering of the Securities, nor were the Securities offered to the Subscriber, by any other means. The Subscriber acknowledges that the Company has not acted as its financial advisor, agent or fiduciary. The Subscriber acknowledges that the Company represents and warrants that the Securities (a) were not offered by any form of general solicitation or general advertising and (b) are not being offered in a manner involving a public offering under, or in a distribution in violation of, the Securities Act, or any other federal, state or foreign securities laws.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2.1.10 The Subscriber acknowledges that it is aware that there are substantial risks incident to the purchase and ownership of the Securities. The Subscriber has such knowledge and experience in financial and business matters as to be capable of evaluating the merits and risks of an investment in the Securities, and the Subscriber has sought such accounting, legal and tax advice as the Subscriber has considered necessary to make an informed investment decision.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2.1.11 The Subscriber represents and acknowledges that the Subscriber has such knowledge and experience in financial, investment and business matters as to be capable of evaluating the merits and risks of the investment in the Securities, has adequately analyzed and fully considered the risks of an investment in the Securities and determined that the Securities are a suitable investment for the Subscriber and that the Subscriber is able at this time and in the foreseeable future to bear the economic risk of a total loss of the Subscriber’s investment in the Company. The Subscriber further acknowledges specifically that a possibility of total loss of investment exists and that it is able to fend for itself in the transactions contemplated herein.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2.1.12 The Subscriber understands and agrees that no federal, state or other agency has passed upon or endorsed the merits of the offering of the Securities or made any findings or determination as to the fairness of this investment.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2.1.13 The Subscriber represents and warrants that neither the Subscriber, nor any director or officer of the Subscriber, nor to the knowledge of the Subscriber, any employee, agent, affiliate or representative of the Subscriber or any director or officer of any of its subsidiaries is (a)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in any Executive Order issued by the President of the United States and administered by OFAC (“</w:t>
      </w:r>
      <w:r>
        <w:rPr>
          <w:rFonts w:ascii="Times New Roman" w:cs="Times New Roman" w:eastAsia="Times New Roman" w:hAnsi="Times New Roman"/>
          <w:sz w:val="18"/>
          <w:szCs w:val="18"/>
          <w:b w:val="1"/>
          <w:bCs w:val="1"/>
          <w:color w:val="auto"/>
        </w:rPr>
        <w:t>OFAC List</w:t>
      </w:r>
      <w:r>
        <w:rPr>
          <w:rFonts w:ascii="Times New Roman" w:cs="Times New Roman" w:eastAsia="Times New Roman" w:hAnsi="Times New Roman"/>
          <w:sz w:val="18"/>
          <w:szCs w:val="18"/>
          <w:color w:val="auto"/>
        </w:rPr>
        <w:t>”), or a person or entity that is the subject of any sanctions administered or enforced by OFAC, the United Nations Security Council, the European Union, His Majesty’s Treasury, or other relevant sanctions authorities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(b) a Designated National as defined in the Cuban Assets Control Regulations, 31 C.F.R. Part 515, (c) a non-U.S. shell bank or providing banking services indirectly to a non-U.S. shell bank, or (d) located, organized or resident in a country or territory that is the subject of Sanctions that broadly prohibit dealings with that country or territory (including, without limitation, the Crimea region of the Ukraine, Russia, Cuba, Iran, North Korea, Sudan and Syria). The Subscriber agrees to provide law enforcement agencies, if requested thereby, such records as required by applicable law, provided that the Subscriber is permitted to do so under applicable law. The Subscriber represents that if it is a financial institution subject to the Bank Secrecy Act (31 U.S.C. Section 5311 et seq.) (the “</w:t>
      </w:r>
      <w:r>
        <w:rPr>
          <w:rFonts w:ascii="Times New Roman" w:cs="Times New Roman" w:eastAsia="Times New Roman" w:hAnsi="Times New Roman"/>
          <w:sz w:val="18"/>
          <w:szCs w:val="18"/>
          <w:b w:val="1"/>
          <w:bCs w:val="1"/>
          <w:color w:val="auto"/>
        </w:rPr>
        <w:t>BSA</w:t>
      </w:r>
      <w:r>
        <w:rPr>
          <w:rFonts w:ascii="Times New Roman" w:cs="Times New Roman" w:eastAsia="Times New Roman" w:hAnsi="Times New Roman"/>
          <w:sz w:val="18"/>
          <w:szCs w:val="18"/>
          <w:color w:val="auto"/>
        </w:rPr>
        <w:t>”), as amended by the USA PATRIOT Act of 2001 (the “</w:t>
      </w: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 and its implementing regulations (collectively, the “</w:t>
      </w:r>
      <w:r>
        <w:rPr>
          <w:rFonts w:ascii="Times New Roman" w:cs="Times New Roman" w:eastAsia="Times New Roman" w:hAnsi="Times New Roman"/>
          <w:sz w:val="18"/>
          <w:szCs w:val="18"/>
          <w:b w:val="1"/>
          <w:bCs w:val="1"/>
          <w:color w:val="auto"/>
        </w:rPr>
        <w:t>BSA/PATRIOT Act</w:t>
      </w:r>
      <w:r>
        <w:rPr>
          <w:rFonts w:ascii="Times New Roman" w:cs="Times New Roman" w:eastAsia="Times New Roman" w:hAnsi="Times New Roman"/>
          <w:sz w:val="18"/>
          <w:szCs w:val="18"/>
          <w:color w:val="auto"/>
        </w:rPr>
        <w:t>”), the Subscriber maintains policies and procedures reasonably designed to comply with applicable obligations under the BSA/PATRIOT Act. The Subscriber also represents that, it maintains policies and procedures reasonably designed for the screening of its investors against Sanctions and the OFAC sanctions programs, including the OFAC List. The Subscriber further represents and warrants that, to the extent required, it maintains policies and procedures reasonably designed to ensure that the funds held by the Subscriber and used to purchase the Common Shares were legally derived.</w:t>
      </w:r>
    </w:p>
    <w:p>
      <w:pPr>
        <w:spacing w:after="0" w:line="36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23" w:name="page24"/>
    <w:bookmarkEnd w:id="23"/>
    <w:p>
      <w:pPr>
        <w:ind w:left="1300"/>
        <w:spacing w:after="0"/>
        <w:tabs>
          <w:tab w:leader="none" w:pos="2100" w:val="left"/>
        </w:tabs>
        <w:rPr>
          <w:sz w:val="20"/>
          <w:szCs w:val="20"/>
          <w:color w:val="auto"/>
        </w:rPr>
      </w:pPr>
      <w:r>
        <w:rPr>
          <w:rFonts w:ascii="Times New Roman" w:cs="Times New Roman" w:eastAsia="Times New Roman" w:hAnsi="Times New Roman"/>
          <w:sz w:val="18"/>
          <w:szCs w:val="18"/>
          <w:color w:val="auto"/>
        </w:rPr>
        <w:t>2.1.14</w:t>
      </w:r>
      <w:r>
        <w:rPr>
          <w:sz w:val="20"/>
          <w:szCs w:val="20"/>
          <w:color w:val="auto"/>
        </w:rPr>
        <w:tab/>
      </w:r>
      <w:r>
        <w:rPr>
          <w:rFonts w:ascii="Times New Roman" w:cs="Times New Roman" w:eastAsia="Times New Roman" w:hAnsi="Times New Roman"/>
          <w:sz w:val="17"/>
          <w:szCs w:val="17"/>
          <w:color w:val="auto"/>
        </w:rPr>
        <w:t>The Subscriber has, and at the Closing will have, sufficient available funds to pay the Purchase Price pursuant to Section 3.1.</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2.1.15 The Subscriber represents that no disqualifying event described in Rule 506(d)(1)(i)-(viii) under the Securities Act (a “</w:t>
      </w:r>
      <w:r>
        <w:rPr>
          <w:rFonts w:ascii="Times New Roman" w:cs="Times New Roman" w:eastAsia="Times New Roman" w:hAnsi="Times New Roman"/>
          <w:sz w:val="18"/>
          <w:szCs w:val="18"/>
          <w:b w:val="1"/>
          <w:bCs w:val="1"/>
          <w:color w:val="auto"/>
        </w:rPr>
        <w:t>Disqualification Event</w:t>
      </w:r>
      <w:r>
        <w:rPr>
          <w:rFonts w:ascii="Times New Roman" w:cs="Times New Roman" w:eastAsia="Times New Roman" w:hAnsi="Times New Roman"/>
          <w:sz w:val="18"/>
          <w:szCs w:val="18"/>
          <w:color w:val="auto"/>
        </w:rPr>
        <w:t>”) is applicable to the Subscriber or any of its Rule 506(d) Related Parties (as defined below), except, if applicable, for a Disqualification Event as to which Rule 506(d)(2)(ii) or (iii) or (d)(3) is applicable. The Subscriber hereby agrees that it shall notify the Company promptly in writing in the event a Disqualification Event becomes applicable to the Subscriber or any of its Rule 506(d) Related Parties, except, if applicable, for a Disqualification Event as to which Rule 506(d)(2)(ii) or (iii) or (d)(3) is applicable. For purposes of this Section 2.1.15, “</w:t>
      </w:r>
      <w:r>
        <w:rPr>
          <w:rFonts w:ascii="Times New Roman" w:cs="Times New Roman" w:eastAsia="Times New Roman" w:hAnsi="Times New Roman"/>
          <w:sz w:val="18"/>
          <w:szCs w:val="18"/>
          <w:b w:val="1"/>
          <w:bCs w:val="1"/>
          <w:color w:val="auto"/>
        </w:rPr>
        <w:t>Rule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506(d) Related Party</w:t>
      </w:r>
      <w:r>
        <w:rPr>
          <w:rFonts w:ascii="Times New Roman" w:cs="Times New Roman" w:eastAsia="Times New Roman" w:hAnsi="Times New Roman"/>
          <w:sz w:val="18"/>
          <w:szCs w:val="18"/>
          <w:color w:val="auto"/>
        </w:rPr>
        <w:t>” shall mean a person or entity that is a direct beneficial owner of the Subscriber’s securities for purposes of Rule 506(d)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Securities Act.</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Company’s Representations, Warranties and Agreements</w:t>
      </w:r>
      <w:r>
        <w:rPr>
          <w:rFonts w:ascii="Times New Roman" w:cs="Times New Roman" w:eastAsia="Times New Roman" w:hAnsi="Times New Roman"/>
          <w:sz w:val="18"/>
          <w:szCs w:val="18"/>
          <w:color w:val="auto"/>
        </w:rPr>
        <w:t>. To induce the Subscriber to purchase the Securities, the Company hereby represents and warrants to the Subscriber and agrees with the Subscriber as follows:</w:t>
      </w:r>
    </w:p>
    <w:p>
      <w:pPr>
        <w:spacing w:after="0" w:line="162"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2.2.1 The Company has been duly incorporated and is validly existing as a corporation in good standing under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with corporate power and authority to own, lease and operate its properties and conduct its business as presently conducted and to enter into, deliver and perform its obligations under the Transaction Documents.</w:t>
      </w:r>
    </w:p>
    <w:p>
      <w:pPr>
        <w:spacing w:after="0" w:line="176"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2.2.2 The Common Shares have been duly authorized and, when issued and delivered to the Subscriber against full payment for the Common Shares in accordance with the terms of this Subscription Agreement and registered with the Company’s transfer agent, the Common Shares will be validly issued, fully paid and non-assessable and the Common Shares will not have been authorized in violation of or subject to any preemptive or similar rights created under the Company’s amended and restated certificate of incorporation or under the DGCL. The Series A Warrants have been duly authorized and, when issued and delivered to the Subscriber against full payment for the Securities in accordance with the terms of this Subscription Agreement and registered with the Company’s transfer agent, the Series A Warrants will be validly issued and non-assessable and the Series A Warrants will not have been authorized in violation of or subject to any preemptive or similar rights created under the Company’s amended and restated certificate of incorporation or under the DGCL. The Warrant Shares, when issued in accordance with the terms of the Series A Warrants and registered with the Company’s transfer agent, will be validly issued, fully paid and non-assessable and the Warrant Shares will not have been authorized in violation of or subject to any preemptive or similar rights created under the Company’s amended and restated certificate of incorporation or under the DGCL. The Company has reserved from its duly authorized capital stock the maximum number of shares of Common Stock issuable pursuant to the Transaction Documents.</w:t>
      </w:r>
    </w:p>
    <w:p>
      <w:pPr>
        <w:spacing w:after="0" w:line="190" w:lineRule="exact"/>
        <w:rPr>
          <w:sz w:val="20"/>
          <w:szCs w:val="20"/>
          <w:color w:val="auto"/>
        </w:rPr>
      </w:pPr>
    </w:p>
    <w:p>
      <w:pPr>
        <w:jc w:val="both"/>
        <w:ind w:left="660" w:firstLine="648"/>
        <w:spacing w:after="0" w:line="263" w:lineRule="auto"/>
        <w:rPr>
          <w:sz w:val="20"/>
          <w:szCs w:val="20"/>
          <w:color w:val="auto"/>
        </w:rPr>
      </w:pPr>
      <w:r>
        <w:rPr>
          <w:rFonts w:ascii="Times New Roman" w:cs="Times New Roman" w:eastAsia="Times New Roman" w:hAnsi="Times New Roman"/>
          <w:sz w:val="18"/>
          <w:szCs w:val="18"/>
          <w:color w:val="auto"/>
        </w:rPr>
        <w:t>2.2.3 Each of the Transaction Documents has been duly authorized, executed and delivered by the Company and is enforceable against it in accordance with its terms, except as may be limited or otherwise affected by (a) bankruptcy, insolvency, fraudulent conveyance, reorganization, moratorium or other laws relating to or affecting the rights of creditors generally, and (b) principles of equity, whether considered at law or equity.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4" w:firstLine="648"/>
        <w:spacing w:after="0" w:line="261" w:lineRule="auto"/>
        <w:rPr>
          <w:sz w:val="20"/>
          <w:szCs w:val="20"/>
          <w:color w:val="auto"/>
        </w:rPr>
      </w:pPr>
      <w:r>
        <w:rPr>
          <w:rFonts w:ascii="Times New Roman" w:cs="Times New Roman" w:eastAsia="Times New Roman" w:hAnsi="Times New Roman"/>
          <w:sz w:val="18"/>
          <w:szCs w:val="18"/>
          <w:color w:val="auto"/>
        </w:rPr>
        <w:t>2.2.4 The execution, delivery and performance of each of the Transaction Documents (including compliance by the Company with all of the provisions hereof), the issuance and sale of the Securities and the consummation of the other transactions contemplated herein will not</w:t>
      </w:r>
    </w:p>
    <w:p>
      <w:pPr>
        <w:jc w:val="both"/>
        <w:ind w:left="4" w:hanging="4"/>
        <w:spacing w:after="0" w:line="251" w:lineRule="auto"/>
        <w:tabs>
          <w:tab w:leader="none" w:pos="2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or result in a breach or violation of any of the terms or provisions of, or constitute a default under, or result in the creation or imposition of any lien, charge or encumbrance upon any of the property or assets of the Company pursuant to the terms of any indenture, mortgage, deed of trust, loan agreement, lease, license or other agreement or instrument to which the Company is a party or by which the Company is bound or to which any of the property or assets of the Company is subject, which would reasonably be expected to have a material adverse effect on the business, properties, condition (financial or otherwise), stockholders’ equity or results of operations of the Company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or materially affect the validity of the Securities or the legal authority of the Company to comply in all material respects with the terms of the Transaction Documents; (b) result in any violation of the provisions of the organizational documents of the Company; or (c) result in any violation of any statute or any judgment, order, rule or regulation of any court or governmental agency or body, domestic or foreign, having jurisdiction over the Company or any of its properties that would reasonably be expected to have a Material Adverse Effect or materially affect the validity of the Securities or the legal authority of the Company to comply in all material respects with this Subscription Agreement.</w:t>
      </w:r>
    </w:p>
    <w:p>
      <w:pPr>
        <w:spacing w:after="0" w:line="192" w:lineRule="exact"/>
        <w:rPr>
          <w:sz w:val="20"/>
          <w:szCs w:val="20"/>
          <w:color w:val="auto"/>
        </w:rPr>
      </w:pPr>
    </w:p>
    <w:p>
      <w:pPr>
        <w:jc w:val="both"/>
        <w:ind w:left="4" w:firstLine="648"/>
        <w:spacing w:after="0" w:line="261" w:lineRule="auto"/>
        <w:rPr>
          <w:sz w:val="20"/>
          <w:szCs w:val="20"/>
          <w:color w:val="auto"/>
        </w:rPr>
      </w:pPr>
      <w:r>
        <w:rPr>
          <w:rFonts w:ascii="Times New Roman" w:cs="Times New Roman" w:eastAsia="Times New Roman" w:hAnsi="Times New Roman"/>
          <w:sz w:val="18"/>
          <w:szCs w:val="18"/>
          <w:color w:val="auto"/>
        </w:rPr>
        <w:t>2.2.5 None of the Company nor any person acting on its behalf has, directly or indirectly, made any offers or sales of any Company securities or solicited any offers to buy any Company securities, under circumstances that would adversely affect reliance by the Company, as applicable, on Section 4(a)(2) of the Securities Act for the exemption from registration for the transactions contemplated hereby or would require registration of the Securities under the Securities Act.</w:t>
      </w:r>
    </w:p>
    <w:p>
      <w:pPr>
        <w:spacing w:after="0" w:line="180" w:lineRule="exact"/>
        <w:rPr>
          <w:sz w:val="20"/>
          <w:szCs w:val="20"/>
          <w:color w:val="auto"/>
        </w:rPr>
      </w:pPr>
    </w:p>
    <w:p>
      <w:pPr>
        <w:jc w:val="both"/>
        <w:ind w:left="4" w:firstLine="648"/>
        <w:spacing w:after="0" w:line="282" w:lineRule="auto"/>
        <w:rPr>
          <w:sz w:val="20"/>
          <w:szCs w:val="20"/>
          <w:color w:val="auto"/>
        </w:rPr>
      </w:pPr>
      <w:r>
        <w:rPr>
          <w:rFonts w:ascii="Times New Roman" w:cs="Times New Roman" w:eastAsia="Times New Roman" w:hAnsi="Times New Roman"/>
          <w:sz w:val="18"/>
          <w:szCs w:val="18"/>
          <w:color w:val="auto"/>
        </w:rPr>
        <w:t>2.2.6 None of the Company nor any person acting on its behalf has conducted any general solicitation or general advertising (as those terms are used in Regulation D under the Securities Act) in connection with the offer or sale of any of the Securities.</w:t>
      </w:r>
    </w:p>
    <w:p>
      <w:pPr>
        <w:spacing w:after="0" w:line="162"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2.2.7 The Company has provided the Subscriber an opportunity to ask questions regarding the Company and made available to the Subscriber all the information reasonably available to the Company that the Subscriber has requested for deciding whether to acquire the Securities.</w:t>
      </w:r>
    </w:p>
    <w:p>
      <w:pPr>
        <w:spacing w:after="0" w:line="176"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2.2.8 No Disqualification Event is applicable to the Company or, to the Company’s knowledge, any Company Covered Person (as defined below), except for a Disqualification Event as to which Rule 506(d)(2)(ii)-(iv) or (d)(3) under the Securities Act is applicable. The Company has complied, to the extent applicable, with any disclosure obligations under Rule 506(e) under the Securities Act.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means, with respect to the Company as an “issuer” for purposes of Rule 506 under the Securities Act, any person listed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paragraph of Rule 506(d)(1) under the Securities Act.</w:t>
      </w:r>
    </w:p>
    <w:p>
      <w:pPr>
        <w:spacing w:after="0" w:line="183"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2.2.9 As of the date of this Subscription Agreement, the authorized capital stock of the Company consists of 250,000,000 shares of Common Stock and 25,000,000 shares of the Company’s preferred stock, par value $0.0001 per share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Of the 25,000,000 shares of Preferred Stock, 3,000,000 shares are designated as “</w:t>
      </w:r>
      <w:r>
        <w:rPr>
          <w:rFonts w:ascii="Times New Roman" w:cs="Times New Roman" w:eastAsia="Times New Roman" w:hAnsi="Times New Roman"/>
          <w:sz w:val="18"/>
          <w:szCs w:val="18"/>
          <w:b w:val="1"/>
          <w:bCs w:val="1"/>
          <w:color w:val="auto"/>
        </w:rPr>
        <w:t>Series B Preferred Stock</w:t>
      </w:r>
      <w:r>
        <w:rPr>
          <w:rFonts w:ascii="Times New Roman" w:cs="Times New Roman" w:eastAsia="Times New Roman" w:hAnsi="Times New Roman"/>
          <w:sz w:val="18"/>
          <w:szCs w:val="18"/>
          <w:color w:val="auto"/>
        </w:rPr>
        <w:t>” and 5,000,000 shares are designated as “</w:t>
      </w:r>
      <w:r>
        <w:rPr>
          <w:rFonts w:ascii="Times New Roman" w:cs="Times New Roman" w:eastAsia="Times New Roman" w:hAnsi="Times New Roman"/>
          <w:sz w:val="18"/>
          <w:szCs w:val="18"/>
          <w:b w:val="1"/>
          <w:bCs w:val="1"/>
          <w:color w:val="auto"/>
        </w:rPr>
        <w:t>Series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On or around the date of this Subscription Agreement, approximately (a) 56,150,102 shares of Common Stock are issued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(b) 33,144 shares of Series B Preferred Stock are issued and outstanding; and (c) 150,000 shares of Series C Preferred Stock are issued and outstanding. All issued and outstanding shares of Common Stock, Series B Preferred Stock and Series C Preferred Stock have been duly authorized and validly issued, are fully paid and are non-assessable and are not subject to preemptive rights, other than as set forth in the Company’s filings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together with any amendments, restatements or supplements thereto and including any draft filings distributed to the Subscriber and the Other Subscribers (the “</w:t>
      </w:r>
      <w:r>
        <w:rPr>
          <w:rFonts w:ascii="Times New Roman" w:cs="Times New Roman" w:eastAsia="Times New Roman" w:hAnsi="Times New Roman"/>
          <w:sz w:val="18"/>
          <w:szCs w:val="18"/>
          <w:b w:val="1"/>
          <w:bCs w:val="1"/>
          <w:color w:val="auto"/>
        </w:rPr>
        <w:t>SEC Documents</w:t>
      </w:r>
      <w:r>
        <w:rPr>
          <w:rFonts w:ascii="Times New Roman" w:cs="Times New Roman" w:eastAsia="Times New Roman" w:hAnsi="Times New Roman"/>
          <w:sz w:val="18"/>
          <w:szCs w:val="18"/>
          <w:color w:val="auto"/>
        </w:rPr>
        <w:t>”). As of the date hereof, except as disclosed in the SEC Documents, there are no outstanding options, warrants or other rights to subscribe for, purchase or acquire from the Company any shares of Common Stock, Preferred Stock or other equity interests in the Company, or securities convertible into or exchangeable or exercisable for such equity interests. As of the date hereof, the Company has no subsidiaries, other than as set forth in the SEC Documents, and other than through such subsidiaries, does not own, directly or indirectly, interests or investments (whether equity or debt) in any person, whether incorporated or unincorporated. There are no stockholder agreements, voting trusts or other agreements or understandings to which the Company is a party or by which it is bound relating to the voting of any securities of the Company, other than as set forth in the SEC Documents. Except as disclosed in the SEC Documents, the Company had no outstanding indebtedness and will not have any outstanding long-term indebtedness as of immediately prior to the Closing.</w:t>
      </w:r>
    </w:p>
    <w:p>
      <w:pPr>
        <w:spacing w:after="0" w:line="36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25" w:name="page26"/>
    <w:bookmarkEnd w:id="2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2.2.10 The Company is not: (a) in default under or in violation of (and no event has occurred that has not been waived that, with notice or lapse of time or both, would result in a default by the Company under), nor has the Company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(b) in violation of any judgment, decree, or order of any court, arbitrator or other governmental authority or (c)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2.2.11 Other than a consent/waiver from WTI Fund X, Inc. and WTI Fund XI, Inc. (together, the “WTI Lenders”), and except as otherwise set forth herein, the Company is not required to obtain any consent, approval, authorization, permit, declaration or order of, or make any filing or registration with (other than the filing with the Commission of a Form D and other filings as may be required by state securities agencies), any court, governmental agency or any regulatory or self-regulatory agency or any other person in order for it to execute, deliver or perform any of its obligations under or contemplated by the Transaction Documents, in each case in accordance with the terms hereof or thereof. All consents, authorizations, orders, filings and registrations which the Company is required to obtain pursuant to the preceding sentence have been obtained or effected on or prior to the Closing Date (or in the case of the filings detailed above, will be made after the Closing Date within the time period required by applicable law), and the Company is unaware of any facts or circumstances that might prevent the Company from obtaining or effecting any of the consent, registration, application or filings pursuant to the preceding sentence. Subject to the accuracy of the representations and warranties of the Subscriber set forth in Section 2.1 hereof, the Company has taken all action necessary to exempt (a) the issuance and sale of the Securities and (b) the issuance of the Warrant Shares upon exercise of the Series A Warrants. The Company does not have a stockholder rights plan or other “poison pill” arrangement in place.</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2.2.12 Except as otherwise disclosed in the SEC Documents, the Company has received no written notice of any, and there are no, actions, suits or proceedings before or by any court, public board, government agency, self-regulatory organization or body pending or, to the knowledge of the Company, threatened against or affecting the Company, except as arising in the ordinary course of the Company’s business and which would not, individually or in the aggregate, reasonably be expected to have a Material Adverse Effect or prevent, materially delay or materially impair the Company’s ability to consummate any of the transactions contemplated under any of the Transaction Documents.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2.2.13 The Company possesses all certificates, authorizations and permits issued by the appropriate domestic or foreign regulatory authority necessary to conduct its business, except where the failure to possess such permits could not reasonably be expected to result in a Material Adverse Effect (“</w:t>
      </w:r>
      <w:r>
        <w:rPr>
          <w:rFonts w:ascii="Times New Roman" w:cs="Times New Roman" w:eastAsia="Times New Roman" w:hAnsi="Times New Roman"/>
          <w:sz w:val="18"/>
          <w:szCs w:val="18"/>
          <w:b w:val="1"/>
          <w:bCs w:val="1"/>
          <w:color w:val="auto"/>
        </w:rPr>
        <w:t>Material Permits</w:t>
      </w:r>
      <w:r>
        <w:rPr>
          <w:rFonts w:ascii="Times New Roman" w:cs="Times New Roman" w:eastAsia="Times New Roman" w:hAnsi="Times New Roman"/>
          <w:sz w:val="18"/>
          <w:szCs w:val="18"/>
          <w:color w:val="auto"/>
        </w:rPr>
        <w:t>”), and the Company has not received any notice of proceedings relating to the revocation or modification of any Material Permit.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2.2.14 Subject to the accuracy of the Subscriber’s representations set forth in this Subscription Agreement, the offer, sale and issuance of the Securities to be issued in conformity with the terms of this Agreement constitute transactions which are exempt from the registration requirements of the Securities Act and from all applicable state registration or qualification requirements. Neither the Company nor any Person acting on its behalf will take any action that would cause the loss of such exemption.</w:t>
      </w:r>
    </w:p>
    <w:p>
      <w:pPr>
        <w:spacing w:after="0" w:line="35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26" w:name="page27"/>
    <w:bookmarkEnd w:id="26"/>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2.2.15 As of the date of this Subscription Agreement, the Common Stock is listed on The Nasdaq Global Market, the Company is in compliance with applicable Nasdaq continued listing requirements and the Company has taken no action designed to, or which to its knowledge is likely to have the effect of, terminating the registration of the Common Stock under the Exchange Act (as defined below) or delisting the Common Stock from The Nasdaq Global Market. As of the date of this Subscription Agreement, the Company has not received any notification that, and has no knowledge that, the Commission or Nasdaq is contemplating terminating such listing or registration. There are no proceedings pending or, to the Company’s knowledge, threatened against the Company relating to the continued listing of the Common Stock on Nasdaq.</w:t>
      </w:r>
    </w:p>
    <w:p>
      <w:pPr>
        <w:spacing w:after="0" w:line="187" w:lineRule="exact"/>
        <w:rPr>
          <w:sz w:val="20"/>
          <w:szCs w:val="20"/>
          <w:color w:val="auto"/>
        </w:rPr>
      </w:pPr>
    </w:p>
    <w:p>
      <w:pPr>
        <w:jc w:val="both"/>
        <w:ind w:left="4" w:firstLine="648"/>
        <w:spacing w:after="0" w:line="258" w:lineRule="auto"/>
        <w:rPr>
          <w:sz w:val="20"/>
          <w:szCs w:val="20"/>
          <w:color w:val="auto"/>
        </w:rPr>
      </w:pPr>
      <w:r>
        <w:rPr>
          <w:rFonts w:ascii="Times New Roman" w:cs="Times New Roman" w:eastAsia="Times New Roman" w:hAnsi="Times New Roman"/>
          <w:sz w:val="18"/>
          <w:szCs w:val="18"/>
          <w:color w:val="auto"/>
        </w:rPr>
        <w:t>2.2.16 As of the date of this Subscription Agreement, the filed SEC Documents are the only filings required of the Company pursuant to the Exchange Act. The Company is engaged in all material respects only in the business described in the SEC Documents and the SEC Documents contain a complete and accurate description in all material respects of the business of the Company. Since the filing of each of the SEC Documents, no event has occurred that would require an amendment or supplement to any such SEC Document and as to which such an amendment or supplement has not been filed prior to the date hereof.</w:t>
      </w:r>
    </w:p>
    <w:p>
      <w:pPr>
        <w:spacing w:after="0" w:line="183"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2.2.17 The financial statements included in each SEC Document comply in all material respects with applicable accounting requirements and the rules and regulations of the Commission with respect thereto as in effect at the time of filing (or to the extent corrected by a subsequent restatement) and present fairly, in all material respects, the financial position of the Company as of the dates shown and its results of operations and cash flows for the periods shown, and such financial statements have been prepared in conformity with United States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applied on a consistent basis (except as may be disclosed therein or in the notes thereto, and, in the case of quarterly financial statements, as permitted by Form 10-Q under the Exchange Act). Except as set forth in the financial statements of the Company included in the SEC Documents, the Company has not incurred any liabilities, contingent or otherwise, except those incurred in the ordinary course of business, consistent (as to amount and nature) with past practices since the date of such financial statements, none of which, individually or in the aggregate, have had or could reasonably be expected to have a Material Adverse Effect.</w:t>
      </w:r>
    </w:p>
    <w:p>
      <w:pPr>
        <w:spacing w:after="0" w:line="188"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2.2.18 Except as otherwise set forth in the SEC Documents, the Company maintains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GAAP and to maintain asset accountability,</w:t>
      </w:r>
    </w:p>
    <w:p>
      <w:pPr>
        <w:spacing w:after="0" w:line="1" w:lineRule="exact"/>
        <w:rPr>
          <w:sz w:val="20"/>
          <w:szCs w:val="20"/>
          <w:color w:val="auto"/>
        </w:rPr>
      </w:pPr>
    </w:p>
    <w:p>
      <w:pPr>
        <w:jc w:val="both"/>
        <w:ind w:left="4" w:hanging="4"/>
        <w:spacing w:after="0" w:line="255" w:lineRule="auto"/>
        <w:tabs>
          <w:tab w:leader="none" w:pos="26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assets is permitted only in accordance with management’s general or specific authorization, and (d) the recorded accountability for assets and liabilities is compared with the existing assets and liabilities at reasonable intervals and appropriate action is taken with respect to any differences.</w:t>
      </w:r>
    </w:p>
    <w:p>
      <w:pPr>
        <w:spacing w:after="0" w:line="186" w:lineRule="exact"/>
        <w:rPr>
          <w:sz w:val="20"/>
          <w:szCs w:val="20"/>
          <w:color w:val="auto"/>
        </w:rPr>
      </w:pPr>
    </w:p>
    <w:p>
      <w:pPr>
        <w:jc w:val="both"/>
        <w:ind w:left="4" w:firstLine="729"/>
        <w:spacing w:after="0" w:line="253" w:lineRule="auto"/>
        <w:rPr>
          <w:sz w:val="20"/>
          <w:szCs w:val="20"/>
          <w:color w:val="auto"/>
        </w:rPr>
      </w:pPr>
      <w:r>
        <w:rPr>
          <w:rFonts w:ascii="Times New Roman" w:cs="Times New Roman" w:eastAsia="Times New Roman" w:hAnsi="Times New Roman"/>
          <w:sz w:val="18"/>
          <w:szCs w:val="18"/>
          <w:color w:val="auto"/>
        </w:rPr>
        <w:t>The Company has established disclosure controls and procedures (as defined in Exchange Act Rules 13a-15(e) and 15d-15(e)) for the Company and designed such disclosure controls and procedures to ensure that material information relating to the Company is made known to the certifying officers by others within those entities, particularly during the period in which the Company’s most recently filed periodic report under the Exchange Act, as the case may be, is being prepared. The Company has established internal control over financial reporting (as defined in Exchange Act Rules 13a-15(f) and 15d-15(f)) to provide reasonable assurance regarding the reliability of financial reporting and the preparation of financial statements for external purposes in accordance with GAAP. The Company’s certifying officers have evaluated the effectiveness of the Company’s disclosure controls and procedures (the “internal controls”) as of the end of the period covered by the most recently filed periodic report under the Exchange Act (such date, the “Evaluation Date”). The Company presented in its most recently filed periodic report under the Exchange Act the conclusions of the certifying officers about the effectiveness of such internal controls based on their evaluations as of the Evaluation Date. Except as otherwise set forth in the SEC Documents, since the Evaluation Date, there have been no significant changes in the Company’s internal controls or in other factors that could significantly affect the Company’s internal controls. The Company maintains and will continue to maintain a standard system of accounting established and administered in accordance with GAAP and the applicable requirements of the Exchange Act.</w:t>
      </w:r>
    </w:p>
    <w:p>
      <w:pPr>
        <w:spacing w:after="0" w:line="35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27" w:name="page28"/>
    <w:bookmarkEnd w:id="27"/>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2.2.19 The Company has timely prepared and filed (or has obtained an extension of time within which to file) all tax returns required to have been filed by the Company with all appropriate governmental agencies and timely paid all taxes shown thereon or otherwise owed by it, other than taxes being contested in good faith and for which adequate reserves have been made on the Company’s financial statements included in the SEC Documents, except in all such cases where the failure to so file or the failure to so pay has not had and could not reasonably be expected to have a Material Adverse Effect. The charges, accruals and reserves on the books of the Company in respect of taxes for all fiscal periods are adequate in all material respects, and there are no material unpaid assessments against the Company nor any basis for the assessment of any additional taxes, penalties or interest for any fiscal period or audits by any federal, state or local taxing authority except for any assessment which is not material to the Company. All taxes and other assessments and levies that the Company is required to withhold or to collect for payment have been duly withheld and collected and paid to the proper governmental entity or third party when due, other than taxes being contested in good faith and for which adequate reserves have been made on the Company’s financial statements included in the SEC Documents, except where the failure to so withhold, collect or pay has not had and could not reasonably be expected to have a Material Adverse Effect. There are no tax liens or claims pending or, to the Company’s knowledge, threatened against the Company or any of its assets or property. Except as described in the SEC Documents, there are no outstanding tax sharing agreements or other such arrangements between the Company or other corporation or entity.</w:t>
      </w:r>
    </w:p>
    <w:p>
      <w:pPr>
        <w:spacing w:after="0" w:line="200" w:lineRule="exact"/>
        <w:rPr>
          <w:sz w:val="20"/>
          <w:szCs w:val="20"/>
          <w:color w:val="auto"/>
        </w:rPr>
      </w:pPr>
    </w:p>
    <w:p>
      <w:pPr>
        <w:spacing w:after="0" w:line="21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2.2.20 Except as disclosed in the SEC Documents, the Company has good and marketable title to all real properties and all other properties and assets owned by it, in each case free from liens, encumbrances and defects that would materially affect the value thereof or materially interfere with the use made or currently planned to be made thereof by them; and except as disclosed in the SEC Documents, the Company holds any leased real or personal property under valid and enforceable leases with no exceptions that would materially interfere with the use made or currently planned to be made thereof by them, except where such exceptions have not had and could not reasonably be expected to have a Material Adverse Effect.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2.2.21 All Intellectual Property of the Company is currently in compliance in all material respects with all legal requirements (including timely filings, proofs and payments of fees) and is valid and enforceable, except where such failure has not had and could not reasonably be expected to have a Material Adverse Effect. To the Company’s knowledge, no Intellectual Property of the Company which is necessary for the conduct of the Company’s business as currently conducted or as currently proposed to be conducted is now involved in any cancellation, dispute or litigation, and no such action is threatened. To the Company’s knowledge, no patent of the Company has been or is now involved in any interference, reissue, re-examination or opposition proceeding. For purposes of this Section 2.2.21,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unless the context provides otherwise, all of the Company’s (a) patents, patent applications, patent disclosures and inventions (whether or not patentable and whether or not reduced to practice); (b) trademarks, service marks, trade dress, trade names, corporate names, logos, slogans and Internet domain names, together with all goodwill associated with each of the foregoing; (c) copyrights and copyrightable works; (d) registrations, applications and renewals for any of the foregoing; and (e) proprietary computer software (including but not limited to data, data bases and documentation).</w:t>
      </w: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All of the licenses and sublicenses and consent, royalty or other agreements concerning Intellectual Property which are necessary for the conduct of the Company’s business as currently conducted or as currently proposed to be conducted to which the Company is a party or by which any of its assets are bound (other than generally commercially available, non-custom, off-the-shelf software application programs having a retail acquisition price of less than $10,000 per license) (collectively, “</w:t>
      </w:r>
      <w:r>
        <w:rPr>
          <w:rFonts w:ascii="Times New Roman" w:cs="Times New Roman" w:eastAsia="Times New Roman" w:hAnsi="Times New Roman"/>
          <w:sz w:val="18"/>
          <w:szCs w:val="18"/>
          <w:b w:val="1"/>
          <w:bCs w:val="1"/>
          <w:color w:val="auto"/>
        </w:rPr>
        <w:t>License Agreements</w:t>
      </w:r>
      <w:r>
        <w:rPr>
          <w:rFonts w:ascii="Times New Roman" w:cs="Times New Roman" w:eastAsia="Times New Roman" w:hAnsi="Times New Roman"/>
          <w:sz w:val="18"/>
          <w:szCs w:val="18"/>
          <w:color w:val="auto"/>
        </w:rPr>
        <w:t>”) are valid and binding obligations of the Company and, to the Company’s knowledge, the other parties thereto, enforceable in accordance with their terms, except to the extent that enforcement thereof may be limited by bankruptcy, insolvency, reorganization, moratorium, fraudulent conveyance or other similar laws affecting the enforcement of creditors’ rights generally, and, to the Company’s knowledge, there exists no event or condition which will result in a violation or breach of or constitute (with or without due notice or lapse of time or both) a default by the Company under any such License Agreement, except for such violations, breaches and defaults as have not had and could not reasonably be expected to have a Material Adverse Effect, individually or in the aggregate.</w:t>
      </w:r>
    </w:p>
    <w:p>
      <w:pPr>
        <w:spacing w:after="0" w:line="36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28" w:name="page29"/>
    <w:bookmarkEnd w:id="2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the Company’s knowledge, the Company owns or has the valid right to use all of the Intellectual Property that is necessary for the conduct of the Company’s business as currently conducted or as currently proposed to be conducted and for the ownership, maintenance and operation of the Company’s properties and assets, free and clear of all liens, encumbrances, adverse claims or obligations to license all such owned Intellectual Property, other than licenses entered into in the ordinary course of the Company’s business, except for such liens, encumbrances, adverse claims or obligations as have not had and could not reasonably be expected to have a Material Adverse Effect. The Company has a valid and enforceable right to use all third party Intellectual Property used or held for use in the business of the Company.</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the Company’s knowledge, the conduct of the Company’s business as currently conducted does not infringe or otherwise impair or conflict with in any material respect (collectively, “</w:t>
      </w:r>
      <w:r>
        <w:rPr>
          <w:rFonts w:ascii="Times New Roman" w:cs="Times New Roman" w:eastAsia="Times New Roman" w:hAnsi="Times New Roman"/>
          <w:sz w:val="18"/>
          <w:szCs w:val="18"/>
          <w:b w:val="1"/>
          <w:bCs w:val="1"/>
          <w:color w:val="auto"/>
        </w:rPr>
        <w:t>Infringe</w:t>
      </w:r>
      <w:r>
        <w:rPr>
          <w:rFonts w:ascii="Times New Roman" w:cs="Times New Roman" w:eastAsia="Times New Roman" w:hAnsi="Times New Roman"/>
          <w:sz w:val="18"/>
          <w:szCs w:val="18"/>
          <w:color w:val="auto"/>
        </w:rPr>
        <w:t>”) any Intellectual Property rights of any third party or any confidentiality obligation owed to a third party, and, to the Company’s knowledge, the Intellectual Property of the Company which is necessary for the conduct of Company’s business as currently conducted or as currently proposed to be conducted is not being Infringed by any third party. There is no litigation or order pending or outstanding or, to the Company’s knowledge, threatened or imminent, that seeks to limit or challenge or that concerns the ownership, use, validity or enforceability of any Intellectual Property of the Company and the Company’s use of any Intellectual Property owned by a third party, and, to the Company’s knowledge, there is no valid basis for the same, except where such litigation or order pending or outstanding or, to the Company’s knowledge, threatened or imminent, that have not had and could not reasonably be expected to have a Material Adverse Effect.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consummation of the transactions contemplated by this Subscription Agreement will not result in the alteration, loss, impairment of or restriction on the Company’s ownership or right to use any of the Intellectual Property which is necessary for the conduct of Company’s business as currently conducted or as currently proposed to be conducted.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2.2.22 The Company is not in violation of any statute,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does not own or operate any real property contaminated by the Company with any substance that is subject to any Environmental Laws, is not liable for any off-site disposal or contamination caused by the Company pursuant to any Environmental Laws, and is not subject to any claim relating to any Environmental Laws, which violation, contamination, liability or claim has had or could reasonably be expected to have a Material Adverse Effect, individually or in the aggregate; and there is no pending or, to the Company’s knowledge, threatened investigation that might lead to such a claim.</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2.2.23 The Company maintains in full force and effect insurance coverage that, to the Company’s knowledge, is customary for comparably situated companies for the business being conducted and properties owned or leased by the Company, and the Company reasonably believes such insurance coverage to be adequate against all liabilities, claims and risks against which it is customary for comparably situated companies to insure.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2.2.24 Neither the Company nor, to the Company’s knowledge, any of its respective current or former stockholders, directors, officers, employees, agents or other Persons acting on behalf of the Company, has on behalf of the Company or in connection with its business: (a) used any corporate funds for unlawful contributions, gifts, entertainment or other unlawful expenses relating to political activity; (b) made any direct or indirect unlawful payments to any governmental officials or employees from corporate funds; (c) established or maintained any unlawful or unrecorded fund of corporate monies or other assets; (d) made any false or fictitious entries on the books and records of the Company; or (e) made any unlawful bribe, rebate, payoff, influence payment, kickback or other unlawful payment of any nature.</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2.2.25 Except as disclosed in the SEC Documents or in any future document filed with the Commission, to the Company’s knowledge, none of the officers or directors of the Company and, to the Company’s knowledge, none of the employees of the Company is presently a party to any transaction with the Company (other than as holders of stock options and/or warrants, and for services as employees, officers and directors), including any contract, agreement or other arrangement providing for the furnishing of services to or by, providing for rental of real or personal property to or from, or otherwise requiring payments to or from, to the Company’s knowledge, any officer, director or such employee or, to the Company’s knowledge, any entity in which any officer, director, or any such employee has a substantial interest or is an officer, director, trustee or partner, except for such transaction the omission of which has not had and could not reasonably be expected to have a Material Adverse Effect.</w:t>
      </w:r>
    </w:p>
    <w:p>
      <w:pPr>
        <w:spacing w:after="0" w:line="36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29" w:name="page30"/>
    <w:bookmarkEnd w:id="29"/>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2.2.26 The Company acknowledges that the Subscriber is not acting as a financial advisor or fiduciary of the Company (or in any similar capacity) with respect to this Subscription Agreement and the transactions contemplated hereby, and any advice or other guidance provided by the Subscriber or any of its representatives and agents with respect to this Subscription Agreement and the transactions contemplated hereby is merely incidental to the Subscriber’s entry into such transactions. The Company’s decision to enter into this Subscription Agreement has been based solely on the independent evaluation by the Company and its representatives and agents.</w:t>
      </w:r>
    </w:p>
    <w:p>
      <w:pPr>
        <w:spacing w:after="0" w:line="183" w:lineRule="exact"/>
        <w:rPr>
          <w:sz w:val="20"/>
          <w:szCs w:val="20"/>
          <w:color w:val="auto"/>
        </w:rPr>
      </w:pPr>
    </w:p>
    <w:p>
      <w:pPr>
        <w:ind w:left="1340" w:hanging="684"/>
        <w:spacing w:after="0"/>
        <w:tabs>
          <w:tab w:leader="none" w:pos="1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Date and Delivery</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purchase and sale of Securities hereunder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shall occur on October 3, 2025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at 9:00 a.m., Eastern Time or at such other time as the parties shall mutually agree, upon satisfaction of the covenants and conditions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3. The parties agree that the Closing may occur via delivery of photocopies or electronic PDF versions of this Subscription Agreement and the closing deliverables contemplated hereby and thereby. Unless otherwise provided herein, all proceedings to be taken and all documents to be executed and delivered by all parties at the Closing will be deemed to have been taken and executed simultaneously, and no proceedings will be deemed to have been taken nor documents executed or delivered until all have been taken. At the Closing, on the Closing Date, upon the terms and subject to the conditions set forth herein:</w:t>
      </w:r>
    </w:p>
    <w:p>
      <w:pPr>
        <w:spacing w:after="0" w:line="187" w:lineRule="exact"/>
        <w:rPr>
          <w:sz w:val="20"/>
          <w:szCs w:val="20"/>
          <w:color w:val="auto"/>
        </w:rPr>
      </w:pPr>
    </w:p>
    <w:p>
      <w:pPr>
        <w:jc w:val="both"/>
        <w:ind w:left="1300" w:firstLine="851"/>
        <w:spacing w:after="0" w:line="252" w:lineRule="auto"/>
        <w:tabs>
          <w:tab w:leader="none" w:pos="28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to sell, and the Subscriber agrees to purchase, the Common Shares and the Series A Warrants in exchange for the Purchase Price;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unless otherwise approved by the holders of a majority of the outstanding shares of Common Stock (excluding, for the avoidance of doubt, the Securities), the Company shall not issue to the Subscriber or any parties aggregated with the Subscriber for purposes of Nasdaq Rule 5635 (the “</w:t>
      </w:r>
      <w:r>
        <w:rPr>
          <w:rFonts w:ascii="Times New Roman" w:cs="Times New Roman" w:eastAsia="Times New Roman" w:hAnsi="Times New Roman"/>
          <w:sz w:val="18"/>
          <w:szCs w:val="18"/>
          <w:b w:val="1"/>
          <w:bCs w:val="1"/>
          <w:color w:val="auto"/>
        </w:rPr>
        <w:t>Subscriber Parties</w:t>
      </w:r>
      <w:r>
        <w:rPr>
          <w:rFonts w:ascii="Times New Roman" w:cs="Times New Roman" w:eastAsia="Times New Roman" w:hAnsi="Times New Roman"/>
          <w:sz w:val="18"/>
          <w:szCs w:val="18"/>
          <w:color w:val="auto"/>
        </w:rPr>
        <w:t>”) any Common Shares or Warrant Shares upon exercise of the Series A Warrants to the extent such shares after giving effect to such issuance (x) would cause the Subscriber Parties’ or any Prior Issuance Parties’ (defined below) ownership to exceed 19.9% of the outstanding shares of the Common Stock or 19.9% of the outstanding voting power of the Company as of immediately prior to the closing of Prior Issuance Agreements (defined below) and prior to giving effect to the issuance of securities of the Company pursuant to the Prior Issuance Agreements or this Subscription Agreement or (y) would result in the aggregate number of shares of Common Stock issued (a) pursuant to this Subscription Agreement, (b) to any Other Subscribers pursuant to the Other Subscription Agreements and (c) to the Prior Issuance Parties pursuant to the Prior Issuance Agreements (defined below) at a price that is below the “Minimum Price” as determined consistently with Nasdaq Rule 5635(d) to exceed 19.9% of the outstanding shares of the Common Stock or 19.9% of the outstanding voting power of the Company as of immediately prior to the closing of the Prior Issuance Agreements and prior to giving effect to the issuance of securities of the Company pursuant to this Subscription Agreement or the Prior Issuance Agreements. Any reduction as a result of the foregoing shall be borne pro rata amongst the Subscriber and the Other Subscribers pursuant in the Other Subscription Agreements based on the number of shares of Common Stock purchased and issuable upon exercise of warrants pursuant to the applicable agreement. As used herein, “</w:t>
      </w:r>
      <w:r>
        <w:rPr>
          <w:rFonts w:ascii="Times New Roman" w:cs="Times New Roman" w:eastAsia="Times New Roman" w:hAnsi="Times New Roman"/>
          <w:sz w:val="18"/>
          <w:szCs w:val="18"/>
          <w:b w:val="1"/>
          <w:bCs w:val="1"/>
          <w:color w:val="auto"/>
        </w:rPr>
        <w:t>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Issuance Parties</w:t>
      </w:r>
      <w:r>
        <w:rPr>
          <w:rFonts w:ascii="Times New Roman" w:cs="Times New Roman" w:eastAsia="Times New Roman" w:hAnsi="Times New Roman"/>
          <w:sz w:val="18"/>
          <w:szCs w:val="18"/>
          <w:color w:val="auto"/>
        </w:rPr>
        <w:t>” means the investors (and any parties aggregated with such investors for purposes of Nasdaq Rule 5635) party to those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agreements (the “</w:t>
      </w:r>
      <w:r>
        <w:rPr>
          <w:rFonts w:ascii="Times New Roman" w:cs="Times New Roman" w:eastAsia="Times New Roman" w:hAnsi="Times New Roman"/>
          <w:sz w:val="18"/>
          <w:szCs w:val="18"/>
          <w:b w:val="1"/>
          <w:bCs w:val="1"/>
          <w:color w:val="auto"/>
        </w:rPr>
        <w:t>Prior Issuance Agreements</w:t>
      </w:r>
      <w:r>
        <w:rPr>
          <w:rFonts w:ascii="Times New Roman" w:cs="Times New Roman" w:eastAsia="Times New Roman" w:hAnsi="Times New Roman"/>
          <w:sz w:val="18"/>
          <w:szCs w:val="18"/>
          <w:color w:val="auto"/>
        </w:rPr>
        <w:t>”) that may be aggregated with this Subscription Agreement under the rules and regulations of Nasdaq with the Company.</w:t>
      </w:r>
    </w:p>
    <w:p>
      <w:pPr>
        <w:spacing w:after="0" w:line="190" w:lineRule="exact"/>
        <w:rPr>
          <w:rFonts w:ascii="Times New Roman" w:cs="Times New Roman" w:eastAsia="Times New Roman" w:hAnsi="Times New Roman"/>
          <w:sz w:val="18"/>
          <w:szCs w:val="18"/>
          <w:color w:val="auto"/>
        </w:rPr>
      </w:pPr>
    </w:p>
    <w:p>
      <w:pPr>
        <w:jc w:val="both"/>
        <w:ind w:left="1300" w:firstLine="855"/>
        <w:spacing w:after="0" w:line="255" w:lineRule="auto"/>
        <w:tabs>
          <w:tab w:leader="none" w:pos="287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effect the purchases and sales described in this Section 3.1, (x) the Subscriber shall deliver to the Company, via wire transfer, to the account designated by the Company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on the Closing Date, immediately available funds equal to the Purchase Amount and (y) the Company shall deliver to the subscriber the Common Shares, which shall be issued in book entry form, registered in the name of the Subscriber, and the Series A Warrants, which shall be issued in physical form and, unless otherwise specified by the Subscriber, held by the Warrant Agent (as defined in the Series A Warrants), both the Common Shares and the Series A Warrants with such legends or notations as applicable, referring to the terms, conditions, and restrictions set forth in the Transaction Documents.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tabs>
          <w:tab w:leader="none" w:pos="6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auto"/>
        </w:rPr>
        <w:t>Conditions to Closing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3.2.1 The obligations of each of the Company and the Subscriber to consummate the Closing shall be subject to the satisfaction or valid waiver by the Company, on the one hand, or the Subscriber, on the other, of the conditions that, on the Closing Date:</w:t>
      </w:r>
    </w:p>
    <w:p>
      <w:pPr>
        <w:spacing w:after="0" w:line="162" w:lineRule="exact"/>
        <w:rPr>
          <w:sz w:val="20"/>
          <w:szCs w:val="20"/>
          <w:color w:val="auto"/>
        </w:rPr>
      </w:pPr>
    </w:p>
    <w:p>
      <w:pPr>
        <w:ind w:left="640" w:firstLine="791"/>
        <w:spacing w:after="0" w:line="282" w:lineRule="auto"/>
        <w:tabs>
          <w:tab w:leader="none" w:pos="201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suspension of the qualification of the Common Stock for offering or sale or trading in any jurisdiction, or initiation or threatening of any proceedings for any of such purposes, shall have occurred.</w:t>
      </w:r>
    </w:p>
    <w:p>
      <w:pPr>
        <w:spacing w:after="0" w:line="161" w:lineRule="exact"/>
        <w:rPr>
          <w:rFonts w:ascii="Times New Roman" w:cs="Times New Roman" w:eastAsia="Times New Roman" w:hAnsi="Times New Roman"/>
          <w:sz w:val="18"/>
          <w:szCs w:val="18"/>
          <w:color w:val="auto"/>
        </w:rPr>
      </w:pPr>
    </w:p>
    <w:p>
      <w:pPr>
        <w:jc w:val="both"/>
        <w:ind w:left="640" w:firstLine="795"/>
        <w:spacing w:after="0" w:line="266" w:lineRule="auto"/>
        <w:tabs>
          <w:tab w:leader="none" w:pos="21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shall have enacted, issued, promulgated, enforced or entered any judgment, order, rule or regulation (whether temporary, preliminary or permanent) which is then in effect and has the effect of making consummation of the transactions contemplated hereby illegal or otherwise preventing or prohibiting consummation of the transactions contemplated hereby.</w:t>
      </w:r>
    </w:p>
    <w:p>
      <w:pPr>
        <w:spacing w:after="0" w:line="175" w:lineRule="exact"/>
        <w:rPr>
          <w:rFonts w:ascii="Times New Roman" w:cs="Times New Roman" w:eastAsia="Times New Roman" w:hAnsi="Times New Roman"/>
          <w:sz w:val="18"/>
          <w:szCs w:val="18"/>
          <w:color w:val="auto"/>
        </w:rPr>
      </w:pPr>
    </w:p>
    <w:p>
      <w:pPr>
        <w:jc w:val="both"/>
        <w:ind w:left="640" w:firstLine="818"/>
        <w:spacing w:after="0" w:line="266" w:lineRule="auto"/>
        <w:tabs>
          <w:tab w:leader="none" w:pos="222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Subscriber acknowledge the Common Stock ownership and issuance limitations set forth in Section 3.1(i) above and agree that in no event shall such limitations be exceeded by either this Subscription Agreement or as a result of the Other Subscription Agreements, if any.</w:t>
      </w:r>
    </w:p>
    <w:p>
      <w:pPr>
        <w:spacing w:after="0" w:line="175" w:lineRule="exact"/>
        <w:rPr>
          <w:rFonts w:ascii="Times New Roman" w:cs="Times New Roman" w:eastAsia="Times New Roman" w:hAnsi="Times New Roman"/>
          <w:sz w:val="18"/>
          <w:szCs w:val="18"/>
          <w:color w:val="auto"/>
        </w:rPr>
      </w:pPr>
    </w:p>
    <w:p>
      <w:pPr>
        <w:ind w:left="2260" w:hanging="776"/>
        <w:spacing w:after="0"/>
        <w:tabs>
          <w:tab w:leader="none" w:pos="22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greater than $20 million investment into Accelsius Holdings LLC by a third-party strategic investor has been</w:t>
      </w:r>
    </w:p>
    <w:p>
      <w:pPr>
        <w:spacing w:after="0" w:line="27"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consummated.</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3.2.2 The obligation of the Company to consummate the Closing shall be subject to the satisfaction or valid waiver by the Company of the additional conditions that, on the Closing Date:</w:t>
      </w:r>
    </w:p>
    <w:p>
      <w:pPr>
        <w:spacing w:after="0" w:line="162" w:lineRule="exact"/>
        <w:rPr>
          <w:sz w:val="20"/>
          <w:szCs w:val="20"/>
          <w:color w:val="auto"/>
        </w:rPr>
      </w:pPr>
    </w:p>
    <w:p>
      <w:pPr>
        <w:jc w:val="both"/>
        <w:ind w:left="640" w:firstLine="790"/>
        <w:spacing w:after="0" w:line="256" w:lineRule="auto"/>
        <w:tabs>
          <w:tab w:leader="none" w:pos="20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the Subscriber contained in this Subscription Agreement shall be true and correct in all material respects as of the Closing Date (other than those representations and warranties expressly made as of an earlier date, which shall be true and correct in all material respects as of such date), and consummation of the Closing shall constitute a reaffirmation by the Subscriber of each of the representations, warranties and agreements contained in this Subscription Agreement as of the Closing Date (other than those representations and warranties expressly made as of an earlier date, which shall be true and correct in all respects as of such date).</w:t>
      </w:r>
    </w:p>
    <w:p>
      <w:pPr>
        <w:spacing w:after="0" w:line="187" w:lineRule="exact"/>
        <w:rPr>
          <w:rFonts w:ascii="Times New Roman" w:cs="Times New Roman" w:eastAsia="Times New Roman" w:hAnsi="Times New Roman"/>
          <w:sz w:val="18"/>
          <w:szCs w:val="18"/>
          <w:color w:val="auto"/>
        </w:rPr>
      </w:pPr>
    </w:p>
    <w:p>
      <w:pPr>
        <w:ind w:left="640" w:firstLine="799"/>
        <w:spacing w:after="0" w:line="282" w:lineRule="auto"/>
        <w:tabs>
          <w:tab w:leader="none" w:pos="20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shall have performed or complied in all material respects with all agreements and covenants required by this Subscription Agreement.</w:t>
      </w:r>
    </w:p>
    <w:p>
      <w:pPr>
        <w:spacing w:after="0" w:line="162" w:lineRule="exact"/>
        <w:rPr>
          <w:sz w:val="20"/>
          <w:szCs w:val="20"/>
          <w:color w:val="auto"/>
        </w:rPr>
      </w:pPr>
    </w:p>
    <w:p>
      <w:pPr>
        <w:ind w:left="640" w:right="20" w:firstLine="802"/>
        <w:spacing w:after="0" w:line="282" w:lineRule="auto"/>
        <w:tabs>
          <w:tab w:leader="none" w:pos="21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Subscription Agreement, no event, the result of which is a Subscriber Material Adverse Effect, shall have occurred that is continuing.</w:t>
      </w:r>
    </w:p>
    <w:p>
      <w:pPr>
        <w:spacing w:after="0" w:line="162" w:lineRule="exact"/>
        <w:rPr>
          <w:sz w:val="20"/>
          <w:szCs w:val="20"/>
          <w:color w:val="auto"/>
        </w:rPr>
      </w:pPr>
    </w:p>
    <w:p>
      <w:pPr>
        <w:ind w:left="640"/>
        <w:spacing w:after="0"/>
        <w:tabs>
          <w:tab w:leader="none" w:pos="1580" w:val="left"/>
        </w:tabs>
        <w:rPr>
          <w:sz w:val="20"/>
          <w:szCs w:val="20"/>
          <w:color w:val="auto"/>
        </w:rPr>
      </w:pP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8"/>
          <w:szCs w:val="18"/>
          <w:color w:val="auto"/>
        </w:rPr>
        <w:t>The obligation of the Subscriber to consummate the Closing shall be subject to the satisfaction or valid waiver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Subscriber of the additional conditions that, on the Closing Date:</w:t>
      </w:r>
    </w:p>
    <w:p>
      <w:pPr>
        <w:spacing w:after="0" w:line="207" w:lineRule="exact"/>
        <w:rPr>
          <w:sz w:val="20"/>
          <w:szCs w:val="20"/>
          <w:color w:val="auto"/>
        </w:rPr>
      </w:pPr>
    </w:p>
    <w:p>
      <w:pPr>
        <w:jc w:val="both"/>
        <w:ind w:left="640" w:firstLine="798"/>
        <w:spacing w:after="0" w:line="256" w:lineRule="auto"/>
        <w:tabs>
          <w:tab w:leader="none" w:pos="204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the Company contained in this Subscription Agreement shall be true and correct in all material respects as of the Closing Date (other than those representations and warranties expressly made as of an earlier date, which shall be true and correct in all material respects as of such date), and consummation of the Closing shall constitute a reaffirmation by the Company of each of the representations, warranties and agreements contained in this Subscription Agreement as of the Closing Date (other than those representations and warranties expressly made as of an earlier date, which shall be true and correct in all respects as of such date).</w:t>
      </w:r>
    </w:p>
    <w:p>
      <w:pPr>
        <w:spacing w:after="0" w:line="35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31" w:name="page32"/>
    <w:bookmarkEnd w:id="31"/>
    <w:p>
      <w:pPr>
        <w:ind w:left="1300" w:firstLine="851"/>
        <w:spacing w:after="0" w:line="282" w:lineRule="auto"/>
        <w:tabs>
          <w:tab w:leader="none" w:pos="281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or complied in all material respects with all agreements and covenants required by this Subscription Agreement.</w:t>
      </w:r>
    </w:p>
    <w:p>
      <w:pPr>
        <w:spacing w:after="0" w:line="161" w:lineRule="exact"/>
        <w:rPr>
          <w:rFonts w:ascii="Times New Roman" w:cs="Times New Roman" w:eastAsia="Times New Roman" w:hAnsi="Times New Roman"/>
          <w:sz w:val="18"/>
          <w:szCs w:val="18"/>
          <w:color w:val="auto"/>
        </w:rPr>
      </w:pPr>
    </w:p>
    <w:p>
      <w:pPr>
        <w:ind w:left="1300" w:right="20" w:firstLine="801"/>
        <w:spacing w:after="0" w:line="282" w:lineRule="auto"/>
        <w:tabs>
          <w:tab w:leader="none" w:pos="2813"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Subscription Agreement, no event, the result of which is a Material Adverse Effect, shall have occurred that is continuing.</w:t>
      </w:r>
    </w:p>
    <w:p>
      <w:pPr>
        <w:spacing w:after="0" w:line="16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4.1 The Securities may only be resold, transferred, pledged or otherwise disposed of in compliance with state and federal securities laws. In connection with any transfer of Securities other than pursuant to an effective registration statement, Rule 144 under the Securities Act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or pursuant to another applicable exemption from the registration requirements of the Securities Act, or a transfer to the Company, as applicable or to one or more Subscriber Affiliates or to a lender to the Subscriber pursuant to a pledge and, thereafter, a transferee thereof pursuant to a foreclosure, of the Subscriber,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Subscription Agreement such transferee and each Subscriber Affiliate transferee and each lender transferee and their subsequent transferees shall have the rights and obligations of the Subscriber under this Subscription Agreement.</w:t>
      </w:r>
    </w:p>
    <w:p>
      <w:pPr>
        <w:spacing w:after="0" w:line="188"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The Subscriber agrees to the imprinting, so long as is required by this Section 4, of a legend on any of the Securities in the following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IF APPLICABLE, HAVE BEEN REGISTERED WITH THE SECURITIES AND EXCHANGE COMMISSION OR THE SECURITIES COMMISSION OF ANY STATE IN RELIANCE UPON AN EXEMPTION FROM REGISTRATION UNDER THE SECURITIES ACT OF 1933, AS AMENDED (THE “SECURITIES ACT”), AND, ACCORDINGLY, MAY NOT UNDER ANY CIRCUMSTANCES BE OFFERED, TRANSFERRED, SOLD OR OTHERWISE DISPOSED OF EXCEPT PURSUANT TO AN EFFECTIVE REGISTRATION STATEMENT UNDER THE SECURITIES ACT OR PURSUANT TO AN AVAILABLE EXEMPTION FROM, OR IN A TRANSACTION NOT SUBJECT TO, THE REGISTRATION REQUIREMENTS OF THE SECURITIES ACT AND IN ACCORDANCE WITH APPLICABLE FEDERAL, STATE AND FOREIGN SECURITIES LAWS.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4.3 Subject to applicable requirements of the Securities Act and the interpretations of the Commission thereunder and any requirements of the Company’s transfer agent, the Company shall ensure that instruments, whether certificated or uncertificated, evidencing the Securities shall not contain any legend (including the legend set forth in Section 4.2), (a) while a registration statement covering the resale of such Securities is effective under the Securities Act and immediately prior to an imminent sale, (b) following any sale of such Securities pursuant to Rule 144, (c) if such Securities are eligible for sale under Rule 144, without the requirement for the Company to be in compliance with the current public information required under Rule 144, and in each case, the Subscriber provides the Company with an undertaking to effect any sales or other transfers in accordance with the Securities Act, or (d) if such legend is not required under applicable requirements of the Securities Act (including judicial interpretations and pronouncements issued by the staff of the Commission) (the earliest of such dates,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4.4 The Subscriber agrees with the Company that the Subscriber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instruments representing Securities is predicated upon the Company’s reliance upon this understanding.</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1340" w:hanging="684"/>
        <w:spacing w:after="0"/>
        <w:tabs>
          <w:tab w:leader="none" w:pos="1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5.1 The Company agrees that, within 90 calendar days following the Closing Date, the Company will use its commercially reasonable efforts to file with the Commission (at the Company’s sole cost and expense) a registration statement registering the resale of the Common Shares and Warrant Shares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to the extent determinable at that time and capable of being so registered, and the Company shall use its commercially reasonable efforts to have the Registration Statement declared effective as soon as practicable after the filing thereof, but in any event no later than 120 calendar days after the Closing Date (the “</w:t>
      </w:r>
      <w:r>
        <w:rPr>
          <w:rFonts w:ascii="Times New Roman" w:cs="Times New Roman" w:eastAsia="Times New Roman" w:hAnsi="Times New Roman"/>
          <w:sz w:val="18"/>
          <w:szCs w:val="18"/>
          <w:b w:val="1"/>
          <w:bCs w:val="1"/>
          <w:color w:val="auto"/>
        </w:rPr>
        <w:t>Effectiveness Deadline</w:t>
      </w:r>
      <w:r>
        <w:rPr>
          <w:rFonts w:ascii="Times New Roman" w:cs="Times New Roman" w:eastAsia="Times New Roman" w:hAnsi="Times New Roman"/>
          <w:sz w:val="18"/>
          <w:szCs w:val="18"/>
          <w:color w:val="auto"/>
        </w:rPr>
        <w:t xml:space="preserve">”); provided, that the Effectiveness Deadline shall be extended to 150 calendar days after the Closing Date if the Registration Statement is reviewed by, and comments thereto are provided from, the Commission;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Company shall have the Registration Statement declared effective within ten Business Days after the date the Company is notified (orally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in writing, whichever is earlier) by the staff of the Commission that the Registration Statement will not be “reviewed” or will not be subject to further review;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 if the Effectiveness Deadline falls on a Saturday, Sunday or other day that the Commission is closed for business, the Effectiveness Deadline shall be extended to the next Business Day on which the Commission is open for business and (b) if the Commission is closed for operations due to a government shutdown, the Effectiveness Date shall be extended by the same number of Business Days that the Commission remains closed for, provided that such extension shall not exceed 60 calendar days. The Company shall provide a draft of the Registration Statement to the Subscriber for review at least two Business Days in advance of the date of filing the Registration Statement with the Commission (the “</w:t>
      </w:r>
      <w:r>
        <w:rPr>
          <w:rFonts w:ascii="Times New Roman" w:cs="Times New Roman" w:eastAsia="Times New Roman" w:hAnsi="Times New Roman"/>
          <w:sz w:val="18"/>
          <w:szCs w:val="18"/>
          <w:b w:val="1"/>
          <w:bCs w:val="1"/>
          <w:color w:val="auto"/>
        </w:rPr>
        <w:t>Filing Date</w:t>
      </w:r>
      <w:r>
        <w:rPr>
          <w:rFonts w:ascii="Times New Roman" w:cs="Times New Roman" w:eastAsia="Times New Roman" w:hAnsi="Times New Roman"/>
          <w:sz w:val="18"/>
          <w:szCs w:val="18"/>
          <w:color w:val="auto"/>
        </w:rPr>
        <w:t>”), and the Subscriber shall provide any comments on the Registration Statement to the Company no later than the day immediately preceding the Filing Date. Unless otherwise agreed to in writing by the Subscriber prior to the filing of the Registration Statement, the Subscriber shall not be identified as a statutory underwriter in the Registration Statement; provided, that if the Commission requests that the Subscriber be identified as a statutory underwriter in the Registration Statement, the Subscriber will have the opportunity to withdraw from the Registration Statement upon its prompt written request to the Company. Notwithstanding the foregoing, if the Commission prevents the Company from including any or all of the Common Shares or Warrant Shares proposed to be registered under the Registration Statement due to limitations on the use of Rule 415 of the Securities Act for the resale of the Common Shares and Warrant Shares by the applicable holders or otherwise, such Registration Statement shall register for resale such number of Common Shares and Warrant Shares which is equal to the maximum number of Common Shares and Warrant Shares as is permitted by the Commission. In such event, the number of Common Shares and Warrant Shares to be registered for each selling holder named in the Registration Statement shall be reduced pro rata among all such selling holders and as promptly as practicable after being permitted to register additional Common Shares and Warrant Shares under Rule 415 under the Securities Act, the Company shall amend the Registration Statement or file one or more new Registration Statement(s) (such amendment or new Registration Statement shall also be deemed to be “Registration Statement” hereunder) to register such additional Common Shares and Warrant Shares and cause such amendment or Registration Statement(s) to become effective as promptly as practicable after the filing thereof, but in any event no later than 30 calendar days after the filing of such Registration Statement (the “</w:t>
      </w:r>
      <w:r>
        <w:rPr>
          <w:rFonts w:ascii="Times New Roman" w:cs="Times New Roman" w:eastAsia="Times New Roman" w:hAnsi="Times New Roman"/>
          <w:sz w:val="18"/>
          <w:szCs w:val="18"/>
          <w:b w:val="1"/>
          <w:bCs w:val="1"/>
          <w:color w:val="auto"/>
        </w:rPr>
        <w:t>Additional Effectiveness Deadline</w:t>
      </w:r>
      <w:r>
        <w:rPr>
          <w:rFonts w:ascii="Times New Roman" w:cs="Times New Roman" w:eastAsia="Times New Roman" w:hAnsi="Times New Roman"/>
          <w:sz w:val="18"/>
          <w:szCs w:val="18"/>
          <w:color w:val="auto"/>
        </w:rPr>
        <w:t xml:space="preserve">”); provided, that the Additional Effectiveness Deadline shall be extended to 120 calendar days after the filing of such Registration Statement if such Registration Statement is reviewed by, and comments thereto are provided from, the Commission;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Company shall have such Registration Statement declared effective within ten Business Days after the date the Company is notified (orally or in writing, whichever is earlier) by the staff of the Commission that such Registration Statement will not be “reviewed” or will not be subject to further review;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 if such day falls on a Saturday, Sunday or other day that the Commission is closed for business, the Additional Effectiveness Deadline shall be extended to the next Business Day on which the Commission is open for business and (b) if the Commission is closed for operations due to a government shutdown, the Effectiveness Date shall be extended by the same number of Business Days that the Commission remains closed for, provided that such extension shall not exceed 60 calendar days. Any failure by the Company to file a Registration Statement by the Effectiveness Deadline or Additional Effectiveness Deadline shall not otherwise relieve the Company of its obligations to file or effect a Registration Statement as set forth in this Section 5. A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be defined as a day other than Saturday, Sunday or other day on which commercial banks in New York, New York are authorized or required by law to close.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5.2 The Company agrees that, except for such times as the Company is permitted hereunder to suspend the use of the prospectus forming part of a Registration Statement, the Company will use its commercially reasonable efforts to cause such Registration Statement to remain effective with respect to the Subscriber, including to prepare and file any post-effective amendment to such Registration Statement or a supplement to the related prospectus such that the prospectus will not include any untrue statement or a material fact or omit to state any material fact necessary to make the statements therein, in light of the circumstances under which they were made, not misleading, until the earlier of (a) two years from the effective date of the Registration Statement, and (b) the date on which all of the Common Shares and Warrant Shares shall have been sold and the Company shall use its commercially reasonable efforts to obtain the withdrawal of any order suspending the effectiveness of any Registration Statement as soon as reasonably practicable. For so long as the Registration Statement shall remain effective, the Company will use commercially reasonable efforts to file all reports, and provide all customary and reasonable cooperation, necessary to enable the Subscriber to resell Common Shares and Warrant Shares pursuant to the Registration Statement, qualify the Common Shares and the Warrant Shares for listing on the applicable stock exchange on which the Company’s shares of Common Stock are then listed, and update or amend the Registration Statement as necessary to include the Common Shares and Warrant Shares. The Company will use its commercially reasonable efforts to (a) for so long as the Subscriber holds Common Shares and Warrant Shares, make and keep public information available (as those terms are understood and defined in Rule 144) and file with the Commission in a timely manner all reports and other documents required of the Company under the Securities Exchange Act of 1934, as amended, and the rules and regulations promulgated thereunder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so long as the Company remains subject to such requirements to enable the Subscriber to resell the Common Shares and Warrant Shares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144, (b) cause the removal of all restrictive legends from any Common Shares and Warrant Shares being sold under the Registration Statement or pursuant to Rule 144 at the time of sale of such Common Shares and Warrant Shares and, at the request of a Holder, cause the removal of all restrictive legends from any Common Shares and Warrant Shares held by such Holder that may be sold by such Holder without restriction under Rule 144, including without limitation, any volume and manner of sale restrictions, and (c) cause its legal counsel to deliver the necessary legal opinions, if any, to the transfer agent in connection with the instruction under subclause (b) upon the receipt of such supporting documentation, if any, as reasonably requested by such counsel. “Holder” shall mean the Subscriber or person to which the rights under this Section 5 shall have been assigned pursuant to the terms of this Subscription Agreement. The Subscriber agrees to disclose its beneficial ownership, as determined in accordance with Rule 13d-3 of the Exchange Act, of Common Shares and Warrant Shares to the Company (or its successor) upon reasonable request to assist the Company in making the determination described above.</w:t>
      </w:r>
    </w:p>
    <w:p>
      <w:pPr>
        <w:spacing w:after="0" w:line="20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5.3 The Company’s obligations to include the Common Shares and Warrant Shares in the Registration Statement are contingent upon the Subscriber furnishing in writing to the Company a completed selling holder questionnaire in customary form that contains such information regarding the Subscriber, the securities of the Company held by the Subscriber and the intended method of disposition of the Common Shares and Warrant Shares as shall be reasonably requested by the Company to effect the registration of the Common Shares and Warrant Shares, and the Subscriber shall execute such documents in connection with such registration as the Company may reasonably request that are customary of a selling holder in similar situations, including providing that the Company shall be entitled to postpone and suspend the effectiveness or use of the Registration Statement during any customary blackout or similar period or as permitted hereunder; provided, that the Company shall request such information from the Subscriber, including the selling holder questionnaire, at least five Business Days prior to the anticipated filing date of the Registration Statement. For the avoidance of doubt, the Subscriber shall not in connection with the foregoing be required to execute any lock-up or similar agreement or otherwise be subject to any contractual restriction on the ability to transfer the Common Shares and Warrant Shares. In the case of the registration effected by the Company pursuant to this Subscription Agreement, the Company shall, upon reasonable request, inform the Subscriber as to the status of such registration. The Subscriber shall not be entitled to use the Registration Statement for an underwritten offering of Common Shares and Warrant Shares. Notwithstanding anything to the contrary contained herein, the Company may delay or postpone filing of such Registration Statement, and from time to time require the Subscriber not to sell under the Registration Statement or suspend the use or effectiveness of any such Registration Statement if it determines in good faith that in order for the registration statement to not contain a material misstatement or omission, an amendment thereto would be needed, or if such filing or use would reasonably be expected to materially affect a bona fide business or financing transaction of the Company or would reasonably be expected to require premature disclosure of information that would materially adversely affect the Company (each such circumstance, a “</w:t>
      </w:r>
      <w:r>
        <w:rPr>
          <w:rFonts w:ascii="Times New Roman" w:cs="Times New Roman" w:eastAsia="Times New Roman" w:hAnsi="Times New Roman"/>
          <w:sz w:val="18"/>
          <w:szCs w:val="18"/>
          <w:b w:val="1"/>
          <w:bCs w:val="1"/>
          <w:color w:val="auto"/>
        </w:rPr>
        <w:t>Suspension Event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(w) the Company shall not so delay filing or so suspend the use of the Registration Statement for a period of more than 60 consecutive days or more than two times in any 360 day period and (x) the Company shall use commercially reasonable efforts to make such registration statement available for the sale by the Subscriber of such securities as soon as practicable thereafter.</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5.4 Upon receipt of any written notice from the Company (which notice shall not contain any material non-public information regarding the Company and which notice shall not be subject to any duty of confidentiality) of the happening of (a) an issuance by the Commission of any stop order suspending the effectiveness of any Registration Statement or the initiation of any proceedings for such purpose, which notice shall be given no later than three Business Days from the date of such event, (b) any Suspension Event during the period that the Registration Statement is effective, which notice shall be given no later than three Business Days from the date of such Suspension Event, or (c)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Subscriber agrees that</w:t>
      </w:r>
    </w:p>
    <w:p>
      <w:pPr>
        <w:spacing w:after="0" w:line="3" w:lineRule="exact"/>
        <w:rPr>
          <w:sz w:val="20"/>
          <w:szCs w:val="20"/>
          <w:color w:val="auto"/>
        </w:rPr>
      </w:pPr>
    </w:p>
    <w:p>
      <w:pPr>
        <w:jc w:val="both"/>
        <w:ind w:firstLine="8"/>
        <w:spacing w:after="0" w:line="251" w:lineRule="auto"/>
        <w:tabs>
          <w:tab w:leader="none" w:pos="28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will immediately discontinue offers and sales of the Common Shares and Warrant Shares under the Registration Statement (excluding, for the avoidance of doubt, sales conducted pursuant to Rule 144) until the Subscriber receives copies of a supplemental or amended prospectus (which the Company agrees to promptly prepare) that corrects the misstatement(s) or omission(s) referred to above and receives notice that any post-effective amendment has become effective or unless otherwise notified by the Company that it may resume such offers and sales, and (2) it will maintain the confidentiality of any information included in such written notice delivered by the Company unless otherwise required by law, subpoena or regulatory request or requirement. If so directed by the Company, the Subscriber will deliver to the Company or, in the Subscriber’s sole discretion destroy, all copies of the prospectus covering the Common Shares and Warrant Shares in the Subscriber’s possession;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this obligation to deliver or destroy all copies of the prospectus covering the Common Shares and Warrant Shares shall not apply (w) to the extent the Subscriber is required to retain a copy of such prospectus (A) in order to comply with applicable legal, regulatory, self-regulatory or professional requirements or (B) in accordance with a bona fide pre-existing document retention policy or (x) to copies stored electronically on archival servers as a result of automatic data back-up.</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5.5 For purposes of this Section 5, (i) “Common Shares and Warrant Shares” shall mean, as of any date of determination to the extent determinable, the Common Shares and Warrant Shares and any other equity security issued or issuable with respect to the Common Shares and Warrant Shares foregoing by way of share split, dividend, distribution, recapitalization, merger, exchange, or replacement, and (ii) “Subscriber” shall include any person to which the rights under this Section 5 shall have been duly assigned pursuant to the terms of this Subscription Agreement.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5.6 Notwithstanding the registration obligations set forth herein, if the Commission informs the Company that the resale of all of the Common Shares and Warrant Shares as a secondary offering cannot, as a result of the application of Rule 415, be registered on a single registration statement, the Company agrees to promptly inform each of the holders of Common Shares and Warrant Shares thereof and use its reasonable efforts to file amendments to the Registration Statement as required by the Commission, covering the maximum number of Common Shares and Warrant Shares permitted to be registered by the Commission. In addition, notwithstanding any other provision of this Subscription Agreement, if the Commission or any SEC Guidance sets forth a limitation on the number of Common Shares and Warrant Shares permitted to be registered on the Registration Statement, the number of Common Shares and Warrant Shares to be registered on such Registration Statement will be reduced pro rata among all such selling stockholders whose securities are included in such Registration Statement. In the event of a cutback hereunder, the Company shall give the applicable holder of Common Shares and Warrant Shares at least five (5) Business Days prior written notice along with the calculations as to such holder’s allotment. In the event the Company amends the Registration Statement in accordance with the foregoing, the Company will use its reasonable efforts to file with the Commission, as promptly as allowed by the Commission or SEC Guidance provided to the Company, one or more registration statements to register the resale of those Common Shares and Warrant Shares that were not otherwise registered. “</w:t>
      </w:r>
      <w:r>
        <w:rPr>
          <w:rFonts w:ascii="Times New Roman" w:cs="Times New Roman" w:eastAsia="Times New Roman" w:hAnsi="Times New Roman"/>
          <w:sz w:val="18"/>
          <w:szCs w:val="18"/>
          <w:b w:val="1"/>
          <w:bCs w:val="1"/>
          <w:color w:val="auto"/>
        </w:rPr>
        <w:t>SEC Guidance</w:t>
      </w:r>
      <w:r>
        <w:rPr>
          <w:rFonts w:ascii="Times New Roman" w:cs="Times New Roman" w:eastAsia="Times New Roman" w:hAnsi="Times New Roman"/>
          <w:sz w:val="18"/>
          <w:szCs w:val="18"/>
          <w:color w:val="auto"/>
        </w:rPr>
        <w:t>” means (a) any publicly-available written or oral guidance of the Commission staff, or any comments, requirements or requests of the Commission staff and (b) the Securities Act and the rules and regulations promulgated thereunder.</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5.7 The Company shall indemnify and hold harmless the Subscriber (to the extent a seller under the Registration Statement), the officers, directors, members, managers, partners, agents and employees of the Subscriber, each person who controls the Subscriber (within the meaning of Section 15 of the Securities Act or Section 20 of the Exchange Act) and the officers, directors, members, managers, partners, agents and employees of each such controlling person, to the fullest extent permitted by applicable law, from and against any and all losses, claims, damages, liabilities, costs (including, without limitation, reasonable attorneys’ fees) and expenses (collectively, “</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that arise out of or are based upon 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except to the extent that untrue statements, alleged untrue statements, omissions or alleged omissions are based upon information regarding the Subscriber furnished in writing to the Company by or on behalf of the Subscriber expressly for use therein or the Subscriber has omitted a material fact from such information, provided that the Company has given notice of such event to the Subscriber in accordance with the terms of this Subscription Agreement. The Company shall notify the Subscriber promptly of the institution, threat or assertion of any proceeding arising from or in connection with the transactions contemplated by this Section 5 of which the Company is aware. Such indemnity shall remain in full force and effect regardless of any investigation made by or on behalf of an indemnified party and shall survive the transfer of the Securities by the Subscriber. Notwithstanding the forgoing, the Company’s indemnification obligations shall not apply to amounts paid in settlement of any Losses or action if such settlement is effected without the prior written consent of the Company (which consent shall not be unreasonably withheld or delayed).</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5.8 The Subscriber shall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arising out of or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alleged untrue statements, omissions or alleged omissions are based upon information regarding the Subscriber furnished in writing to the Company by or on behalf of the Subscriber expressly for use therein or the Subscriber has omitted a material fact from such information, and that the Subscriber has received notice from the Company of such event in accordance with the terms of this Subscription Agreement. In no event shall the liability of the Subscriber be greater in amount than the dollar amount of the net proceeds received by the Subscriber upon the sale of the Securities giving rise to such indemnification obligation. Notwithstanding the forgoing, Subscriber indemnification obligations shall not apply to amounts paid in settlement of any Losses or action if such settlement is effected without the prior written consent of the Subscriber (which consent shall not be unreasonably withheld or delayed).</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5.9 Any person or entity entitled to indemnification herein shall (a) give prompt written notice to the indemnifying party of any claim with respect to which it seeks indemnification (provided that the failure to give prompt notice shall not impair any person’s or entity’s right to indemnification hereunder to the extent such failure has not prejudiced the indemnifying party) and (b)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(a) cannot be settled in all respects by the payment of money (and such money is so paid by the indemnifying party pursuant to the terms of such settlement), (b) includes a statement or admission of fault and culpability on the part of such indemnified party, or (c) does not include as an unconditional term thereof the giving by the claimant or plaintiff to such indemnified party of a release from all liability in respect to such claim or litigation.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5.10 The indemnification provided for under this Subscription Agreement shall remain in full force and effect regardless of any investigation made by or on behalf of the indemnified party or any officer, director or controlling person or entity of such indemnified party and shall survive the transfer of Securities purchased pursuant to this Subscription Agreement.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5.11 If the indemnification provided under this Section 5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liability of the Subscriber shall be limited to the net proceeds received by such Subscriber from the sale of Securities giving rise to such indemnification obligation.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or on behalf of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 this Section 5,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5.11 from any person or entity who was not guilty of such fraudulent misrepresentation. Notwithstanding anything to the contrary herein, in no event will any party be liable for consequential, special, exemplary or punitive damages in connection with this Subscription Agreement or the transactions contemplated hereby.</w:t>
      </w:r>
    </w:p>
    <w:p>
      <w:pPr>
        <w:spacing w:after="0" w:line="196" w:lineRule="exact"/>
        <w:rPr>
          <w:sz w:val="20"/>
          <w:szCs w:val="20"/>
          <w:color w:val="auto"/>
        </w:rPr>
      </w:pPr>
    </w:p>
    <w:p>
      <w:pPr>
        <w:ind w:left="1340" w:hanging="684"/>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390"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7.1.1 The parties acknowledge that each party hereto will rely on the acknowledgments, understandings, agreements, representations and warranties contained in this Subscription Agreement. Prior to the Closing, the Subscriber agrees to promptly notify the Company if any of the acknowledgments, understandings, agreements, representations and warranties set forth herein are no longer accurate in all material respects.</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7.1.2 The Company is entitled to rely upon this Subscription Agreement and is irrevocably authorized to produce this Subscription Agreement or a copy hereof to any interested party in any administrative or legal proceeding or official inquiry with respect to the matters covered hereby.</w:t>
      </w:r>
    </w:p>
    <w:p>
      <w:pPr>
        <w:spacing w:after="0" w:line="176"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7.1.3 The Company may request from the Subscriber such additional information as the Company may deem necessary to evaluate the eligibility of the Subscriber to acquire the Securities, and the Subscriber shall use its best efforts to promptly provide such information as may be reasonably requested, to the extent readily available and to the extent consistent with its internal policies and procedures.</w:t>
      </w:r>
    </w:p>
    <w:p>
      <w:pPr>
        <w:spacing w:after="0" w:line="176"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7.1.4 Except as otherwise expressly set forth in Section 7.15, the Subscriber shall pay all of its own expenses in connection with this Subscription Agreement and the transactions contemplated herein and therein.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communication required or permitted hereunder shall be in writing and either delivered personally, emailed or sent by overnight mail via a reputable overnight carrier, or sent by certified or registered mail, postage prepaid, and shall be deemed to be given and received (i) when so delivered personally, (ii) when sent, with no mail undeliverable or other rejection notice, if sent by email, or (iii) three (3) Business Days after the date of mailing to the address below or to such other address or addresses as such person may hereafter designate by notice given hereunder:</w:t>
      </w:r>
    </w:p>
    <w:p>
      <w:pPr>
        <w:spacing w:after="0" w:line="180" w:lineRule="exact"/>
        <w:rPr>
          <w:sz w:val="20"/>
          <w:szCs w:val="20"/>
          <w:color w:val="auto"/>
        </w:rPr>
      </w:pPr>
    </w:p>
    <w:p>
      <w:pPr>
        <w:ind w:left="2820" w:hanging="706"/>
        <w:spacing w:after="0"/>
        <w:tabs>
          <w:tab w:leader="none" w:pos="2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Subscriber, to such address or addresses set forth on the signature page hereto;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2820" w:hanging="706"/>
        <w:spacing w:after="0"/>
        <w:tabs>
          <w:tab w:leader="none" w:pos="2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Innventure, Inc.</w:t>
      </w:r>
    </w:p>
    <w:p>
      <w:pPr>
        <w:spacing w:after="0" w:line="2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6900 Tavistock Lakes Blvd, Suite 400</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Orlando, Florida 32827</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Attention: Suzanne Niemeyer</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with a required copy to (which copy shall not constitute notice):</w:t>
      </w:r>
    </w:p>
    <w:p>
      <w:pPr>
        <w:spacing w:after="0" w:line="22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Jones Day</w:t>
      </w:r>
    </w:p>
    <w:p>
      <w:pPr>
        <w:spacing w:after="0" w:line="2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1221 Peachtree Street, NE, Suite 400</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Atlanta, Georgia 30361</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Attention: Joel T. May and Thomas L. Short</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E-mail: [***]; [***]</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Subscription Agreement constitutes the entire agreement, and supersedes all other prior agreements, understandings, representations and warranties, both written and oral, among the parties, with respect to the subject matter hereof. Except as otherwise expressly set forth in Section 7.9, this Subscription Agreement shall not confer rights or remedies upon any person other than the parties hereto and their respective successors and assigns.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Modifications and Amendments</w:t>
      </w:r>
      <w:r>
        <w:rPr>
          <w:rFonts w:ascii="Times New Roman" w:cs="Times New Roman" w:eastAsia="Times New Roman" w:hAnsi="Times New Roman"/>
          <w:sz w:val="18"/>
          <w:szCs w:val="18"/>
          <w:color w:val="auto"/>
        </w:rPr>
        <w:t xml:space="preserve">. This Subscription Agreement may not be modified, waived or terminated except by an instrument in writing or electronic transmission, signed by (including by electronic signature) a majority in interest (based on the number of shares of Common Stock purchased, but excluding those issuable upon exercise of warrants pursuant to the applicable agreement) of, collectively, the Subscriber and the Other Subscribers party to the Other Subscription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this Subscription Agreement may not be modified or waived in any way which would materially and adversely affect the rights of one or more Other Subscribers (solely in his, her, their or its capacity as a holder of securities purchased pursuant to the Other Subscription Agreements) in a manner materially disproportionate to any materially adverse effect such modification or waiver would have on the rights of Other Subscribers (solely in their capacity as a holder of securities purchased pursuant to the Other Subscription Agreements) without also obtaining the written consent of that Other Subscriber that would be materially disproportionately and materially adversely affected.</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Waivers and Consents</w:t>
      </w:r>
      <w:r>
        <w:rPr>
          <w:rFonts w:ascii="Times New Roman" w:cs="Times New Roman" w:eastAsia="Times New Roman" w:hAnsi="Times New Roman"/>
          <w:sz w:val="18"/>
          <w:szCs w:val="18"/>
          <w:color w:val="auto"/>
        </w:rPr>
        <w:t>. The terms and provisions of this Subscription Agreement may be waived, or consent for the departure therefrom granted, only by a written document or electronic transmission executed (including by electronic signature) by the Company and a majority in interest (based on the number of shares of Common Stock purchased, but excluding those issuable upon exercise of warrants pursuant to the applicable agreement) of, collectively, the Subscriber and Other Subscribers. No such waiver or consent shall be deemed to be or shall constitute a waiver or consent with respect to any other terms or provisions of this Subscription Agreement, whether or not similar. Each such waiver or consent shall be effective only in the specific instance and for the purpose for which it was given, and shall not constitute a continuing waiver or consent.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Subscription Agreement nor any rights that may accrue to the Subscriber hereunder (other than the Securities acquired hereunder, if any) may be transferred or assigned;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the Subscriber may transfer its rights and obligations hereunder to another one or more investment fund or account managed or advised by the same manager as the Subscriber (or a related party or affiliate) defined above as a Subscriber Affiliate or a lender and, through a lender, a transferee of the lender upon default,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transfer shall release the Subscriber of its obligations hereunder unless (a) the assignee expressly does not assume such obligations in the applicable transfer documentation and (b) upon request, such assignee fails to provide documentation reasonably satisfactory to the Company that assignee can satisfy such obligations.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Furnishing of Information; Public Information</w:t>
      </w:r>
      <w:r>
        <w:rPr>
          <w:rFonts w:ascii="Times New Roman" w:cs="Times New Roman" w:eastAsia="Times New Roman" w:hAnsi="Times New Roman"/>
          <w:sz w:val="18"/>
          <w:szCs w:val="18"/>
          <w:color w:val="auto"/>
        </w:rPr>
        <w:t>. Until the earlier of the time that (a) the Subscriber owns no Securities or (b) the Series A Warrants have expired: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7.7.1 The Company covenants to use its commercially reasonable efforts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 except in connection with a merger or consolidation of the Company where the Company is not the surviving entity, or the acquisition of, or any other going private transaction involving, the Company; and</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7.7.2 The Company agrees to keep such books and records, and the Subscriber will have the right to inspect such books and records and receive information from the Company, in each case as required by the DGCL, and the Company shall deliver to the Subscriber such audited annual financial statements, unaudited quarterly financial statements and other information as reasonably requested by the Subscriber; provided that the Company will have no obligation to deliver such information to the extent such information is otherwise publicly available.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xml:space="preserve">. Except at contemplated by Section 9, neither the Subscriber nor the Company will make any public disclosure of the transactions contemplated by this Subscription Agreement without the prior written consent of the other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disclosure is required by law or other legal requirement, in lieu of such consent requirement, the party required to make such disclosure will use commercially reasonable efforts to provide the other party with a copy of such disclosure in advance of filing.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Benefit</w:t>
      </w:r>
      <w:r>
        <w:rPr>
          <w:rFonts w:ascii="Times New Roman" w:cs="Times New Roman" w:eastAsia="Times New Roman" w:hAnsi="Times New Roman"/>
          <w:sz w:val="18"/>
          <w:szCs w:val="18"/>
          <w:color w:val="auto"/>
        </w:rPr>
        <w:t>. 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Subscription Agreement, and any claim or cause of action hereunder based upon, arising out of or related to this Subscription Agreement (whether based on law, in equity, in contract, in tort or any other theory) or the negotiation, execution, performance or enforcement of this Subscription Agreement, shall be governed by and construed in accordance with the laws of the State of New York, without giving effect to the principles of conflicts of law thereof.</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Consent to Jurisdiction; Waiver of Jury Trial</w:t>
      </w:r>
      <w:r>
        <w:rPr>
          <w:rFonts w:ascii="Times New Roman" w:cs="Times New Roman" w:eastAsia="Times New Roman" w:hAnsi="Times New Roman"/>
          <w:sz w:val="18"/>
          <w:szCs w:val="18"/>
          <w:color w:val="auto"/>
        </w:rPr>
        <w:t>. The parties hereto agree to submit any matter or dispute resulting from or arising out of the execution, performance, interpretation, breach or termination of this Subscription Agreement to the non-exclusive jurisdiction of federal or state courts within the State of New York. Each of the Parties agrees that service of any process, summons, notice or document in the manner set forth in Section 7.2 hereof or in such other manner as may be permitted by applicable law, shall be effective service of process for any proceeding in the State of New York with respect to any matters to which it has submitted to jurisdiction in this Section 7.10. Each of the parties hereto irrevocably and unconditionally agrees that it is subject to, and hereby submits to, the personal jurisdiction of the courts located in the State of New York for any action, suit or proceeding arising out of this Subscription Agreement or the transactions contemplated hereunder and waives any objection to the laying of venue in the United States District Court for the Southern District of New York, or the New York state courts if the federal jurisdictional standards are not satisfied, and hereby further irrevocably and unconditionally waives and agrees not to plead or claim in any such court that any such action, suit or proceeding brought in any such court has been brought in an inconvenient forum. TO THE FULLEST EXTENT PERMITTED BY APPLICABLE LAW, EACH OF THE PARTIES HEREBY IRREVOCABLY WAIVES ITS RIGHTS TO A TRIAL BY JURY.</w:t>
      </w:r>
    </w:p>
    <w:p>
      <w:pPr>
        <w:spacing w:after="0" w:line="19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No Waiver of Rights, Powers and Remedies</w:t>
      </w:r>
      <w:r>
        <w:rPr>
          <w:rFonts w:ascii="Times New Roman" w:cs="Times New Roman" w:eastAsia="Times New Roman" w:hAnsi="Times New Roman"/>
          <w:sz w:val="18"/>
          <w:szCs w:val="18"/>
          <w:color w:val="auto"/>
        </w:rPr>
        <w:t>. No failure or delay by a party hereto in exercising any right, power or remedy under this Subscription Agreement, and no course of dealing between the parties hereto, shall operate as a waiver of any such right, power or remedy of such party. No single or partial exercise of any right, power or remedy under this Subscription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Subscription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made by the parties hereto in this Subscription Agreement or in any other agreement, certificate or instrument provided for or contemplated hereby, shall survive the execution and delivery hereof and any investigations made by or on behalf of the parties.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for Sanders Morris LLC, the Company has not paid, and is not obligated to pay, any brokerage, finder’s or other fee or commission in connection with its issuance and sale of the Securities, including, for the avoidance of doubt, any fee or commission payable to any stockholder or affiliate of the Company. Each of the parties hereto shall pay all of its own expenses in connection with this Subscription Agreement and the transactions contemplated hereby.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7.16 </w:t>
      </w:r>
      <w:r>
        <w:rPr>
          <w:rFonts w:ascii="Times New Roman" w:cs="Times New Roman" w:eastAsia="Times New Roman" w:hAnsi="Times New Roman"/>
          <w:sz w:val="18"/>
          <w:szCs w:val="18"/>
          <w:u w:val="single" w:color="auto"/>
          <w:color w:val="auto"/>
        </w:rPr>
        <w:t>Headings and Captions</w:t>
      </w:r>
      <w:r>
        <w:rPr>
          <w:rFonts w:ascii="Times New Roman" w:cs="Times New Roman" w:eastAsia="Times New Roman" w:hAnsi="Times New Roman"/>
          <w:sz w:val="18"/>
          <w:szCs w:val="18"/>
          <w:color w:val="auto"/>
        </w:rPr>
        <w:t>. The headings and captions of the various subdivisions of this Subscription Agreement are for convenience of reference only and shall in no way modify or affect the meaning or construction of any of the terms or provisions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7.17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Subscription Agreement may be executed in multiple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any other form of electronic delivery, such signature shall create a valid and binding obligation of the party executing (or on whose behalf such signature is executed) with the same force and effect as if such signature page were an original thereof.</w:t>
      </w:r>
    </w:p>
    <w:p>
      <w:pPr>
        <w:spacing w:after="0" w:line="18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7.18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words “</w:t>
      </w:r>
      <w:r>
        <w:rPr>
          <w:rFonts w:ascii="Times New Roman" w:cs="Times New Roman" w:eastAsia="Times New Roman" w:hAnsi="Times New Roman"/>
          <w:sz w:val="18"/>
          <w:szCs w:val="18"/>
          <w:i w:val="1"/>
          <w:iCs w:val="1"/>
          <w:color w:val="auto"/>
        </w:rPr>
        <w:t>include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includes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including</w:t>
      </w:r>
      <w:r>
        <w:rPr>
          <w:rFonts w:ascii="Times New Roman" w:cs="Times New Roman" w:eastAsia="Times New Roman" w:hAnsi="Times New Roman"/>
          <w:sz w:val="18"/>
          <w:szCs w:val="18"/>
          <w:color w:val="auto"/>
        </w:rPr>
        <w:t>” will be deemed to be followed by “</w:t>
      </w:r>
      <w:r>
        <w:rPr>
          <w:rFonts w:ascii="Times New Roman" w:cs="Times New Roman" w:eastAsia="Times New Roman" w:hAnsi="Times New Roman"/>
          <w:sz w:val="18"/>
          <w:szCs w:val="18"/>
          <w:i w:val="1"/>
          <w:iCs w:val="1"/>
          <w:color w:val="auto"/>
        </w:rPr>
        <w:t>without limitation</w:t>
      </w:r>
      <w:r>
        <w:rPr>
          <w:rFonts w:ascii="Times New Roman" w:cs="Times New Roman" w:eastAsia="Times New Roman" w:hAnsi="Times New Roman"/>
          <w:sz w:val="18"/>
          <w:szCs w:val="18"/>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Times New Roman" w:cs="Times New Roman" w:eastAsia="Times New Roman" w:hAnsi="Times New Roman"/>
          <w:sz w:val="18"/>
          <w:szCs w:val="18"/>
          <w:i w:val="1"/>
          <w:iCs w:val="1"/>
          <w:color w:val="auto"/>
        </w:rPr>
        <w:t>this Subscription 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hereby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hereunder</w:t>
      </w:r>
      <w:r>
        <w:rPr>
          <w:rFonts w:ascii="Times New Roman" w:cs="Times New Roman" w:eastAsia="Times New Roman" w:hAnsi="Times New Roman"/>
          <w:sz w:val="18"/>
          <w:szCs w:val="18"/>
          <w:color w:val="auto"/>
        </w:rPr>
        <w:t>,” and words of similar import refer to this Subscription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w:t>
      </w:r>
    </w:p>
    <w:p>
      <w:pPr>
        <w:spacing w:after="0" w:line="187"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7.19</w:t>
      </w:r>
      <w:r>
        <w:rPr>
          <w:sz w:val="20"/>
          <w:szCs w:val="20"/>
          <w:color w:val="auto"/>
        </w:rPr>
        <w:tab/>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Reserved.]</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7.20 </w:t>
      </w:r>
      <w:r>
        <w:rPr>
          <w:rFonts w:ascii="Times New Roman" w:cs="Times New Roman" w:eastAsia="Times New Roman" w:hAnsi="Times New Roman"/>
          <w:sz w:val="18"/>
          <w:szCs w:val="18"/>
          <w:u w:val="single" w:color="auto"/>
          <w:color w:val="auto"/>
        </w:rPr>
        <w:t>Listing of Common Shares and Related Matters</w:t>
      </w:r>
      <w:r>
        <w:rPr>
          <w:rFonts w:ascii="Times New Roman" w:cs="Times New Roman" w:eastAsia="Times New Roman" w:hAnsi="Times New Roman"/>
          <w:sz w:val="18"/>
          <w:szCs w:val="18"/>
          <w:color w:val="auto"/>
        </w:rPr>
        <w:t>. Promptly following the date of this Subscription Agreement, and as provided for herein, the Company shall use commercially reasonable efforts to cause the Common Shares and, when issued, the Warrant Shares to be listed on Nasdaq. Further, if the Company applies to have its Common Stock or other securities traded on any other principal stock exchange or market, it shall include in such application the Common Shares and, when issued, the Warrant Shares and will take such other commercially reasonable action as is necessary to cause such Common Stock to be so listed. The Company will use commercially reasonable efforts to continue the listing and trading of its Common Stock on Nasdaq and, in accordance, therewith, will use commercially reasonable efforts to comply in all respects with the Company’s reporting, filing and other obligations under the bylaws or rules of such market or exchange, as applicable</w:t>
      </w:r>
    </w:p>
    <w:p>
      <w:pPr>
        <w:spacing w:after="0" w:line="189" w:lineRule="exact"/>
        <w:rPr>
          <w:sz w:val="20"/>
          <w:szCs w:val="20"/>
          <w:color w:val="auto"/>
        </w:rPr>
      </w:pPr>
    </w:p>
    <w:p>
      <w:pPr>
        <w:ind w:left="1340" w:hanging="684"/>
        <w:spacing w:after="0"/>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u w:val="single" w:color="auto"/>
          <w:color w:val="auto"/>
        </w:rPr>
        <w:t>Ability to Terminate</w:t>
      </w:r>
      <w:r>
        <w:rPr>
          <w:rFonts w:ascii="Times New Roman" w:cs="Times New Roman" w:eastAsia="Times New Roman" w:hAnsi="Times New Roman"/>
          <w:sz w:val="18"/>
          <w:szCs w:val="18"/>
          <w:color w:val="auto"/>
        </w:rPr>
        <w:t>. This Subscription Agreement may be terminated at any time prior to the Closing by: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2800" w:hanging="668"/>
        <w:spacing w:after="0"/>
        <w:tabs>
          <w:tab w:leader="none" w:pos="2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written consent of the Company and the Subscriber;</w:t>
      </w:r>
    </w:p>
    <w:p>
      <w:pPr>
        <w:spacing w:after="0" w:line="225" w:lineRule="exact"/>
        <w:rPr>
          <w:rFonts w:ascii="Times New Roman" w:cs="Times New Roman" w:eastAsia="Times New Roman" w:hAnsi="Times New Roman"/>
          <w:sz w:val="18"/>
          <w:szCs w:val="18"/>
          <w:color w:val="auto"/>
        </w:rPr>
      </w:pPr>
    </w:p>
    <w:p>
      <w:pPr>
        <w:jc w:val="both"/>
        <w:ind w:left="1300" w:firstLine="880"/>
        <w:spacing w:after="0" w:line="258" w:lineRule="auto"/>
        <w:tabs>
          <w:tab w:leader="none" w:pos="292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the Company or the Subscriber, upon written notice to the other no earlier than October 15, 2025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xml:space="preserve">”), if the Subscription shall not have been consummated by the Termination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right to terminate this Subscription Agreement under this Section 8.1(ii) shall not be available to any party whose failure to fulfill any obligation under this Subscription Agreement has been the cause of, or resulted in, the failure to consummate the transactions contemplated hereby prior to the Termination Date;</w:t>
      </w:r>
    </w:p>
    <w:p>
      <w:pPr>
        <w:spacing w:after="0" w:line="183" w:lineRule="exact"/>
        <w:rPr>
          <w:sz w:val="20"/>
          <w:szCs w:val="20"/>
          <w:color w:val="auto"/>
        </w:rPr>
      </w:pPr>
    </w:p>
    <w:p>
      <w:pPr>
        <w:jc w:val="both"/>
        <w:ind w:left="1300" w:firstLine="799"/>
        <w:spacing w:after="0" w:line="258" w:lineRule="auto"/>
        <w:tabs>
          <w:tab w:leader="none" w:pos="27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either the Company or the Subscriber, upon written notice to the other, if any of the mutual conditions to the Closing set forth in Section 3.2.1 shall have become incapable of fulfillment by the Termination Date and shall not have been waived in writing by the other party;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right to terminate this Subscription Agreement under this Section 8.1(iii) shall not be available to any party whose failure to fulfill any obligation under this Subscription Agreement has been the cause of, or resulted in, the failure to consummate the transactions contemplated hereby prior to the Termination Date;</w:t>
      </w:r>
    </w:p>
    <w:p>
      <w:pPr>
        <w:spacing w:after="0" w:line="183" w:lineRule="exact"/>
        <w:rPr>
          <w:rFonts w:ascii="Times New Roman" w:cs="Times New Roman" w:eastAsia="Times New Roman" w:hAnsi="Times New Roman"/>
          <w:sz w:val="18"/>
          <w:szCs w:val="18"/>
          <w:color w:val="auto"/>
        </w:rPr>
      </w:pPr>
    </w:p>
    <w:p>
      <w:pPr>
        <w:jc w:val="both"/>
        <w:ind w:left="1300" w:firstLine="826"/>
        <w:spacing w:after="0" w:line="258" w:lineRule="auto"/>
        <w:tabs>
          <w:tab w:leader="none" w:pos="290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upon written notice to the Subscriber, so long as the Company is not then in material breach of its representations, warranties, covenants or agreements under this Subscription Agreement such that any of the conditions set forth in Section 3.2.1 or 3.2.3 could not be satisfied by the Termination Date, (a) upon a breach of any covenant or agreement on the part of the Subscriber set forth in this Subscription Agreement, or (b) if any of the conditions set forth in Section 3.2.1 or 3.2.2 could not be satisfied by the Termination Date; or</w:t>
      </w:r>
    </w:p>
    <w:p>
      <w:pPr>
        <w:spacing w:after="0" w:line="183" w:lineRule="exact"/>
        <w:rPr>
          <w:rFonts w:ascii="Times New Roman" w:cs="Times New Roman" w:eastAsia="Times New Roman" w:hAnsi="Times New Roman"/>
          <w:sz w:val="18"/>
          <w:szCs w:val="18"/>
          <w:color w:val="auto"/>
        </w:rPr>
      </w:pPr>
    </w:p>
    <w:p>
      <w:pPr>
        <w:jc w:val="both"/>
        <w:ind w:left="1300" w:firstLine="819"/>
        <w:spacing w:after="0" w:line="258" w:lineRule="auto"/>
        <w:tabs>
          <w:tab w:leader="none" w:pos="288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 upon written notice to the Company, so long as the Subscriber is not then in material breach of its representations, warranties, covenants or agreements under this Subscription Agreement such that any of the conditions set forth in Section 3.2.1 or 3.2.2 could not be satisfied by the Termination Date, (a) upon a breach of any covenant or agreement on the part of the Company set forth in this Subscription Agreement, or (b) if any of the conditions set forth in Section 3.2.1 or 3.2.3 could not be satisfied by the Termination Date.</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the termination of this Subscription Agreement, (a) this Subscription Agreement (except for this Section 8.2, and any definitions set forth in this Subscription Agreement and used in such sections) shall forthwith become void and have no effect, without any liability on the part of any party hereto or its affiliates, and (b) all filings, applications and other submissions made pursuant to this Subscription Agreement, to the extent practicable, shall be withdrawn from the agency or other Person to which they were made or appropriately amended to reflect the termination of the transactions contemplated hereby;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nothing contained in this Section 8.2 shall relieve any party from liability for fraud or any intentional or willful breach of this Subscription Agreement.</w:t>
      </w:r>
    </w:p>
    <w:p>
      <w:pPr>
        <w:spacing w:after="0" w:line="187" w:lineRule="exact"/>
        <w:rPr>
          <w:sz w:val="20"/>
          <w:szCs w:val="20"/>
          <w:color w:val="auto"/>
        </w:rPr>
      </w:pPr>
    </w:p>
    <w:p>
      <w:pPr>
        <w:jc w:val="both"/>
        <w:ind w:firstLine="656"/>
        <w:spacing w:after="0" w:line="253" w:lineRule="auto"/>
        <w:tabs>
          <w:tab w:leader="none" w:pos="13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The Subscriber hereby acknowledges that the terms of the Transaction Documents will be disclosed by the Company in a Current Report on Form 8-K filed with the Commission no later than four Business Days following the Closing Date (the time of such filing, “</w:t>
      </w:r>
      <w:r>
        <w:rPr>
          <w:rFonts w:ascii="Times New Roman" w:cs="Times New Roman" w:eastAsia="Times New Roman" w:hAnsi="Times New Roman"/>
          <w:sz w:val="18"/>
          <w:szCs w:val="18"/>
          <w:b w:val="1"/>
          <w:bCs w:val="1"/>
          <w:color w:val="auto"/>
        </w:rPr>
        <w:t>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Time</w:t>
      </w:r>
      <w:r>
        <w:rPr>
          <w:rFonts w:ascii="Times New Roman" w:cs="Times New Roman" w:eastAsia="Times New Roman" w:hAnsi="Times New Roman"/>
          <w:sz w:val="18"/>
          <w:szCs w:val="18"/>
          <w:color w:val="auto"/>
        </w:rPr>
        <w:t>”) and a form of this Subscription Agreement and the Series A Warrants will be filed with the Commission as exhibits thereto. From and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Time, the Company represents to the Subscriber that it shall have publicly disclosed all material, non-public information delivered to the Subscriber by the Company or any of its officers, directors, employees or agents in connection with the transactions contemplated by the Subscription Agreement. In addition, effective upon the Disclosure Time, the Company acknowledges and agrees that any and all confidentiality or similar obligations under any agreement entered into in connection with this Subscription Agreement or the Other Subscription Agreements, whether written or oral, between the Company or any of its officers, directors, agents, employees or affiliates on the one hand, and any Subscriber or any of its affiliates on the other hand, shall terminate. Notwithstanding anything to the contrary contained herein, the Company shall consult with the Subscriber before issuing any press release with respect to the transactions contemplated hereby that includes the name of the Subscriber or any Subscriber Affiliate, and the Company shall not issue any such press release, and shall not otherwise make any public statement (including without limitation any public filing) with respect to the transactions contemplated hereby or that that includes the name of the Subscriber or any Subscriber Affiliate, without the prior consent of the Subscriber.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Company and the Subscriber has executed or caused this Subscription Agreement to be executed by its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 as of the date set forth below.</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OF SUBSCRIBER FOLLOWS]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86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[SIGNATURE PAGE OF SUBSCRIBER]</w:t>
            </w:r>
          </w:p>
        </w:tc>
      </w:tr>
      <w:tr>
        <w:trPr>
          <w:trHeight w:val="432"/>
        </w:trPr>
        <w:tc>
          <w:tcPr>
            <w:tcW w:w="11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Accepted and agreed this _____ day of ________, 2025.</w:t>
            </w:r>
          </w:p>
        </w:tc>
      </w:tr>
      <w:tr>
        <w:trPr>
          <w:trHeight w:val="432"/>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SUBSCRIBER:</w:t>
            </w:r>
          </w:p>
        </w:tc>
        <w:tc>
          <w:tcPr>
            <w:tcW w:w="3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432"/>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Signature of Subscriber:</w:t>
            </w:r>
          </w:p>
        </w:tc>
        <w:tc>
          <w:tcPr>
            <w:tcW w:w="3140" w:type="dxa"/>
            <w:vAlign w:val="bottom"/>
          </w:tcPr>
          <w:p>
            <w:pPr>
              <w:spacing w:after="0"/>
              <w:rPr>
                <w:sz w:val="24"/>
                <w:szCs w:val="24"/>
                <w:color w:val="auto"/>
              </w:rPr>
            </w:pPr>
          </w:p>
        </w:tc>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[Signature of Joint Subscriber, if applicable]:</w:t>
            </w:r>
          </w:p>
        </w:tc>
      </w:tr>
      <w:tr>
        <w:trPr>
          <w:trHeight w:val="439"/>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p>
        </w:tc>
        <w:tc>
          <w:tcPr>
            <w:tcW w:w="3140" w:type="dxa"/>
            <w:vAlign w:val="bottom"/>
          </w:tcPr>
          <w:p>
            <w:pPr>
              <w:spacing w:after="0"/>
              <w:rPr>
                <w:sz w:val="24"/>
                <w:szCs w:val="24"/>
                <w:color w:val="auto"/>
              </w:rPr>
            </w:pPr>
          </w:p>
        </w:tc>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By:</w:t>
            </w:r>
          </w:p>
        </w:tc>
      </w:tr>
      <w:tr>
        <w:trPr>
          <w:trHeight w:val="198"/>
        </w:trPr>
        <w:tc>
          <w:tcPr>
            <w:tcW w:w="8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1580" w:type="dxa"/>
            <w:vAlign w:val="bottom"/>
            <w:tcBorders>
              <w:top w:val="single" w:sz="8" w:color="auto"/>
            </w:tcBorders>
          </w:tcPr>
          <w:p>
            <w:pPr>
              <w:spacing w:after="0"/>
              <w:rPr>
                <w:sz w:val="17"/>
                <w:szCs w:val="17"/>
                <w:color w:val="auto"/>
              </w:rPr>
            </w:pPr>
          </w:p>
        </w:tc>
        <w:tc>
          <w:tcPr>
            <w:tcW w:w="3140" w:type="dxa"/>
            <w:vAlign w:val="bottom"/>
            <w:tcBorders>
              <w:top w:val="single" w:sz="8" w:color="auto"/>
            </w:tcBorders>
          </w:tcPr>
          <w:p>
            <w:pPr>
              <w:spacing w:after="0"/>
              <w:rPr>
                <w:sz w:val="17"/>
                <w:szCs w:val="17"/>
                <w:color w:val="auto"/>
              </w:rPr>
            </w:pPr>
          </w:p>
        </w:tc>
        <w:tc>
          <w:tcPr>
            <w:tcW w:w="9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Borders>
              <w:top w:val="single" w:sz="8" w:color="auto"/>
            </w:tcBorders>
          </w:tcPr>
          <w:p>
            <w:pPr>
              <w:spacing w:after="0"/>
              <w:rPr>
                <w:sz w:val="17"/>
                <w:szCs w:val="17"/>
                <w:color w:val="auto"/>
              </w:rPr>
            </w:pPr>
          </w:p>
        </w:tc>
      </w:tr>
      <w:tr>
        <w:trPr>
          <w:trHeight w:val="234"/>
        </w:trPr>
        <w:tc>
          <w:tcPr>
            <w:tcW w:w="2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w:t>
            </w:r>
          </w:p>
        </w:tc>
        <w:tc>
          <w:tcPr>
            <w:tcW w:w="3140" w:type="dxa"/>
            <w:vAlign w:val="bottom"/>
          </w:tcPr>
          <w:p>
            <w:pPr>
              <w:spacing w:after="0"/>
              <w:rPr>
                <w:sz w:val="20"/>
                <w:szCs w:val="20"/>
                <w:color w:val="auto"/>
              </w:rPr>
            </w:pPr>
          </w:p>
        </w:tc>
        <w:tc>
          <w:tcPr>
            <w:tcW w:w="57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Title:</w:t>
            </w:r>
          </w:p>
        </w:tc>
      </w:tr>
      <w:tr>
        <w:trPr>
          <w:trHeight w:val="453"/>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w:t>
            </w:r>
          </w:p>
        </w:tc>
        <w:tc>
          <w:tcPr>
            <w:tcW w:w="1800" w:type="dxa"/>
            <w:vAlign w:val="bottom"/>
            <w:tcBorders>
              <w:bottom w:val="single" w:sz="8" w:color="auto"/>
            </w:tcBorders>
            <w:gridSpan w:val="2"/>
          </w:tcPr>
          <w:p>
            <w:pPr>
              <w:spacing w:after="0"/>
              <w:rPr>
                <w:sz w:val="24"/>
                <w:szCs w:val="24"/>
                <w:color w:val="auto"/>
              </w:rPr>
            </w:pPr>
          </w:p>
        </w:tc>
        <w:tc>
          <w:tcPr>
            <w:tcW w:w="3140" w:type="dxa"/>
            <w:vAlign w:val="bottom"/>
          </w:tcPr>
          <w:p>
            <w:pPr>
              <w:jc w:val="right"/>
              <w:ind w:right="2590"/>
              <w:spacing w:after="0"/>
              <w:rPr>
                <w:sz w:val="20"/>
                <w:szCs w:val="20"/>
                <w:color w:val="auto"/>
              </w:rPr>
            </w:pPr>
            <w:r>
              <w:rPr>
                <w:rFonts w:ascii="Times New Roman" w:cs="Times New Roman" w:eastAsia="Times New Roman" w:hAnsi="Times New Roman"/>
                <w:sz w:val="18"/>
                <w:szCs w:val="18"/>
                <w:color w:val="auto"/>
                <w:w w:val="97"/>
              </w:rPr>
              <w:t>, 2025</w:t>
            </w:r>
          </w:p>
        </w:tc>
        <w:tc>
          <w:tcPr>
            <w:tcW w:w="900" w:type="dxa"/>
            <w:vAlign w:val="bottom"/>
          </w:tcPr>
          <w:p>
            <w:pPr>
              <w:spacing w:after="0"/>
              <w:rPr>
                <w:sz w:val="24"/>
                <w:szCs w:val="24"/>
                <w:color w:val="auto"/>
              </w:rPr>
            </w:pPr>
          </w:p>
        </w:tc>
        <w:tc>
          <w:tcPr>
            <w:tcW w:w="4820" w:type="dxa"/>
            <w:vAlign w:val="bottom"/>
          </w:tcPr>
          <w:p>
            <w:pPr>
              <w:spacing w:after="0"/>
              <w:rPr>
                <w:sz w:val="24"/>
                <w:szCs w:val="24"/>
                <w:color w:val="auto"/>
              </w:rPr>
            </w:pPr>
          </w:p>
        </w:tc>
      </w:tr>
    </w:tbl>
    <w:p>
      <w:pPr>
        <w:spacing w:after="0" w:line="184"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Name of Subscriber: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Please indicate name and capacity of person signing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in which securities are to be registered (if different from the name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Subscriber listed directly above):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there are joint investors, please check one:</w:t>
      </w:r>
    </w:p>
    <w:p>
      <w:pPr>
        <w:spacing w:after="0" w:line="184"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Joint Tenants with Rights of Survivorship</w:t>
      </w:r>
    </w:p>
    <w:p>
      <w:pPr>
        <w:spacing w:after="0" w:line="225"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Tenants-in-Common</w:t>
      </w:r>
    </w:p>
    <w:p>
      <w:pPr>
        <w:spacing w:after="0" w:line="225"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Community Property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Subscriber’s 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26035</wp:posOffset>
            </wp:positionV>
            <wp:extent cx="199707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9707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Address-Street: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Name of Joint Subscriber, if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Please indicate name and capacity of person signing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Joint Subscriber’s 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1228090</wp:posOffset>
            </wp:positionH>
            <wp:positionV relativeFrom="paragraph">
              <wp:posOffset>26035</wp:posOffset>
            </wp:positionV>
            <wp:extent cx="1277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762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Mailing Address-Street (if different):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154305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200"/>
            <w:col w:w="5620"/>
          </w:cols>
          <w:pgMar w:left="320" w:top="121" w:right="339"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Zip: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26035</wp:posOffset>
            </wp:positionV>
            <wp:extent cx="21170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26035</wp:posOffset>
            </wp:positionV>
            <wp:extent cx="21170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1709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Electronic 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9133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Number of Common Shares subscribed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79133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Aggregate Purchase Price: The Common Stock Price multiplied by the aggregate number of Common Shares subscribed for.</w:t>
      </w:r>
    </w:p>
    <w:p>
      <w:pPr>
        <w:spacing w:after="0"/>
        <w:tabs>
          <w:tab w:leader="none" w:pos="28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9133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Zip: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26035</wp:posOffset>
            </wp:positionV>
            <wp:extent cx="212598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25980" cy="17145"/>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26035</wp:posOffset>
            </wp:positionV>
            <wp:extent cx="212598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25980" cy="17145"/>
                    </a:xfrm>
                    <a:prstGeom prst="rect">
                      <a:avLst/>
                    </a:prstGeom>
                    <a:noFill/>
                  </pic:spPr>
                </pic:pic>
              </a:graphicData>
            </a:graphic>
          </wp:anchor>
        </w:drawing>
      </w:r>
    </w:p>
    <w:p>
      <w:pPr>
        <w:spacing w:after="0" w:line="23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Electronic 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1579880</wp:posOffset>
            </wp:positionH>
            <wp:positionV relativeFrom="paragraph">
              <wp:posOffset>26035</wp:posOffset>
            </wp:positionV>
            <wp:extent cx="163703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3703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Aggregate Number of Warrant Shares underlying Series A Warrants subscribed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122555</wp:posOffset>
            </wp:positionV>
            <wp:extent cx="170561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1275" w:lineRule="exact"/>
        <w:rPr>
          <w:sz w:val="20"/>
          <w:szCs w:val="20"/>
          <w:color w:val="auto"/>
        </w:rPr>
      </w:pPr>
    </w:p>
    <w:p>
      <w:pPr>
        <w:sectPr>
          <w:pgSz w:w="11900" w:h="16838" w:orient="portrait"/>
          <w:cols w:equalWidth="0" w:num="2">
            <w:col w:w="5100" w:space="520"/>
            <w:col w:w="5620"/>
          </w:cols>
          <w:pgMar w:left="320" w:top="121"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In this section, “</w:t>
      </w:r>
      <w:r>
        <w:rPr>
          <w:rFonts w:ascii="Times New Roman" w:cs="Times New Roman" w:eastAsia="Times New Roman" w:hAnsi="Times New Roman"/>
          <w:sz w:val="18"/>
          <w:szCs w:val="18"/>
          <w:b w:val="1"/>
          <w:bCs w:val="1"/>
          <w:i w:val="1"/>
          <w:iCs w:val="1"/>
          <w:color w:val="auto"/>
        </w:rPr>
        <w:t>Common Stock Price</w:t>
      </w:r>
      <w:r>
        <w:rPr>
          <w:rFonts w:ascii="Times New Roman" w:cs="Times New Roman" w:eastAsia="Times New Roman" w:hAnsi="Times New Roman"/>
          <w:sz w:val="18"/>
          <w:szCs w:val="18"/>
          <w:color w:val="auto"/>
        </w:rPr>
        <w:t>” means $6.00.</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Innventure, Inc. (the "Company") shall have no obligation to execute or deliver any final Subscription Agreement and reserves all rights to terminate any negotiation with respect to the Subscription Agreement if, in the Company's sole discretion, the Company decides to not proceed with the offering of the securities.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All signatures will be held in escrow and will not be deemed released--and therefore the Subscription Agreement will not be deemed signed by the Company--until the Company's release of its signature page is expressly confirmed, via electronic mail, by Suzanne Niemeyer, the Company's General Counsel.</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Subscriber must pay the Aggregate Purchase Price by wire transfer of U.S. dollars in immediately available funds to the account specified by the Company in Schedule B.</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 REPRESENTATIONS OF SUBSCRIBER</w:t>
      </w:r>
    </w:p>
    <w:p>
      <w:pPr>
        <w:spacing w:after="0" w:line="207" w:lineRule="exact"/>
        <w:rPr>
          <w:sz w:val="20"/>
          <w:szCs w:val="20"/>
          <w:color w:val="auto"/>
        </w:rPr>
      </w:pPr>
    </w:p>
    <w:p>
      <w:pPr>
        <w:ind w:left="20" w:right="7020"/>
        <w:spacing w:after="0" w:line="477" w:lineRule="auto"/>
        <w:tabs>
          <w:tab w:leader="none" w:pos="51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INSTITUTIONAL BUYER STATUS (Please check the applicable subparagraphs):</w:t>
      </w:r>
    </w:p>
    <w:p>
      <w:pPr>
        <w:ind w:left="1140" w:hanging="484"/>
        <w:spacing w:after="0" w:line="245" w:lineRule="exact"/>
        <w:tabs>
          <w:tab w:leader="none" w:pos="1140" w:val="left"/>
        </w:tabs>
        <w:numPr>
          <w:ilvl w:val="1"/>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a “qualified institutional buyer” (as defined in Rule 144A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1140" w:hanging="484"/>
        <w:spacing w:after="0" w:line="207" w:lineRule="exact"/>
        <w:tabs>
          <w:tab w:leader="none" w:pos="1140" w:val="left"/>
        </w:tabs>
        <w:numPr>
          <w:ilvl w:val="1"/>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subscribing for the Securities as a fiduciary or agent for one or more investor accounts, and each owner of such account is a QIB.</w:t>
      </w:r>
    </w:p>
    <w:p>
      <w:pPr>
        <w:spacing w:after="0" w:line="26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OR ***</w:t>
      </w:r>
    </w:p>
    <w:p>
      <w:pPr>
        <w:spacing w:after="0" w:line="225" w:lineRule="exact"/>
        <w:rPr>
          <w:rFonts w:ascii="Times New Roman" w:cs="Times New Roman" w:eastAsia="Times New Roman" w:hAnsi="Times New Roman"/>
          <w:sz w:val="18"/>
          <w:szCs w:val="18"/>
          <w:color w:val="auto"/>
        </w:rPr>
      </w:pPr>
    </w:p>
    <w:p>
      <w:pPr>
        <w:ind w:left="500" w:hanging="480"/>
        <w:spacing w:after="0"/>
        <w:tabs>
          <w:tab w:leader="none" w:pos="5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ACCREDITED INVESTOR STATUS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(Please check the applicable subparagraphs):</w:t>
      </w:r>
    </w:p>
    <w:p>
      <w:pPr>
        <w:spacing w:after="0" w:line="184" w:lineRule="exact"/>
        <w:rPr>
          <w:sz w:val="20"/>
          <w:szCs w:val="20"/>
          <w:color w:val="auto"/>
        </w:rPr>
      </w:pPr>
    </w:p>
    <w:p>
      <w:pPr>
        <w:jc w:val="both"/>
        <w:ind w:left="1140" w:hanging="484"/>
        <w:spacing w:after="0" w:line="236" w:lineRule="exact"/>
        <w:tabs>
          <w:tab w:leader="none" w:pos="1140" w:val="left"/>
        </w:tabs>
        <w:numPr>
          <w:ilvl w:val="1"/>
          <w:numId w:val="2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spacing w:after="0" w:line="157" w:lineRule="exact"/>
        <w:rPr>
          <w:rFonts w:ascii="Times New Roman" w:cs="Times New Roman" w:eastAsia="Times New Roman" w:hAnsi="Times New Roman"/>
          <w:sz w:val="18"/>
          <w:szCs w:val="18"/>
          <w:color w:val="auto"/>
        </w:rPr>
      </w:pPr>
    </w:p>
    <w:p>
      <w:pPr>
        <w:ind w:left="1140" w:hanging="484"/>
        <w:spacing w:after="0" w:line="207" w:lineRule="exact"/>
        <w:tabs>
          <w:tab w:leader="none" w:pos="1140" w:val="left"/>
        </w:tabs>
        <w:numPr>
          <w:ilvl w:val="1"/>
          <w:numId w:val="2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We are not a natural person.</w:t>
      </w:r>
    </w:p>
    <w:p>
      <w:pPr>
        <w:spacing w:after="0" w:line="26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w:t>
      </w:r>
    </w:p>
    <w:p>
      <w:pPr>
        <w:spacing w:after="0" w:line="225" w:lineRule="exact"/>
        <w:rPr>
          <w:sz w:val="20"/>
          <w:szCs w:val="20"/>
          <w:color w:val="auto"/>
        </w:rPr>
      </w:pPr>
    </w:p>
    <w:p>
      <w:pPr>
        <w:ind w:left="500" w:hanging="480"/>
        <w:spacing w:after="0"/>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STATUS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(Please check the applicable box) SUBSCRIBER:</w:t>
      </w:r>
    </w:p>
    <w:p>
      <w:pPr>
        <w:spacing w:after="0" w:line="225" w:lineRule="exact"/>
        <w:rPr>
          <w:sz w:val="20"/>
          <w:szCs w:val="20"/>
          <w:color w:val="auto"/>
        </w:rPr>
      </w:pPr>
    </w:p>
    <w:p>
      <w:pPr>
        <w:ind w:left="1140" w:hanging="484"/>
        <w:spacing w:after="0"/>
        <w:tabs>
          <w:tab w:leader="none" w:pos="1140" w:val="left"/>
        </w:tabs>
        <w:numPr>
          <w:ilvl w:val="0"/>
          <w:numId w:val="3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w:t>
      </w:r>
    </w:p>
    <w:p>
      <w:pPr>
        <w:spacing w:after="0" w:line="225" w:lineRule="exact"/>
        <w:rPr>
          <w:rFonts w:ascii="MS PGothic" w:cs="MS PGothic" w:eastAsia="MS PGothic" w:hAnsi="MS PGothic"/>
          <w:sz w:val="18"/>
          <w:szCs w:val="18"/>
          <w:color w:val="auto"/>
        </w:rPr>
      </w:pPr>
    </w:p>
    <w:p>
      <w:pPr>
        <w:ind w:left="1140" w:hanging="484"/>
        <w:spacing w:after="0"/>
        <w:tabs>
          <w:tab w:leader="none" w:pos="1140" w:val="left"/>
        </w:tabs>
        <w:numPr>
          <w:ilvl w:val="0"/>
          <w:numId w:val="3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 not:</w:t>
      </w:r>
    </w:p>
    <w:p>
      <w:pPr>
        <w:spacing w:after="0" w:line="225" w:lineRule="exact"/>
        <w:rPr>
          <w:rFonts w:ascii="MS PGothic" w:cs="MS PGothic" w:eastAsia="MS PGothic" w:hAnsi="MS PGothic"/>
          <w:sz w:val="18"/>
          <w:szCs w:val="18"/>
          <w:color w:val="auto"/>
        </w:rPr>
      </w:pPr>
    </w:p>
    <w:p>
      <w:pPr>
        <w:ind w:left="11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 “affiliate” (as defined in Rule 144 under the Securities Act) of the Company or acting on behalf of an affiliate of the Company.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This page should be completed by Subscriber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and constitutes a part of the Subscription Agreement.</w:t>
      </w:r>
    </w:p>
    <w:p>
      <w:pPr>
        <w:spacing w:after="0" w:line="207"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which apply to Subscriber and under which Subscriber accordingly qualifies as an “accredited investor.”</w:t>
      </w:r>
    </w:p>
    <w:p>
      <w:pPr>
        <w:spacing w:after="0" w:line="180" w:lineRule="exact"/>
        <w:rPr>
          <w:sz w:val="20"/>
          <w:szCs w:val="20"/>
          <w:color w:val="auto"/>
        </w:rPr>
      </w:pPr>
    </w:p>
    <w:p>
      <w:pPr>
        <w:jc w:val="both"/>
        <w:ind w:left="1140" w:hanging="484"/>
        <w:spacing w:after="0" w:line="255" w:lineRule="auto"/>
        <w:tabs>
          <w:tab w:leader="none" w:pos="1140" w:val="left"/>
        </w:tabs>
        <w:numPr>
          <w:ilvl w:val="0"/>
          <w:numId w:val="3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bank, registered broker or dealer, registered or exempt investment adviser, insurance company, registered investment company, business development company, small business investment company or rural business investment company; any plan established and maintained by a state, its political subdivisions, or any agency or instrumentality of a state or its political subdivisions, for the benefit of its employees, if such plan has total assets in excess of $5,000,000; any employee benefit plan within the meaning of the Employee Retirement Income Security Act of 1974 if the investment decision is made by a plan fiduciary, which is either a bank, savings and loan association, insurance company, or registered investment adviser, or if the employee benefit plan has total assets in excess of $5,000,000 or, if a self-directed plan, with investment decisions made solely by persons that are accredited investors;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jc w:val="both"/>
        <w:ind w:left="484" w:hanging="484"/>
        <w:spacing w:after="0" w:line="261" w:lineRule="auto"/>
        <w:tabs>
          <w:tab w:leader="none" w:pos="484" w:val="left"/>
        </w:tabs>
        <w:numPr>
          <w:ilvl w:val="0"/>
          <w:numId w:val="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“family office,” as defined in Section 202(a)(11)(G)-1 under the Investment Advisers Act of 1940 that is not formed for the specific purpose of acquiring the securities offered, and whose prospective investment is directed by a person who has such knowledge and experience in financial and business matters that such family office is capable of evaluating the merits and risks of the prospective investment;</w:t>
      </w:r>
    </w:p>
    <w:p>
      <w:pPr>
        <w:spacing w:after="0" w:line="179" w:lineRule="exact"/>
        <w:rPr>
          <w:rFonts w:ascii="MS PGothic" w:cs="MS PGothic" w:eastAsia="MS PGothic" w:hAnsi="MS PGothic"/>
          <w:sz w:val="18"/>
          <w:szCs w:val="18"/>
          <w:color w:val="auto"/>
        </w:rPr>
      </w:pPr>
    </w:p>
    <w:p>
      <w:pPr>
        <w:ind w:left="484" w:right="20" w:hanging="484"/>
        <w:spacing w:after="0" w:line="282" w:lineRule="auto"/>
        <w:tabs>
          <w:tab w:leader="none" w:pos="484" w:val="left"/>
        </w:tabs>
        <w:numPr>
          <w:ilvl w:val="0"/>
          <w:numId w:val="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“family client,” as defined in Section 202(a)(11)(G)-1 under the Investment Advisers Act of 1940, of a family office meeting the requirements in the paragraph above and whose prospective investment in the Company is directed by such family office;</w:t>
      </w:r>
    </w:p>
    <w:p>
      <w:pPr>
        <w:spacing w:after="0" w:line="161" w:lineRule="exact"/>
        <w:rPr>
          <w:rFonts w:ascii="MS PGothic" w:cs="MS PGothic" w:eastAsia="MS PGothic" w:hAnsi="MS PGothic"/>
          <w:sz w:val="18"/>
          <w:szCs w:val="18"/>
          <w:color w:val="auto"/>
        </w:rPr>
      </w:pPr>
    </w:p>
    <w:p>
      <w:pPr>
        <w:ind w:left="484" w:hanging="484"/>
        <w:spacing w:after="0"/>
        <w:tabs>
          <w:tab w:leader="none" w:pos="484" w:val="left"/>
        </w:tabs>
        <w:numPr>
          <w:ilvl w:val="0"/>
          <w:numId w:val="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private business development company as defined in Section 202(a)(22) of the Investment Advisers Act of 1940;</w:t>
      </w:r>
    </w:p>
    <w:p>
      <w:pPr>
        <w:spacing w:after="0" w:line="225" w:lineRule="exact"/>
        <w:rPr>
          <w:rFonts w:ascii="MS PGothic" w:cs="MS PGothic" w:eastAsia="MS PGothic" w:hAnsi="MS PGothic"/>
          <w:sz w:val="18"/>
          <w:szCs w:val="18"/>
          <w:color w:val="auto"/>
        </w:rPr>
      </w:pPr>
    </w:p>
    <w:p>
      <w:pPr>
        <w:ind w:left="484" w:hanging="484"/>
        <w:spacing w:after="0" w:line="282" w:lineRule="auto"/>
        <w:tabs>
          <w:tab w:leader="none" w:pos="484" w:val="left"/>
        </w:tabs>
        <w:numPr>
          <w:ilvl w:val="0"/>
          <w:numId w:val="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organization described in Section 501(c)(3) of the Internal Revenue Code, corporation, Massachusetts or similar business trust, or partnership, not formed for the specific purpose of acquiring the securities offered, with total assets in excess of $5,000,000;</w:t>
      </w:r>
    </w:p>
    <w:p>
      <w:pPr>
        <w:spacing w:after="0" w:line="161" w:lineRule="exact"/>
        <w:rPr>
          <w:rFonts w:ascii="MS PGothic" w:cs="MS PGothic" w:eastAsia="MS PGothic" w:hAnsi="MS PGothic"/>
          <w:sz w:val="18"/>
          <w:szCs w:val="18"/>
          <w:color w:val="auto"/>
        </w:rPr>
      </w:pPr>
    </w:p>
    <w:p>
      <w:pPr>
        <w:ind w:left="484" w:right="20" w:hanging="484"/>
        <w:spacing w:after="0" w:line="282" w:lineRule="auto"/>
        <w:tabs>
          <w:tab w:leader="none" w:pos="484" w:val="left"/>
        </w:tabs>
        <w:numPr>
          <w:ilvl w:val="0"/>
          <w:numId w:val="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director, executive officer, or general partner of the issuer of the securities being offered or sold, or any director, executive officer, or general partner of a general partner of that issuer;</w:t>
      </w:r>
    </w:p>
    <w:p>
      <w:pPr>
        <w:spacing w:after="0" w:line="161" w:lineRule="exact"/>
        <w:rPr>
          <w:rFonts w:ascii="MS PGothic" w:cs="MS PGothic" w:eastAsia="MS PGothic" w:hAnsi="MS PGothic"/>
          <w:sz w:val="18"/>
          <w:szCs w:val="18"/>
          <w:color w:val="auto"/>
        </w:rPr>
      </w:pPr>
    </w:p>
    <w:p>
      <w:pPr>
        <w:jc w:val="both"/>
        <w:ind w:left="484" w:hanging="484"/>
        <w:spacing w:after="0" w:line="255" w:lineRule="auto"/>
        <w:tabs>
          <w:tab w:leader="none" w:pos="484" w:val="left"/>
        </w:tabs>
        <w:numPr>
          <w:ilvl w:val="0"/>
          <w:numId w:val="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whose individual net worth, or joint net worth with that person’s spouse or spousal equivalent, exceeds $1,000,000. For purposes of calculating a natural person’s net worth: (i) the person’s primary residence shall not be included as an asset; (ii) indebtedness that is secured by the person’s primary residence, up to the estimated fair market value of the primary residence at the time of the sale of securities, shall not be included as a liability (except that if the amount of such indebtedness outstanding at the time of sale of securities exceeds the amount outstanding 60 days before such time, other than as a result of the acquisition of the primary residence, the amount of such excess shall be included as a liability); and (iii) indebtedness that is secured by the person’s primary residence in excess of the estimated fair market value of the primary residence at the time of the sale of securities shall be included as a liability;</w:t>
      </w:r>
    </w:p>
    <w:p>
      <w:pPr>
        <w:spacing w:after="0" w:line="188" w:lineRule="exact"/>
        <w:rPr>
          <w:rFonts w:ascii="MS PGothic" w:cs="MS PGothic" w:eastAsia="MS PGothic" w:hAnsi="MS PGothic"/>
          <w:sz w:val="18"/>
          <w:szCs w:val="18"/>
          <w:color w:val="auto"/>
        </w:rPr>
      </w:pPr>
    </w:p>
    <w:p>
      <w:pPr>
        <w:jc w:val="both"/>
        <w:ind w:left="484" w:hanging="484"/>
        <w:spacing w:after="0" w:line="266" w:lineRule="auto"/>
        <w:tabs>
          <w:tab w:leader="none" w:pos="484" w:val="left"/>
        </w:tabs>
        <w:numPr>
          <w:ilvl w:val="0"/>
          <w:numId w:val="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 had an individual income in excess of $200,000 in each of the two most recent years or joint income with that person’s spouse or spousal equivalent in excess of $300,000 in each of those years and has a reasonable expectation of reaching the same income level in the current year;</w:t>
      </w:r>
    </w:p>
    <w:p>
      <w:pPr>
        <w:spacing w:after="0" w:line="175" w:lineRule="exact"/>
        <w:rPr>
          <w:rFonts w:ascii="MS PGothic" w:cs="MS PGothic" w:eastAsia="MS PGothic" w:hAnsi="MS PGothic"/>
          <w:sz w:val="18"/>
          <w:szCs w:val="18"/>
          <w:color w:val="auto"/>
        </w:rPr>
      </w:pPr>
    </w:p>
    <w:p>
      <w:pPr>
        <w:jc w:val="both"/>
        <w:ind w:left="484" w:hanging="484"/>
        <w:spacing w:after="0" w:line="282" w:lineRule="auto"/>
        <w:tabs>
          <w:tab w:leader="none" w:pos="484" w:val="left"/>
        </w:tabs>
        <w:numPr>
          <w:ilvl w:val="0"/>
          <w:numId w:val="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 holds, in good standing, one of the following professional licenses: the General Securities Representative license (Series 7), the Private Securities Offerings Representative license (Series 82), or the Investment Adviser Representative license (Series 65);</w:t>
      </w:r>
    </w:p>
    <w:p>
      <w:pPr>
        <w:spacing w:after="0" w:line="161" w:lineRule="exact"/>
        <w:rPr>
          <w:rFonts w:ascii="MS PGothic" w:cs="MS PGothic" w:eastAsia="MS PGothic" w:hAnsi="MS PGothic"/>
          <w:sz w:val="18"/>
          <w:szCs w:val="18"/>
          <w:color w:val="auto"/>
        </w:rPr>
      </w:pPr>
    </w:p>
    <w:p>
      <w:pPr>
        <w:ind w:left="484" w:hanging="484"/>
        <w:spacing w:after="0" w:line="282" w:lineRule="auto"/>
        <w:tabs>
          <w:tab w:leader="none" w:pos="484" w:val="left"/>
        </w:tabs>
        <w:numPr>
          <w:ilvl w:val="0"/>
          <w:numId w:val="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natural person who is a “knowledgeable employee,” as defined in Rule 3c-5(a)(4) under the Investment Company Act of 1940, of the Company;</w:t>
      </w:r>
    </w:p>
    <w:p>
      <w:pPr>
        <w:spacing w:after="0" w:line="161" w:lineRule="exact"/>
        <w:rPr>
          <w:rFonts w:ascii="MS PGothic" w:cs="MS PGothic" w:eastAsia="MS PGothic" w:hAnsi="MS PGothic"/>
          <w:sz w:val="18"/>
          <w:szCs w:val="18"/>
          <w:color w:val="auto"/>
        </w:rPr>
      </w:pPr>
    </w:p>
    <w:p>
      <w:pPr>
        <w:ind w:left="484" w:hanging="484"/>
        <w:spacing w:after="0" w:line="282" w:lineRule="auto"/>
        <w:tabs>
          <w:tab w:leader="none" w:pos="484" w:val="left"/>
        </w:tabs>
        <w:numPr>
          <w:ilvl w:val="0"/>
          <w:numId w:val="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trust, with total assets in excess of $5,000,000, not formed for the specific purpose of acquiring the securities offered, whose purchase is directed by a sophisticated person;</w:t>
      </w:r>
    </w:p>
    <w:p>
      <w:pPr>
        <w:spacing w:after="0" w:line="161" w:lineRule="exact"/>
        <w:rPr>
          <w:rFonts w:ascii="MS PGothic" w:cs="MS PGothic" w:eastAsia="MS PGothic" w:hAnsi="MS PGothic"/>
          <w:sz w:val="18"/>
          <w:szCs w:val="18"/>
          <w:color w:val="auto"/>
        </w:rPr>
      </w:pPr>
    </w:p>
    <w:p>
      <w:pPr>
        <w:ind w:left="484" w:hanging="484"/>
        <w:spacing w:after="0"/>
        <w:tabs>
          <w:tab w:leader="none" w:pos="484" w:val="left"/>
        </w:tabs>
        <w:numPr>
          <w:ilvl w:val="0"/>
          <w:numId w:val="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in which all of the equity owners are accredited investors meeting one or more of the above tests;</w:t>
      </w:r>
    </w:p>
    <w:p>
      <w:pPr>
        <w:spacing w:after="0" w:line="396"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46" w:name="page47"/>
    <w:bookmarkEnd w:id="46"/>
    <w:p>
      <w:pPr>
        <w:ind w:left="484" w:hanging="484"/>
        <w:spacing w:after="0"/>
        <w:tabs>
          <w:tab w:leader="none" w:pos="484" w:val="left"/>
        </w:tabs>
        <w:numPr>
          <w:ilvl w:val="0"/>
          <w:numId w:val="3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bank, as defined in Section 3(a)(2) of the Securities Act or any savings and loan association or other institution as defined in Section 3(a)</w:t>
      </w:r>
    </w:p>
    <w:p>
      <w:pPr>
        <w:spacing w:after="0" w:line="29" w:lineRule="exact"/>
        <w:rPr>
          <w:rFonts w:ascii="MS PGothic" w:cs="MS PGothic" w:eastAsia="MS PGothic" w:hAnsi="MS PGothic"/>
          <w:sz w:val="18"/>
          <w:szCs w:val="18"/>
          <w:color w:val="auto"/>
        </w:rPr>
      </w:pPr>
    </w:p>
    <w:p>
      <w:pPr>
        <w:ind w:left="484"/>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(5)(A) of the Securities Act, whether acting in an individual or a fiduciary capacity; and</w:t>
      </w:r>
    </w:p>
    <w:p>
      <w:pPr>
        <w:spacing w:after="0" w:line="205" w:lineRule="exact"/>
        <w:rPr>
          <w:rFonts w:ascii="MS PGothic" w:cs="MS PGothic" w:eastAsia="MS PGothic" w:hAnsi="MS PGothic"/>
          <w:sz w:val="18"/>
          <w:szCs w:val="18"/>
          <w:color w:val="auto"/>
        </w:rPr>
      </w:pPr>
    </w:p>
    <w:p>
      <w:pPr>
        <w:ind w:left="484" w:right="540" w:hanging="484"/>
        <w:spacing w:after="0" w:line="282" w:lineRule="auto"/>
        <w:tabs>
          <w:tab w:leader="none" w:pos="484" w:val="left"/>
        </w:tabs>
        <w:numPr>
          <w:ilvl w:val="0"/>
          <w:numId w:val="3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Any entity, of a type not listed in paragraphs (1), (4), (5), (11), or (12), not formed for the specific purpose of acquiring the securities offered, owning investments in excess of $5,000,000.</w:t>
      </w:r>
    </w:p>
    <w:p>
      <w:pPr>
        <w:spacing w:after="0" w:line="333" w:lineRule="exact"/>
        <w:rPr>
          <w:sz w:val="20"/>
          <w:szCs w:val="20"/>
          <w:color w:val="auto"/>
        </w:rPr>
      </w:pPr>
    </w:p>
    <w:p>
      <w:pPr>
        <w:ind w:left="4904"/>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(To assign the foregoing Series A Warrant, execute this form and supply required information. Do not use this form to purchase shares.)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foregoing Series A Warrant and all rights evidenced thereby are hereby assigned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(Please Print)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457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4579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22860</wp:posOffset>
            </wp:positionV>
            <wp:extent cx="31457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145790" cy="17145"/>
                    </a:xfrm>
                    <a:prstGeom prst="rect">
                      <a:avLst/>
                    </a:prstGeom>
                    <a:noFill/>
                  </pic:spPr>
                </pic:pic>
              </a:graphicData>
            </a:graphic>
          </wp:anchor>
        </w:drawing>
      </w:r>
    </w:p>
    <w:p>
      <w:pPr>
        <w:spacing w:after="0" w:line="241" w:lineRule="exact"/>
        <w:rPr>
          <w:sz w:val="20"/>
          <w:szCs w:val="20"/>
          <w:color w:val="auto"/>
        </w:rPr>
      </w:pPr>
    </w:p>
    <w:p>
      <w:pPr>
        <w:spacing w:after="0"/>
        <w:tabs>
          <w:tab w:leader="none" w:pos="260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178308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8890</wp:posOffset>
            </wp:positionV>
            <wp:extent cx="285432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8890</wp:posOffset>
            </wp:positionV>
            <wp:extent cx="285432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lowerLetter"/>
      <w:start w:val="4"/>
    </w:lvl>
  </w:abstractNum>
  <w:abstractNum w:abstractNumId="2">
    <w:nsid w:val="3F2DBA31"/>
    <w:multiLevelType w:val="hybridMultilevel"/>
    <w:lvl w:ilvl="0">
      <w:lvlJc w:val="left"/>
      <w:lvlText w:val="(%1)"/>
      <w:numFmt w:val="upperLetter"/>
      <w:start w:val="4"/>
    </w:lvl>
  </w:abstractNum>
  <w:abstractNum w:abstractNumId="3">
    <w:nsid w:val="7C83E458"/>
    <w:multiLevelType w:val="hybridMultilevel"/>
    <w:lvl w:ilvl="0">
      <w:lvlJc w:val="left"/>
      <w:lvlText w:val="(%1)"/>
      <w:numFmt w:val="upperLetter"/>
      <w:start w:val="1"/>
    </w:lvl>
  </w:abstractNum>
  <w:abstractNum w:abstractNumId="4">
    <w:nsid w:val="257130A3"/>
    <w:multiLevelType w:val="hybridMultilevel"/>
    <w:lvl w:ilvl="0">
      <w:lvlJc w:val="left"/>
      <w:lvlText w:val="(%1)"/>
      <w:numFmt w:val="upperLetter"/>
      <w:start w:val="3"/>
    </w:lvl>
  </w:abstractNum>
  <w:abstractNum w:abstractNumId="5">
    <w:nsid w:val="62BBD95A"/>
    <w:multiLevelType w:val="hybridMultilevel"/>
    <w:lvl w:ilvl="0">
      <w:lvlJc w:val="left"/>
      <w:lvlText w:val="%1:"/>
      <w:numFmt w:val="upperLetter"/>
      <w:start w:val="29"/>
    </w:lvl>
    <w:lvl w:ilvl="1">
      <w:lvlJc w:val="left"/>
      <w:lvlText w:val="(%2)"/>
      <w:numFmt w:val="decimal"/>
      <w:start w:val="1"/>
    </w:lvl>
    <w:lvl w:ilvl="2">
      <w:lvlJc w:val="left"/>
      <w:lvlText w:val="☐"/>
      <w:numFmt w:val="bullet"/>
      <w:start w:val="1"/>
    </w:lvl>
  </w:abstractNum>
  <w:abstractNum w:abstractNumId="6">
    <w:nsid w:val="436C6125"/>
    <w:multiLevelType w:val="hybridMultilevel"/>
    <w:lvl w:ilvl="0">
      <w:lvlJc w:val="left"/>
      <w:lvlText w:val="(%1)"/>
      <w:numFmt w:val="decimal"/>
      <w:start w:val="4"/>
    </w:lvl>
  </w:abstractNum>
  <w:abstractNum w:abstractNumId="7">
    <w:nsid w:val="628C895D"/>
    <w:multiLevelType w:val="hybridMultilevel"/>
    <w:lvl w:ilvl="0">
      <w:lvlJc w:val="left"/>
      <w:lvlText w:val="%1."/>
      <w:numFmt w:val="decimal"/>
      <w:start w:val="1"/>
    </w:lvl>
  </w:abstractNum>
  <w:abstractNum w:abstractNumId="8">
    <w:nsid w:val="333AB105"/>
    <w:multiLevelType w:val="hybridMultilevel"/>
    <w:lvl w:ilvl="0">
      <w:lvlJc w:val="left"/>
      <w:lvlText w:val="(%1)"/>
      <w:numFmt w:val="lowerLetter"/>
      <w:start w:val="1"/>
    </w:lvl>
  </w:abstractNum>
  <w:abstractNum w:abstractNumId="9">
    <w:nsid w:val="721DA317"/>
    <w:multiLevelType w:val="hybridMultilevel"/>
    <w:lvl w:ilvl="0">
      <w:lvlJc w:val="left"/>
      <w:lvlText w:val="(%1)"/>
      <w:numFmt w:val="lowerLetter"/>
      <w:start w:val="3"/>
    </w:lvl>
  </w:abstractNum>
  <w:abstractNum w:abstractNumId="10">
    <w:nsid w:val="2443A858"/>
    <w:multiLevelType w:val="hybridMultilevel"/>
    <w:lvl w:ilvl="0">
      <w:lvlJc w:val="left"/>
      <w:lvlText w:val="%1."/>
      <w:numFmt w:val="decimal"/>
      <w:start w:val="3"/>
    </w:lvl>
  </w:abstractNum>
  <w:abstractNum w:abstractNumId="11">
    <w:nsid w:val="2D1D5AE9"/>
    <w:multiLevelType w:val="hybridMultilevel"/>
    <w:lvl w:ilvl="0">
      <w:lvlJc w:val="left"/>
      <w:lvlText w:val="(%1)"/>
      <w:numFmt w:val="lowerRoman"/>
      <w:start w:val="1"/>
    </w:lvl>
  </w:abstractNum>
  <w:abstractNum w:abstractNumId="12">
    <w:nsid w:val="6763845E"/>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4"/>
    </w:lvl>
  </w:abstractNum>
  <w:abstractNum w:abstractNumId="13">
    <w:nsid w:val="75A2A8D4"/>
    <w:multiLevelType w:val="hybridMultilevel"/>
    <w:lvl w:ilvl="0">
      <w:lvlJc w:val="left"/>
      <w:lvlText w:val="(%1)"/>
      <w:numFmt w:val="lowerRoman"/>
      <w:start w:val="1"/>
    </w:lvl>
  </w:abstractNum>
  <w:abstractNum w:abstractNumId="14">
    <w:nsid w:val="8EDBDAB"/>
    <w:multiLevelType w:val="hybridMultilevel"/>
    <w:lvl w:ilvl="0">
      <w:lvlJc w:val="left"/>
      <w:lvlText w:val="(%1)"/>
      <w:numFmt w:val="lowerRoman"/>
      <w:start w:val="3"/>
    </w:lvl>
  </w:abstractNum>
  <w:abstractNum w:abstractNumId="15">
    <w:nsid w:val="79838CB2"/>
    <w:multiLevelType w:val="hybridMultilevel"/>
    <w:lvl w:ilvl="0">
      <w:lvlJc w:val="left"/>
      <w:lvlText w:val="(%1)"/>
      <w:numFmt w:val="lowerRoman"/>
      <w:start w:val="1"/>
    </w:lvl>
  </w:abstractNum>
  <w:abstractNum w:abstractNumId="16">
    <w:nsid w:val="4353D0CD"/>
    <w:multiLevelType w:val="hybridMultilevel"/>
    <w:lvl w:ilvl="0">
      <w:lvlJc w:val="left"/>
      <w:lvlText w:val="%1"/>
      <w:numFmt w:val="decimal"/>
      <w:start w:val="1"/>
    </w:lvl>
    <w:lvl w:ilvl="1">
      <w:lvlJc w:val="left"/>
      <w:lvlText w:val="(%2)"/>
      <w:numFmt w:val="lowerRoman"/>
      <w:start w:val="2"/>
    </w:lvl>
  </w:abstractNum>
  <w:abstractNum w:abstractNumId="17">
    <w:nsid w:val="B03E0C6"/>
    <w:multiLevelType w:val="hybridMultilevel"/>
    <w:lvl w:ilvl="0">
      <w:lvlJc w:val="left"/>
      <w:lvlText w:val="%1."/>
      <w:numFmt w:val="decimal"/>
      <w:start w:val="4"/>
    </w:lvl>
    <w:lvl w:ilvl="1">
      <w:lvlJc w:val="left"/>
      <w:lvlText w:val="%2"/>
      <w:numFmt w:val="lowerRoman"/>
      <w:start w:val="1"/>
    </w:lvl>
  </w:abstractNum>
  <w:abstractNum w:abstractNumId="18">
    <w:nsid w:val="189A769B"/>
    <w:multiLevelType w:val="hybridMultilevel"/>
    <w:lvl w:ilvl="0">
      <w:lvlJc w:val="left"/>
      <w:lvlText w:val="%1."/>
      <w:numFmt w:val="decimal"/>
      <w:start w:val="5"/>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6"/>
    </w:lvl>
  </w:abstractNum>
  <w:abstractNum w:abstractNumId="21">
    <w:nsid w:val="2CA88611"/>
    <w:multiLevelType w:val="hybridMultilevel"/>
    <w:lvl w:ilvl="0">
      <w:lvlJc w:val="left"/>
      <w:lvlText w:val="(%1)"/>
      <w:numFmt w:val="lowerRoman"/>
      <w:start w:val="1"/>
    </w:lvl>
  </w:abstractNum>
  <w:abstractNum w:abstractNumId="22">
    <w:nsid w:val="836C40E"/>
    <w:multiLevelType w:val="hybridMultilevel"/>
    <w:lvl w:ilvl="0">
      <w:lvlJc w:val="left"/>
      <w:lvlText w:val="(%1)"/>
      <w:numFmt w:val="lowerRoman"/>
      <w:start w:val="2"/>
    </w:lvl>
  </w:abstractNum>
  <w:abstractNum w:abstractNumId="23">
    <w:nsid w:val="2901D82"/>
    <w:multiLevelType w:val="hybridMultilevel"/>
    <w:lvl w:ilvl="0">
      <w:lvlJc w:val="left"/>
      <w:lvlText w:val="%1."/>
      <w:numFmt w:val="decimal"/>
      <w:start w:val="8"/>
    </w:lvl>
  </w:abstractNum>
  <w:abstractNum w:abstractNumId="24">
    <w:nsid w:val="3A95F874"/>
    <w:multiLevelType w:val="hybridMultilevel"/>
    <w:lvl w:ilvl="0">
      <w:lvlJc w:val="left"/>
      <w:lvlText w:val="(%1)"/>
      <w:numFmt w:val="lowerRoman"/>
      <w:start w:val="1"/>
    </w:lvl>
    <w:lvl w:ilvl="1">
      <w:lvlJc w:val="left"/>
      <w:lvlText w:val="(%2)"/>
      <w:numFmt w:val="lowerRoman"/>
      <w:start w:val="2"/>
    </w:lvl>
  </w:abstractNum>
  <w:abstractNum w:abstractNumId="25">
    <w:nsid w:val="8138641"/>
    <w:multiLevelType w:val="hybridMultilevel"/>
    <w:lvl w:ilvl="0">
      <w:lvlJc w:val="left"/>
      <w:lvlText w:val="(%1)"/>
      <w:numFmt w:val="lowerRoman"/>
      <w:start w:val="3"/>
    </w:lvl>
    <w:lvl w:ilvl="1">
      <w:lvlJc w:val="left"/>
      <w:lvlText w:val="(%2)"/>
      <w:numFmt w:val="lowerRoman"/>
      <w:start w:val="4"/>
    </w:lvl>
  </w:abstractNum>
  <w:abstractNum w:abstractNumId="26">
    <w:nsid w:val="1E7FF521"/>
    <w:multiLevelType w:val="hybridMultilevel"/>
    <w:lvl w:ilvl="0">
      <w:lvlJc w:val="left"/>
      <w:lvlText w:val="%1."/>
      <w:numFmt w:val="decimal"/>
      <w:start w:val="9"/>
    </w:lvl>
  </w:abstractNum>
  <w:abstractNum w:abstractNumId="27">
    <w:nsid w:val="7C3DBD3D"/>
    <w:multiLevelType w:val="hybridMultilevel"/>
    <w:lvl w:ilvl="0">
      <w:lvlJc w:val="left"/>
      <w:lvlText w:val="%1."/>
      <w:numFmt w:val="upperLetter"/>
      <w:start w:val="1"/>
    </w:lvl>
    <w:lvl w:ilvl="1">
      <w:lvlJc w:val="left"/>
      <w:lvlText w:val="%2."/>
      <w:numFmt w:val="decimal"/>
      <w:start w:val="1"/>
    </w:lvl>
  </w:abstractNum>
  <w:abstractNum w:abstractNumId="28">
    <w:nsid w:val="737B8DDC"/>
    <w:multiLevelType w:val="hybridMultilevel"/>
    <w:lvl w:ilvl="0">
      <w:lvlJc w:val="left"/>
      <w:lvlText w:val="***"/>
      <w:numFmt w:val="bullet"/>
      <w:start w:val="1"/>
    </w:lvl>
    <w:lvl w:ilvl="1">
      <w:lvlJc w:val="left"/>
      <w:lvlText w:val="%2."/>
      <w:numFmt w:val="decimal"/>
      <w:start w:val="1"/>
    </w:lvl>
  </w:abstractNum>
  <w:abstractNum w:abstractNumId="29">
    <w:nsid w:val="6CEAF087"/>
    <w:multiLevelType w:val="hybridMultilevel"/>
    <w:lvl w:ilvl="0">
      <w:lvlJc w:val="left"/>
      <w:lvlText w:val="%1."/>
      <w:numFmt w:val="upperLetter"/>
      <w:start w:val="3"/>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2025-10-06T13:07:53Z</dcterms:created>
  <dcterms:modified xsi:type="dcterms:W3CDTF">2025-10-06T13:07:53Z</dcterms:modified>
</cp:coreProperties>
</file>