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7.01 - Regulation FD Disclosure</w:t>
      </w:r>
    </w:p>
    <w:p>
      <w:pPr>
        <w:spacing w:after="0" w:line="25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As previously disclosed, on October 22, 2024 (the “WTI Closing Date”), Innventure LLC entered into a Loan and Security Agreement with WTI Fund X, Inc. and WTI Fund XI, Inc. (together, the “WTI Lenders”), as supplemented by the Supplement to the Loan and Security Agreement, dated</w:t>
      </w:r>
    </w:p>
    <w:p>
      <w:pPr>
        <w:spacing w:after="0" w:line="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October 22, 2024, by and among Innventure LLC and the WTI Lenders (the “Loan and Security Agreement”). Further, Innventure LLC, Innventure, Inc. (the Company”) and the WTI Lenders entered into a joinder agreement, pursuant to which the Company became a co-borrower under the Loan and Security Agreement and related loan documents.</w:t>
      </w:r>
    </w:p>
    <w:p>
      <w:pPr>
        <w:spacing w:after="0" w:line="20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 in each case and as previously outlined, subject to the satisfaction of certain conditions.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15, 2024, the First Tranche in the amount of $20 million was received by Innventure LLC and Innventure.</w:t>
      </w:r>
    </w:p>
    <w:p>
      <w:pPr>
        <w:spacing w:after="0" w:line="23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receipt of each of the Second Tranche and the Third Tranche is still subject to the satisfaction of certain financial conditions and the WTI Lenders’ satisfaction with the Company’s forward-looking plan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1499235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8"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18th day of November, 2024.</w:t>
      </w: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2024-11-18T16:14:22Z</dcterms:created>
  <dcterms:modified xsi:type="dcterms:W3CDTF">2024-11-18T16:14:22Z</dcterms:modified>
</cp:coreProperties>
</file>