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333-294419</w:t>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2018030</wp:posOffset>
            </wp:positionH>
            <wp:positionV relativeFrom="paragraph">
              <wp:posOffset>71120</wp:posOffset>
            </wp:positionV>
            <wp:extent cx="1988820"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8820"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  </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59,678,407 Shares of Common Stock</w:t>
      </w:r>
    </w:p>
    <w:p>
      <w:pPr>
        <w:spacing w:after="0" w:line="98" w:lineRule="exact"/>
        <w:rPr>
          <w:sz w:val="24"/>
          <w:szCs w:val="24"/>
          <w:color w:val="auto"/>
        </w:rPr>
      </w:pPr>
    </w:p>
    <w:p>
      <w:pPr>
        <w:ind w:right="40" w:firstLine="360"/>
        <w:spacing w:after="0" w:line="252" w:lineRule="auto"/>
        <w:rPr>
          <w:sz w:val="20"/>
          <w:szCs w:val="20"/>
          <w:color w:val="auto"/>
        </w:rPr>
      </w:pPr>
      <w:r>
        <w:rPr>
          <w:rFonts w:ascii="Times New Roman" w:cs="Times New Roman" w:eastAsia="Times New Roman" w:hAnsi="Times New Roman"/>
          <w:sz w:val="17"/>
          <w:szCs w:val="17"/>
          <w:color w:val="auto"/>
        </w:rPr>
        <w:t>This prospectus relates to the issuance by Innventure, Inc., a Delaware corporation, of up to an aggregate of 18,386,688 shares of our common stock, par value $0.0001 per share (“Common Stock”) issuable upon the exercise of warrants to purchase shares of Common Stock, at an exercise price of $11.50 per share, which were converted from Learn CW Warrants (as defined in this prospectus) in connection with the Business Combination (as defined herein) (the “Innventure Warrants”). We will receive the proceeds from any exercise of any Innventure Warrants for cash, which amount of aggregate proceeds, assuming the cash exercise of all Innventure Warrants, would be $214.4 million. To the extent the Innventure Warrants are exercised on a cashless basis, we will not receive any proceeds in connection with such exercise. We believe the likelihood that warrant holders will exercise their Innventure Warrants, and therefore the amount of cash proceeds that we would receive, is dependent upon the market price of our Common Stock. If the Innventure Warrants are “out of the money,” meaning the exercise price is higher than the market price of our Common Stock, the holders thereof are not likely to exercise such Innventure Warrants.</w:t>
      </w:r>
    </w:p>
    <w:p>
      <w:pPr>
        <w:spacing w:after="0" w:line="80" w:lineRule="exact"/>
        <w:rPr>
          <w:sz w:val="24"/>
          <w:szCs w:val="24"/>
          <w:color w:val="auto"/>
        </w:rPr>
      </w:pPr>
    </w:p>
    <w:p>
      <w:pPr>
        <w:ind w:right="40" w:firstLine="360"/>
        <w:spacing w:after="0" w:line="250" w:lineRule="auto"/>
        <w:rPr>
          <w:sz w:val="20"/>
          <w:szCs w:val="20"/>
          <w:color w:val="auto"/>
        </w:rPr>
      </w:pPr>
      <w:r>
        <w:rPr>
          <w:rFonts w:ascii="Times New Roman" w:cs="Times New Roman" w:eastAsia="Times New Roman" w:hAnsi="Times New Roman"/>
          <w:sz w:val="17"/>
          <w:szCs w:val="17"/>
          <w:color w:val="auto"/>
        </w:rPr>
        <w:t>This prospectus also relates to the offer and sale from time to time by the selling securityholders named in this prospectus (each a “Selling Stockholder” and, collectively, the “Selling Stockholders”), or their permitted transferees, of up to 41,291,719 shares of Common Stock. The shares of Common Stock to which this prospectus relates consist of (i) up to 3,260,175 shares of Common Stock that were issued and may be issued upon conversion of the Series B Preferred Stock; (ii) up to 16,244,741 shares that we may issue and sell to YA II PN, Ltd., a Cayman Islands exempted company (“Yorkville”), from time to time pursuant to the Standby Equity Purchase Agreement (the “SEPA”), dated October 24, 2023, entered into with Yorkville, subject to the ownership limitations described therein; (iii) 5,657,481 shares of Common Stock held by certain stockholders party to that certain Amended and Restated Registration Rights Agreement, dated October 2, 2024 (the “A&amp;R Registration Rights Agreement”); (iv) 3,333,334 shares of Common Stock that may be issued upon exercise of warrants (the “2024 WTI Warrants”) to purchase Common Stock held by WTI Fund X, LLC and WTI Fund XI, LLC (together, the “WTI Holders”); (v) up to 8,480,518 shares of Common Stock that were issued and may be issued upon conversion of Series C Preferred Stock; (vi) up to 1,000,000 shares of Common Stock that may be issued upon exercise of warrants (the “2025 WTI Warrants”) to purchase Common Stock held by the WTI Holders; (vii) up to 3,250,470 shares of Common Stock issued and issuable pursuant to the terms of those certain subscription agreements (the “Subscription Agreements”), dated as of October 3, 2025, entered into with the certain institutions and accredited investors (the “Subscribers”), consisting of (a) 1,625,235 shares of Common Stock issued to the Subscribers and (b) 1,625,235 shares that may be issued upon exercise of warrants (the “Series A Warrants”) to purchase Common Stock held by the Subscribers; and (viii) 65,000 shares of Common Stock that were issued upon conversion of convertible debentures (the “Convertible Debentures”) issued to Yorkville pursuant to the securities purchase agreement, dated September 15, 2025 (the “Securities Purchase Agreement”), entered into with Yorkville. For more information on the Selling Stockholders, see the section entitled “Selling Stockholders.”</w:t>
      </w:r>
    </w:p>
    <w:p>
      <w:pPr>
        <w:spacing w:after="0" w:line="87" w:lineRule="exact"/>
        <w:rPr>
          <w:sz w:val="24"/>
          <w:szCs w:val="24"/>
          <w:color w:val="auto"/>
        </w:rPr>
      </w:pPr>
    </w:p>
    <w:p>
      <w:pPr>
        <w:ind w:right="20" w:firstLine="360"/>
        <w:spacing w:after="0" w:line="250" w:lineRule="auto"/>
        <w:rPr>
          <w:sz w:val="20"/>
          <w:szCs w:val="20"/>
          <w:color w:val="auto"/>
        </w:rPr>
      </w:pPr>
      <w:r>
        <w:rPr>
          <w:rFonts w:ascii="Times New Roman" w:cs="Times New Roman" w:eastAsia="Times New Roman" w:hAnsi="Times New Roman"/>
          <w:sz w:val="17"/>
          <w:szCs w:val="17"/>
          <w:color w:val="auto"/>
        </w:rPr>
        <w:t>The Selling Stockholders may offer, sell or distribute all or a portion of the securities hereby registered publicly or through private transactions at prevailing market prices, prices related to prevailing market prices or at negotiated prices. We will not receive any of the proceeds from such sales of the shares of our Common Stock by the Selling Stockholders. However, we may receive (i) up to the remaining approximately $66.6 million in aggregate gross proceeds from sales of shares of Common Stock to Yorkville pursuant to the SEPA, from time to time after the date of the Registration Statement on Form S-3 (File No. 333-294419), which was originally filed by us with the Securities and Exchange Commission (the “SEC”) on March 18 2026 (the “Registration Statement”), that includes this prospectus and subject to the satisfaction of certain conditions in the SEPA, (ii) up to approximately $13.0 million of proceeds assuming the exercise of all Series A Warrants for cash, and (iii) de minimis gross proceeds upon exercise of the 2024 WTI Warrants and the 2025 WTI Warrants for cash. To the extent the Series A Warrants are exercised on a cashless basis, we will not receive any proceeds in connection with such exercise. We believe the likelihood that warrant holders will exercise their Series A Warrants, and therefore the amount of cash proceeds that we would receive, is dependent upon the market price of our Common Stock. If the Series A Warrants are “out of the money,” meaning the exercise price is higher than the market price of our Common Stock, the holders thereof are not likely to exercise such Series A Warrants. We will bear all costs, expenses and fees in connection with the registration of our Common Stock. The Selling Stockholders will bear all commissions, discounts and certain other limited expenses, if any, attributable to their respective sales of our Common Stock.</w:t>
      </w:r>
    </w:p>
    <w:p>
      <w:pPr>
        <w:spacing w:after="0" w:line="91" w:lineRule="exact"/>
        <w:rPr>
          <w:sz w:val="24"/>
          <w:szCs w:val="24"/>
          <w:color w:val="auto"/>
        </w:rPr>
      </w:pPr>
    </w:p>
    <w:p>
      <w:pPr>
        <w:ind w:right="60" w:firstLine="360"/>
        <w:spacing w:after="0" w:line="259" w:lineRule="auto"/>
        <w:rPr>
          <w:sz w:val="20"/>
          <w:szCs w:val="20"/>
          <w:color w:val="auto"/>
        </w:rPr>
      </w:pPr>
      <w:r>
        <w:rPr>
          <w:rFonts w:ascii="Times New Roman" w:cs="Times New Roman" w:eastAsia="Times New Roman" w:hAnsi="Times New Roman"/>
          <w:sz w:val="17"/>
          <w:szCs w:val="17"/>
          <w:color w:val="auto"/>
        </w:rPr>
        <w:t>Our registration of the securities covered by this prospectus does not mean that either we or the Selling Stockholders will issue, offer or sell, as applicable, any of the securities. The Selling Stockholders may offer and sell the securities covered by this prospectus in a number of different ways and at varying prices. We provide more information about how the Selling Stockholders may sell the shares in the section entitled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w:t>
      </w:r>
    </w:p>
    <w:p>
      <w:pPr>
        <w:spacing w:after="0" w:line="74" w:lineRule="exact"/>
        <w:rPr>
          <w:sz w:val="24"/>
          <w:szCs w:val="24"/>
          <w:color w:val="auto"/>
        </w:rPr>
      </w:pPr>
    </w:p>
    <w:p>
      <w:pPr>
        <w:ind w:right="20" w:firstLine="360"/>
        <w:spacing w:after="0" w:line="281" w:lineRule="auto"/>
        <w:rPr>
          <w:sz w:val="20"/>
          <w:szCs w:val="20"/>
          <w:color w:val="auto"/>
        </w:rPr>
      </w:pPr>
      <w:r>
        <w:rPr>
          <w:rFonts w:ascii="Times New Roman" w:cs="Times New Roman" w:eastAsia="Times New Roman" w:hAnsi="Times New Roman"/>
          <w:sz w:val="17"/>
          <w:szCs w:val="17"/>
          <w:color w:val="auto"/>
        </w:rPr>
        <w:t>You should carefully read this prospectus and any accompanying prospectus supplement, together with the documents we incorporate by reference, before you invest in our Common Stock.</w:t>
      </w:r>
    </w:p>
    <w:p>
      <w:pPr>
        <w:spacing w:after="0" w:line="55" w:lineRule="exact"/>
        <w:rPr>
          <w:sz w:val="24"/>
          <w:szCs w:val="24"/>
          <w:color w:val="auto"/>
        </w:rPr>
      </w:pPr>
    </w:p>
    <w:p>
      <w:pPr>
        <w:ind w:right="580" w:firstLine="360"/>
        <w:spacing w:after="0" w:line="281" w:lineRule="auto"/>
        <w:rPr>
          <w:sz w:val="20"/>
          <w:szCs w:val="20"/>
          <w:color w:val="auto"/>
        </w:rPr>
      </w:pPr>
      <w:r>
        <w:rPr>
          <w:rFonts w:ascii="Times New Roman" w:cs="Times New Roman" w:eastAsia="Times New Roman" w:hAnsi="Times New Roman"/>
          <w:sz w:val="17"/>
          <w:szCs w:val="17"/>
          <w:color w:val="auto"/>
        </w:rPr>
        <w:t>Our Common Stock is listed on the Nasdaq Global Market (“NASDAQ”) under the symbol “INV.” On April 7, 2026, the last reported sales price of our Common Stock was $4.34 per share.</w:t>
      </w:r>
    </w:p>
    <w:p>
      <w:pPr>
        <w:spacing w:after="0" w:line="51" w:lineRule="exact"/>
        <w:rPr>
          <w:sz w:val="24"/>
          <w:szCs w:val="24"/>
          <w:color w:val="auto"/>
        </w:rPr>
      </w:pPr>
    </w:p>
    <w:p>
      <w:pPr>
        <w:ind w:right="60" w:firstLine="360"/>
        <w:spacing w:after="0" w:line="286" w:lineRule="auto"/>
        <w:rPr>
          <w:sz w:val="20"/>
          <w:szCs w:val="20"/>
          <w:color w:val="auto"/>
        </w:rPr>
      </w:pPr>
      <w:r>
        <w:rPr>
          <w:rFonts w:ascii="Times New Roman" w:cs="Times New Roman" w:eastAsia="Times New Roman" w:hAnsi="Times New Roman"/>
          <w:sz w:val="17"/>
          <w:szCs w:val="17"/>
          <w:b w:val="1"/>
          <w:bCs w:val="1"/>
          <w:color w:val="auto"/>
        </w:rPr>
        <w:t>We are an “emerging growth company” as defined under the U.S. federal securities laws and, as such, have elected to comply with certain reduced public company reporting requirements.</w:t>
      </w:r>
    </w:p>
    <w:p>
      <w:pPr>
        <w:spacing w:after="0" w:line="47" w:lineRule="exact"/>
        <w:rPr>
          <w:sz w:val="24"/>
          <w:szCs w:val="24"/>
          <w:color w:val="auto"/>
        </w:rPr>
      </w:pPr>
    </w:p>
    <w:p>
      <w:pPr>
        <w:ind w:right="380" w:firstLine="36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Investing in our Common Stock is highly speculative and involves a high degree of risk. See “Risk Factors” beginning on page </w:t>
      </w:r>
      <w:r>
        <w:rPr>
          <w:rFonts w:ascii="Times New Roman" w:cs="Times New Roman" w:eastAsia="Times New Roman" w:hAnsi="Times New Roman"/>
          <w:sz w:val="17"/>
          <w:szCs w:val="17"/>
          <w:b w:val="1"/>
          <w:bCs w:val="1"/>
          <w:u w:val="single" w:color="auto"/>
          <w:color w:val="0000EE"/>
        </w:rPr>
        <w:t>8</w:t>
      </w:r>
      <w:r>
        <w:rPr>
          <w:rFonts w:ascii="Times New Roman" w:cs="Times New Roman" w:eastAsia="Times New Roman" w:hAnsi="Times New Roman"/>
          <w:sz w:val="17"/>
          <w:szCs w:val="17"/>
          <w:b w:val="1"/>
          <w:bCs w:val="1"/>
          <w:color w:val="auto"/>
        </w:rPr>
        <w:t xml:space="preserve"> of this prospectus and any risk factors described in any applicable prospectus supplement and in the documents we incorporate by reference.</w:t>
      </w:r>
    </w:p>
    <w:p>
      <w:pPr>
        <w:spacing w:after="0" w:line="63" w:lineRule="exact"/>
        <w:rPr>
          <w:sz w:val="24"/>
          <w:szCs w:val="24"/>
          <w:color w:val="auto"/>
        </w:rPr>
      </w:pPr>
    </w:p>
    <w:p>
      <w:pPr>
        <w:ind w:right="440" w:firstLine="360"/>
        <w:spacing w:after="0" w:line="286" w:lineRule="auto"/>
        <w:rPr>
          <w:sz w:val="20"/>
          <w:szCs w:val="20"/>
          <w:color w:val="auto"/>
        </w:rPr>
      </w:pPr>
      <w:r>
        <w:rPr>
          <w:rFonts w:ascii="Times New Roman" w:cs="Times New Roman" w:eastAsia="Times New Roman" w:hAnsi="Times New Roman"/>
          <w:sz w:val="17"/>
          <w:szCs w:val="17"/>
          <w:b w:val="1"/>
          <w:bCs w:val="1"/>
          <w:color w:val="auto"/>
        </w:rPr>
        <w:t>Neither the SEC nor any state securities commission has approved or disapproved of these securities or passed upon the accuracy or adequacy of this prospectus. Any representation to the contrary is a criminal offense.</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April 8, 2026.</w:t>
      </w:r>
    </w:p>
    <w:p>
      <w:pPr>
        <w:sectPr>
          <w:pgSz w:w="11900" w:h="16838" w:orient="portrait"/>
          <w:cols w:equalWidth="0" w:num="1">
            <w:col w:w="9500"/>
          </w:cols>
          <w:pgMar w:left="1200" w:top="223" w:right="1199" w:bottom="0" w:gutter="0" w:footer="0" w:header="0"/>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300" w:type="dxa"/>
        <w:tblCellMar>
          <w:top w:w="0" w:type="dxa"/>
          <w:left w:w="0" w:type="dxa"/>
          <w:bottom w:w="0" w:type="dxa"/>
          <w:right w:w="0" w:type="dxa"/>
        </w:tblCellMar>
      </w:tblPr>
      <w:tr>
        <w:trPr>
          <w:trHeight w:val="161"/>
        </w:trPr>
        <w:tc>
          <w:tcPr>
            <w:tcW w:w="776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6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318"/>
        </w:trPr>
        <w:tc>
          <w:tcPr>
            <w:tcW w:w="1820" w:type="dxa"/>
            <w:vAlign w:val="bottom"/>
            <w:tcBorders>
              <w:bottom w:val="single" w:sz="8" w:color="0000EE"/>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5940" w:type="dxa"/>
            <w:vAlign w:val="bottom"/>
            <w:tcBorders>
              <w:bottom w:val="single" w:sz="8" w:color="CCEEFF"/>
            </w:tcBorders>
            <w:gridSpan w:val="9"/>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0000EE"/>
              </w:rPr>
              <w:t>i</w:t>
            </w:r>
          </w:p>
        </w:tc>
      </w:tr>
      <w:tr>
        <w:trPr>
          <w:trHeight w:val="189"/>
        </w:trPr>
        <w:tc>
          <w:tcPr>
            <w:tcW w:w="77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ABOUT THIS PROSPECTUS</w:t>
            </w: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ii</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80" w:type="dxa"/>
            <w:vAlign w:val="bottom"/>
            <w:tcBorders>
              <w:bottom w:val="single" w:sz="8" w:color="0000EE"/>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PROSPECTUS SUMMARY</w:t>
            </w:r>
          </w:p>
        </w:tc>
        <w:tc>
          <w:tcPr>
            <w:tcW w:w="5680" w:type="dxa"/>
            <w:vAlign w:val="bottom"/>
            <w:tcBorders>
              <w:bottom w:val="single" w:sz="8" w:color="CCEEFF"/>
            </w:tcBorders>
            <w:gridSpan w:val="7"/>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6340" w:type="dxa"/>
            <w:vAlign w:val="bottom"/>
            <w:tcBorders>
              <w:bottom w:val="single" w:sz="8" w:color="0000EE"/>
            </w:tcBorders>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14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9</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gridSpan w:val="3"/>
          </w:tcPr>
          <w:p>
            <w:pPr>
              <w:ind w:left="460"/>
              <w:spacing w:after="0" w:line="189" w:lineRule="exact"/>
              <w:rPr>
                <w:sz w:val="20"/>
                <w:szCs w:val="20"/>
                <w:color w:val="auto"/>
              </w:rPr>
            </w:pPr>
            <w:r>
              <w:rPr>
                <w:rFonts w:ascii="Times New Roman" w:cs="Times New Roman" w:eastAsia="Times New Roman" w:hAnsi="Times New Roman"/>
                <w:sz w:val="18"/>
                <w:szCs w:val="18"/>
                <w:color w:val="0000EE"/>
                <w:w w:val="88"/>
              </w:rPr>
              <w:t>11</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SECURITIES</w:t>
            </w:r>
          </w:p>
        </w:tc>
        <w:tc>
          <w:tcPr>
            <w:tcW w:w="660" w:type="dxa"/>
            <w:vAlign w:val="bottom"/>
            <w:gridSpan w:val="4"/>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EE"/>
                <w:w w:val="99"/>
              </w:rPr>
              <w:t>12</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50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SELLING STOCKHOLDERS</w:t>
            </w:r>
          </w:p>
        </w:tc>
        <w:tc>
          <w:tcPr>
            <w:tcW w:w="5260" w:type="dxa"/>
            <w:vAlign w:val="bottom"/>
            <w:gridSpan w:val="4"/>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9"/>
              </w:rPr>
              <w:t>17</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660" w:type="dxa"/>
            <w:vAlign w:val="bottom"/>
            <w:gridSpan w:val="4"/>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EE"/>
                <w:w w:val="99"/>
              </w:rPr>
              <w:t>24</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0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5720" w:type="dxa"/>
            <w:vAlign w:val="bottom"/>
            <w:gridSpan w:val="8"/>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9"/>
              </w:rPr>
              <w:t>26</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60" w:type="dxa"/>
            <w:vAlign w:val="bottom"/>
            <w:gridSpan w:val="4"/>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EE"/>
                <w:w w:val="99"/>
              </w:rPr>
              <w:t>26</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660" w:type="dxa"/>
            <w:vAlign w:val="bottom"/>
            <w:gridSpan w:val="4"/>
          </w:tcPr>
          <w:p>
            <w:pPr>
              <w:ind w:left="460"/>
              <w:spacing w:after="0" w:line="189" w:lineRule="exact"/>
              <w:rPr>
                <w:sz w:val="20"/>
                <w:szCs w:val="20"/>
                <w:color w:val="auto"/>
              </w:rPr>
            </w:pPr>
            <w:r>
              <w:rPr>
                <w:rFonts w:ascii="Times New Roman" w:cs="Times New Roman" w:eastAsia="Times New Roman" w:hAnsi="Times New Roman"/>
                <w:sz w:val="18"/>
                <w:szCs w:val="18"/>
                <w:color w:val="0000EE"/>
                <w:w w:val="99"/>
              </w:rPr>
              <w:t>27</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900" w:type="dxa"/>
            <w:vAlign w:val="bottom"/>
            <w:tcBorders>
              <w:top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60" w:type="dxa"/>
            <w:vAlign w:val="bottom"/>
            <w:gridSpan w:val="4"/>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EE"/>
                <w:w w:val="99"/>
              </w:rPr>
              <w:t>28</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90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using a “shelf” registration process. Under this shelf registration process, we and the Selling Stockholders may, from time to time, issue, offer and sell, as applicable, any combination of the securities described in this prospectus in one or more offerings. We may use the shelf registration statement to issue 18,386,688 shares of Common Stock issuable upon the exercise of the Innventure Warrants. The Selling Stockholders may use the shelf registration statement to sell up to an aggregate of up to 41,291,719 shares of Common Stock from time to time through any means described in the section entitled “Plan of Distribution.” More specific terms of any securities that the Selling Stockholders offer and sell may be provided in a prospectus supplement that describes, among other things, the specific amounts and prices of the shares of Common Stock being offered and the terms of the offering.</w:t>
      </w:r>
    </w:p>
    <w:p>
      <w:pPr>
        <w:spacing w:after="0" w:line="80"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We will not receive any proceeds from the sale by us or the Selling Stockholders of the securities offered by us or them described in this prospectus, except with respect to (i) up to approximately $211.4 million of proceeds assuming the exercise of all Innventure Warrants for cash; (ii) up to the remaining approximately $66.6 million in aggregate gross proceeds from sales of shares of Common Stock to Yorkville pursuant to the SEPA, from time to time after the date of the Registration Statement that includes this prospectus and subject to the satisfaction of certain conditions in the SEPA; (iii) up to $13.0 million of proceeds assuming the exercise of all Series A Warrants for cash; and (iv) de minimis gross proceeds upon the exercise of the 2024 WTI Warrants and the 2025 WTI Warrants for cash.</w:t>
      </w:r>
    </w:p>
    <w:p>
      <w:pPr>
        <w:spacing w:after="0" w:line="84"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w:t>
      </w:r>
    </w:p>
    <w:p>
      <w:pPr>
        <w:spacing w:after="0" w:line="75" w:lineRule="exact"/>
        <w:rPr>
          <w:sz w:val="20"/>
          <w:szCs w:val="20"/>
          <w:color w:val="auto"/>
        </w:rPr>
      </w:pPr>
    </w:p>
    <w:p>
      <w:pPr>
        <w:ind w:left="300" w:right="419" w:firstLine="360"/>
        <w:spacing w:after="0" w:line="252"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any applicable prospectus supplement or any related free writing prospectus. We and the Selling Stockholders have not authorized anyone to provide any information or to make any representations other than those contained in this prospectus or any free writing prospectus we have prepared. We and the Selling Stockholders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or any related free writing prospectus. This prospectus and any accompanying prospectus supplement is not an offer to sell securities, and it is not soliciting an offer to buy securities, in any jurisdiction where the offer or sale is not permitted. You should assume that the information appearing in this prospectus or any applicable prospectus supplement is accurate only as of the date on the front cover of such document, regardless of the time of delivery of this prospectus or time of any sale of a security. Our business, financial condition, results of operations and prospects may have changed since those dates.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In this prospectus, we rely on and refer to information and statistics regarding our industry. We obtained this statistical, market and other industry data and forecasts from publicly available information. While we believe that the statistical data, market data and other industry data and forecasts are reliable, we have not independently verified the data.</w:t>
      </w:r>
    </w:p>
    <w:p>
      <w:pPr>
        <w:spacing w:after="0" w:line="7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On October 2, 2024 (the “Closing Date” or “Closing”), Learn CW Investment Corporation, a Cayman Islands exempted company (both prior to and after the Closing Date, “Learn CW”) and Innventure LLC, a Delaware limited liability company (“Innventure LLC”), consummated the previously announced business combination (“Business Combination”) with Learn SPAC HoldCo, Inc., a Delaware corporation and direct, wholly-owned subsidiary of Learn CW (“Holdco”), LCW Merger Sub, Inc., a Delaware corporation and direct, wholly-owned subsidiary of Holdco (“LCW Merger Sub”), and Innventure Merger Sub, LLC, a Delaware limited liability company and direct, wholly-owned subsidiary of Holdco (“Innventure Merger Sub”). LCW Merger Sub merged with and into Learn CW (the “LCW Merger”), with Learn CW as the surviving company of the LCW Merger, and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Innventure Merger Sub merged with and into Innventure LLC (the “Innventure Merger” and, together with the LCW Merger, the “Mergers”), with Innventure LLC as the surviving entity of the Innventure Merger. Following the Mergers, each of Learn CW and Innventure LLC became subsidiaries of Holdco, and Holdco became a publicly traded company. At the Closing, Holdco changed its name to “Innventure, Inc.” Innventure, Inc.’s Common Stock is listed on NASDAQ under the symbol “INV”.</w:t>
      </w:r>
    </w:p>
    <w:p>
      <w:pPr>
        <w:spacing w:after="0" w:line="75" w:lineRule="exact"/>
        <w:rPr>
          <w:sz w:val="20"/>
          <w:szCs w:val="20"/>
          <w:color w:val="auto"/>
        </w:rPr>
      </w:pPr>
    </w:p>
    <w:p>
      <w:pPr>
        <w:ind w:left="300" w:right="699" w:firstLine="360"/>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“Innventure,” “Holdco,” “we,” “us,” “our” and similar terms refer to Innventure, Inc. (f/k/a Learn SPAC HoldCo, Inc.) and its consolidated subsidiaries. References to “Learn CW” refer to Learn CW Investment Corporation.</w:t>
      </w:r>
    </w:p>
    <w:p>
      <w:pPr>
        <w:spacing w:after="0" w:line="68" w:lineRule="exact"/>
        <w:rPr>
          <w:sz w:val="20"/>
          <w:szCs w:val="20"/>
          <w:color w:val="auto"/>
        </w:rPr>
      </w:pPr>
    </w:p>
    <w:p>
      <w:pPr>
        <w:ind w:left="300" w:right="519" w:firstLine="360"/>
        <w:spacing w:after="0" w:line="312" w:lineRule="auto"/>
        <w:rPr>
          <w:sz w:val="20"/>
          <w:szCs w:val="20"/>
          <w:color w:val="auto"/>
        </w:rPr>
      </w:pPr>
      <w:r>
        <w:rPr>
          <w:rFonts w:ascii="Times New Roman" w:cs="Times New Roman" w:eastAsia="Times New Roman" w:hAnsi="Times New Roman"/>
          <w:sz w:val="17"/>
          <w:szCs w:val="17"/>
          <w:color w:val="auto"/>
        </w:rPr>
        <w:t>This prospectus includes trademarks, service marks and trade names owned by us or other companies. All trademarks, service marks and trade names included in this prospectus are the property of their respective owners.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90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3405" cy="819086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19" w:lineRule="exact"/>
        <w:rPr>
          <w:sz w:val="20"/>
          <w:szCs w:val="20"/>
          <w:color w:val="auto"/>
        </w:rPr>
      </w:pPr>
    </w:p>
    <w:p>
      <w:pPr>
        <w:ind w:left="320" w:right="299" w:firstLine="3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This summary highlights selected information from this prospectus and does not contain all of the information that you should consider before investing in shares of Common Stock, and it is qualified in its entirety by, and should be read in conjunction with, the more detailed information appearing elsewhere in this prospectus. Before you decide to invest in Common Stock, you should read the entire prospectus carefully, including the section entitled “Risk Factors” beginning on page </w:t>
      </w:r>
      <w:r>
        <w:rPr>
          <w:rFonts w:ascii="Times New Roman" w:cs="Times New Roman" w:eastAsia="Times New Roman" w:hAnsi="Times New Roman"/>
          <w:sz w:val="17"/>
          <w:szCs w:val="17"/>
          <w:i w:val="1"/>
          <w:iCs w:val="1"/>
          <w:u w:val="single" w:color="auto"/>
          <w:color w:val="0000EE"/>
        </w:rPr>
        <w:t>8</w:t>
      </w:r>
      <w:r>
        <w:rPr>
          <w:rFonts w:ascii="Times New Roman" w:cs="Times New Roman" w:eastAsia="Times New Roman" w:hAnsi="Times New Roman"/>
          <w:sz w:val="17"/>
          <w:szCs w:val="17"/>
          <w:i w:val="1"/>
          <w:iCs w:val="1"/>
          <w:color w:val="auto"/>
        </w:rPr>
        <w:t xml:space="preserve"> and the financial statements and related notes included in this prospectus.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ind w:left="320" w:right="339" w:firstLine="360"/>
        <w:spacing w:after="0" w:line="252" w:lineRule="auto"/>
        <w:rPr>
          <w:sz w:val="20"/>
          <w:szCs w:val="20"/>
          <w:color w:val="auto"/>
        </w:rPr>
      </w:pPr>
      <w:r>
        <w:rPr>
          <w:rFonts w:ascii="Times New Roman" w:cs="Times New Roman" w:eastAsia="Times New Roman" w:hAnsi="Times New Roman"/>
          <w:sz w:val="18"/>
          <w:szCs w:val="18"/>
          <w:color w:val="auto"/>
        </w:rPr>
        <w:t>Innventure is an industrial growth conglomerate that founds, funds, and operates companies with a focus on commercializing transformative, sustainable technology solutions acquired or licensed from technology innovators, which are typically multinational corporations (“MNCs”), with the intent to maximize value for investors and other stakeholders through positive cash flow generated through long-term ownership of our Innventure Companies (as defined below). In connection with the founding of a new company, we look to establish a collaborative relationship with at least one MNC that (1) has expressed a need for, and an interest in using or distributing, the specific technology that we intend to commercialize and (2) that we expect will become a channel partner capable of providing a path to market adoption, distribution and/or revenue for the new company. This collaborating MNC, which we refer to as a channel partner, may be the entity from which we source the technology or it may be an unrelated entity. As owner-operators, our goal is to take what we believe to be breakthrough technologies that have advanced beyond proof of concept from evaluation to scaled commercialization utilizing an approach designed to help mitigate risk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w:t>
      </w:r>
    </w:p>
    <w:p>
      <w:pPr>
        <w:spacing w:after="0" w:line="89" w:lineRule="exact"/>
        <w:rPr>
          <w:sz w:val="20"/>
          <w:szCs w:val="20"/>
          <w:color w:val="auto"/>
        </w:rPr>
      </w:pPr>
    </w:p>
    <w:p>
      <w:pPr>
        <w:ind w:left="320" w:right="299" w:firstLine="360"/>
        <w:spacing w:after="0" w:line="254" w:lineRule="auto"/>
        <w:rPr>
          <w:sz w:val="20"/>
          <w:szCs w:val="20"/>
          <w:color w:val="auto"/>
        </w:rPr>
      </w:pPr>
      <w:r>
        <w:rPr>
          <w:rFonts w:ascii="Times New Roman" w:cs="Times New Roman" w:eastAsia="Times New Roman" w:hAnsi="Times New Roman"/>
          <w:sz w:val="18"/>
          <w:szCs w:val="18"/>
          <w:color w:val="auto"/>
        </w:rPr>
        <w:t>Innventure has launched four such companies since its inception: PureCycle Technologies, Inc. (“PureCycle” or “PCT”) in late 2015 (NASDAQ: PCT, technology initially sourced from The Procter &amp; Gamble Company (“P&amp;G”)), AeroFlexx, LLC (“AeroFlexx” or “AFX”) in 2018 (technology sourced from P&amp;G), Accelsius Holdings LLC (“Accelsius” or “ACC”) in 2022 (technology initially sourced from Nokia Corporation (“Nokia”)), and Refinity Olefins, LLC (“Refinity”) in 2024 (technology initially sourced from the VTT Technical Research Centre of Finland (“VTT”); collaboration agreement with The Dow Chemical Company (“Dow”) signed). PureCycle became a publicly traded company in 2021 and, as of the date of this prospectus, Innventure no longer has an economic interest in PureCycle. We refer to AeroFlexx, Accelsius, Refinity and all future operating subsidiary companies that we found, fund, and operate going forward as the “Innventure Companies.”</w:t>
      </w:r>
    </w:p>
    <w:p>
      <w:pPr>
        <w:spacing w:after="0" w:line="2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320" w:right="379" w:firstLine="360"/>
        <w:spacing w:after="0" w:line="255" w:lineRule="auto"/>
        <w:rPr>
          <w:sz w:val="20"/>
          <w:szCs w:val="20"/>
          <w:color w:val="auto"/>
        </w:rPr>
      </w:pPr>
      <w:r>
        <w:rPr>
          <w:rFonts w:ascii="Times New Roman" w:cs="Times New Roman" w:eastAsia="Times New Roman" w:hAnsi="Times New Roman"/>
          <w:sz w:val="18"/>
          <w:szCs w:val="18"/>
          <w:color w:val="auto"/>
        </w:rPr>
        <w:t>On the Closing Date, Learn CW and Innventure LLC consummated the Business Combination pursuant to the terms of the Business Combination Agreement previously entered into on October 24, 2023 (the “Business Combination Agreement”). Following the Closing, both Learn CW and Innventure LLC became subsidiaries of Holdco, and Holdco changed its name to “Innventure, Inc.” and became a publicly traded company.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NASDAQ under the symbol “INV”.</w:t>
      </w:r>
    </w:p>
    <w:p>
      <w:pPr>
        <w:spacing w:after="0" w:line="2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Concurrently with the parties entering into the Business Combination Agreement, the Company entered into the</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SEPA with Yorkville. Pursuant to the SEPA and subject to certain conditions and limitations, the Company has the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option, but not the obligation, to sell to Yorkville, and Yorkville must subscribe for, an aggregate amount of up to</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$75.0 million of Common Stock, at the Company’s request any time during the commitment period commencing on</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Closing Date and continuing for a term of three years.</w:t>
      </w:r>
    </w:p>
    <w:p>
      <w:pPr>
        <w:spacing w:after="0" w:line="99" w:lineRule="exact"/>
        <w:rPr>
          <w:sz w:val="20"/>
          <w:szCs w:val="20"/>
          <w:color w:val="auto"/>
        </w:rPr>
      </w:pPr>
    </w:p>
    <w:p>
      <w:pPr>
        <w:ind w:left="320" w:right="359" w:firstLine="360"/>
        <w:spacing w:after="0" w:line="282" w:lineRule="auto"/>
        <w:rPr>
          <w:sz w:val="20"/>
          <w:szCs w:val="20"/>
          <w:color w:val="auto"/>
        </w:rPr>
      </w:pPr>
      <w:r>
        <w:rPr>
          <w:rFonts w:ascii="Times New Roman" w:cs="Times New Roman" w:eastAsia="Times New Roman" w:hAnsi="Times New Roman"/>
          <w:sz w:val="18"/>
          <w:szCs w:val="18"/>
          <w:color w:val="auto"/>
        </w:rPr>
        <w:t>The Company agreed, and paid, to YA Global II SPV, LLC, a subsidiary of Yorkville (i) a structuring fee in the amount of $25,000 and (ii) commitment fee in an amount equal to $375,000 (the “Commitment Fee”).</w:t>
      </w:r>
    </w:p>
    <w:p>
      <w:pPr>
        <w:spacing w:after="0" w:line="54" w:lineRule="exact"/>
        <w:rPr>
          <w:sz w:val="20"/>
          <w:szCs w:val="20"/>
          <w:color w:val="auto"/>
        </w:rPr>
      </w:pPr>
    </w:p>
    <w:p>
      <w:pPr>
        <w:ind w:left="320" w:right="379" w:firstLine="360"/>
        <w:spacing w:after="0" w:line="312" w:lineRule="auto"/>
        <w:rPr>
          <w:sz w:val="20"/>
          <w:szCs w:val="20"/>
          <w:color w:val="auto"/>
        </w:rPr>
      </w:pPr>
      <w:r>
        <w:rPr>
          <w:rFonts w:ascii="Times New Roman" w:cs="Times New Roman" w:eastAsia="Times New Roman" w:hAnsi="Times New Roman"/>
          <w:sz w:val="17"/>
          <w:szCs w:val="17"/>
          <w:color w:val="auto"/>
        </w:rPr>
        <w:t>Each advance the Company issues in writing to Yorkville under the SEPA (each, an “Advance,” and notice of such request, an “Advance Notice”) may be in an amount of Common Stock up to the greater of (i) $10.0 million or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30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3405" cy="81305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59" w:hanging="10"/>
        <w:spacing w:after="0" w:line="273" w:lineRule="auto"/>
        <w:tabs>
          <w:tab w:leader="none" w:pos="58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daily trading volume of Common Stock for the five trading days prior to the Company requesting an Advance. The purchase price for the shares of Common Stock set forth in the Advance is determined by multiplying the market price of Common Stock by either (a) 95% of the daily volume weighted average price (“VWAP”) during the applicable one-day pricing period or (b) 97% of the lowest daily VWAP during the applicable three consecutive trading day pricing period. The applicable pricing period depends on the type of Advance Notice selected by the Company under the SEPA. As discussed below, the Company may establish a minimum acceptable price in each Advance Notice below which the Company will not be obligated to make any sales to Yorkville.</w:t>
      </w:r>
    </w:p>
    <w:p>
      <w:pPr>
        <w:spacing w:after="0" w:line="63" w:lineRule="exact"/>
        <w:rPr>
          <w:sz w:val="20"/>
          <w:szCs w:val="20"/>
          <w:color w:val="auto"/>
        </w:rPr>
      </w:pPr>
    </w:p>
    <w:p>
      <w:pPr>
        <w:ind w:left="320" w:right="1039" w:firstLine="360"/>
        <w:spacing w:after="0" w:line="282" w:lineRule="auto"/>
        <w:rPr>
          <w:sz w:val="20"/>
          <w:szCs w:val="20"/>
          <w:color w:val="auto"/>
        </w:rPr>
      </w:pPr>
      <w:r>
        <w:rPr>
          <w:rFonts w:ascii="Times New Roman" w:cs="Times New Roman" w:eastAsia="Times New Roman" w:hAnsi="Times New Roman"/>
          <w:sz w:val="18"/>
          <w:szCs w:val="18"/>
          <w:color w:val="auto"/>
        </w:rPr>
        <w:t>Any purchase under an Advance would be subject to certain limitations and conditions, depending on selections set forth in the applicable Advance, including the following:</w:t>
      </w:r>
    </w:p>
    <w:p>
      <w:pPr>
        <w:spacing w:after="0" w:line="52" w:lineRule="exact"/>
        <w:rPr>
          <w:sz w:val="20"/>
          <w:szCs w:val="20"/>
          <w:color w:val="auto"/>
        </w:rPr>
      </w:pPr>
    </w:p>
    <w:p>
      <w:pPr>
        <w:jc w:val="both"/>
        <w:ind w:left="1020" w:right="479" w:hanging="350"/>
        <w:spacing w:after="0" w:line="267"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Ownership Limitation</w:t>
      </w:r>
      <w:r>
        <w:rPr>
          <w:rFonts w:ascii="Times New Roman" w:cs="Times New Roman" w:eastAsia="Times New Roman" w:hAnsi="Times New Roman"/>
          <w:sz w:val="18"/>
          <w:szCs w:val="18"/>
          <w:color w:val="auto"/>
        </w:rPr>
        <w:t>: Yorkville shall not purchase or acquire any shares of Common Stock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SEPA that would result in it and its affiliates (on an aggregated basis) beneficially owning more than 9.99% of the then outstanding voting power or number of shares of Common Stock;</w:t>
      </w:r>
    </w:p>
    <w:p>
      <w:pPr>
        <w:spacing w:after="0" w:line="65" w:lineRule="exact"/>
        <w:rPr>
          <w:rFonts w:ascii="Times New Roman" w:cs="Times New Roman" w:eastAsia="Times New Roman" w:hAnsi="Times New Roman"/>
          <w:sz w:val="18"/>
          <w:szCs w:val="18"/>
          <w:color w:val="auto"/>
        </w:rPr>
      </w:pPr>
    </w:p>
    <w:p>
      <w:pPr>
        <w:jc w:val="both"/>
        <w:ind w:left="1020" w:right="619" w:hanging="350"/>
        <w:spacing w:after="0" w:line="267"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Limitation</w:t>
      </w:r>
      <w:r>
        <w:rPr>
          <w:rFonts w:ascii="Times New Roman" w:cs="Times New Roman" w:eastAsia="Times New Roman" w:hAnsi="Times New Roman"/>
          <w:sz w:val="18"/>
          <w:szCs w:val="18"/>
          <w:color w:val="auto"/>
        </w:rPr>
        <w:t>: In no event shall an Advance exceed the amount of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under an effective registration statement that provides for the resale from time to time of the shares of Common Stock sold pursuant the SEPA;</w:t>
      </w:r>
    </w:p>
    <w:p>
      <w:pPr>
        <w:spacing w:after="0" w:line="65" w:lineRule="exact"/>
        <w:rPr>
          <w:rFonts w:ascii="Times New Roman" w:cs="Times New Roman" w:eastAsia="Times New Roman" w:hAnsi="Times New Roman"/>
          <w:sz w:val="18"/>
          <w:szCs w:val="18"/>
          <w:color w:val="auto"/>
        </w:rPr>
      </w:pPr>
    </w:p>
    <w:p>
      <w:pPr>
        <w:ind w:left="1020" w:right="359" w:hanging="350"/>
        <w:spacing w:after="0" w:line="257"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Volume Limitation</w:t>
      </w:r>
      <w:r>
        <w:rPr>
          <w:rFonts w:ascii="Times New Roman" w:cs="Times New Roman" w:eastAsia="Times New Roman" w:hAnsi="Times New Roman"/>
          <w:sz w:val="18"/>
          <w:szCs w:val="18"/>
          <w:color w:val="auto"/>
        </w:rPr>
        <w:t>: In certain instances, if the total number of Common Stock traded on NASDAQ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applicable period is less than a specified threshold, then the number of shares issued and sold by the Company under the Advance will be limited to the greater of (a) 35% of the trading volume during the applicable period or (b) the number of shares of Common Stock sold by Yorkville during the applicable period (in each case not to exceed the amount specified in the Advance and the other limitations under the SEPA); and</w:t>
      </w:r>
    </w:p>
    <w:p>
      <w:pPr>
        <w:spacing w:after="0" w:line="74" w:lineRule="exact"/>
        <w:rPr>
          <w:rFonts w:ascii="Times New Roman" w:cs="Times New Roman" w:eastAsia="Times New Roman" w:hAnsi="Times New Roman"/>
          <w:sz w:val="18"/>
          <w:szCs w:val="18"/>
          <w:color w:val="auto"/>
        </w:rPr>
      </w:pPr>
    </w:p>
    <w:p>
      <w:pPr>
        <w:ind w:left="1020" w:right="379" w:hanging="350"/>
        <w:spacing w:after="0" w:line="258"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Minimum Acceptable Price</w:t>
      </w:r>
      <w:r>
        <w:rPr>
          <w:rFonts w:ascii="Times New Roman" w:cs="Times New Roman" w:eastAsia="Times New Roman" w:hAnsi="Times New Roman"/>
          <w:sz w:val="18"/>
          <w:szCs w:val="18"/>
          <w:color w:val="auto"/>
        </w:rPr>
        <w:t>: If the Company notifies Yorkville of a minimum acceptable price (“MAP”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the SEPA), then, if during the applicable period the VWAP of the Common Stock is below the specified MAP or there is no VWAP, the amount of Common Stock set forth in the Advance will be reduced by one third (1/3rd); provided, however, that this lower amount may be increased if certain conditions are met.</w:t>
      </w:r>
    </w:p>
    <w:p>
      <w:pPr>
        <w:spacing w:after="0" w:line="77" w:lineRule="exact"/>
        <w:rPr>
          <w:sz w:val="20"/>
          <w:szCs w:val="20"/>
          <w:color w:val="auto"/>
        </w:rPr>
      </w:pPr>
    </w:p>
    <w:p>
      <w:pPr>
        <w:ind w:left="320" w:right="379" w:firstLine="360"/>
        <w:spacing w:after="0" w:line="256" w:lineRule="auto"/>
        <w:rPr>
          <w:sz w:val="20"/>
          <w:szCs w:val="20"/>
          <w:color w:val="auto"/>
        </w:rPr>
      </w:pPr>
      <w:r>
        <w:rPr>
          <w:rFonts w:ascii="Times New Roman" w:cs="Times New Roman" w:eastAsia="Times New Roman" w:hAnsi="Times New Roman"/>
          <w:sz w:val="18"/>
          <w:szCs w:val="18"/>
          <w:color w:val="auto"/>
        </w:rPr>
        <w:t>The SEPA will automatically terminate on the earliest to occur of (i) November 1, 2027 or (ii) the date on which Yorkville shall have made payment of Advances equal to $75.0 million. As of March 13, 2026, the Company has issued Yorkville 1,273,566 shares of Common Stock for a total amount of $8,402,213.50 pursuant to the terms of the SEPA. The Company has the right to terminate the SEPA at no cost or penalty upon five trading days’ prior written notice to Yorkville, provided that there are no outstanding Advance Notices for which shares of Common Stock must be issued and the Company has paid all amounts owed to Yorkville pursuant to the SEPA.</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Financing</w:t>
      </w:r>
    </w:p>
    <w:p>
      <w:pPr>
        <w:spacing w:after="0" w:line="121" w:lineRule="exact"/>
        <w:rPr>
          <w:sz w:val="20"/>
          <w:szCs w:val="20"/>
          <w:color w:val="auto"/>
        </w:rPr>
      </w:pPr>
    </w:p>
    <w:p>
      <w:pPr>
        <w:ind w:left="320" w:right="359" w:firstLine="360"/>
        <w:spacing w:after="0" w:line="255" w:lineRule="auto"/>
        <w:rPr>
          <w:sz w:val="20"/>
          <w:szCs w:val="20"/>
          <w:color w:val="auto"/>
        </w:rPr>
      </w:pPr>
      <w:r>
        <w:rPr>
          <w:rFonts w:ascii="Times New Roman" w:cs="Times New Roman" w:eastAsia="Times New Roman" w:hAnsi="Times New Roman"/>
          <w:sz w:val="18"/>
          <w:szCs w:val="18"/>
          <w:color w:val="auto"/>
        </w:rPr>
        <w:t>On September 24, 2024, the Company entered into an investment agreement with Commonwealth Asset Management LP (together with its assignee, “CWAM LP”), pursuant to which the Company agreed to issue and sell to CWAM LP an aggregate of 750,000 shares of the Company’s Series B Preferred Stock, par value $0.0001 per share (the “Series B Preferred Stock”), in a private placement, at a price of $10.00 per share of Series B Preferred Stock, resulting in an aggregate purchase price of approximately $7.5 million before deducting fees and other estimated offering expenses, which sale closed on the Closing Date. CWAM LP is an affiliate of CWAM LC Sponsor LLC, Learn CW’s former Sponsor (the “Sponsor”).</w:t>
      </w:r>
    </w:p>
    <w:p>
      <w:pPr>
        <w:spacing w:after="0" w:line="81" w:lineRule="exact"/>
        <w:rPr>
          <w:sz w:val="20"/>
          <w:szCs w:val="20"/>
          <w:color w:val="auto"/>
        </w:rPr>
      </w:pPr>
    </w:p>
    <w:p>
      <w:pPr>
        <w:ind w:left="320" w:right="319" w:firstLine="360"/>
        <w:spacing w:after="0" w:line="254" w:lineRule="auto"/>
        <w:rPr>
          <w:sz w:val="20"/>
          <w:szCs w:val="20"/>
          <w:color w:val="auto"/>
        </w:rPr>
      </w:pPr>
      <w:r>
        <w:rPr>
          <w:rFonts w:ascii="Times New Roman" w:cs="Times New Roman" w:eastAsia="Times New Roman" w:hAnsi="Times New Roman"/>
          <w:sz w:val="18"/>
          <w:szCs w:val="18"/>
          <w:color w:val="auto"/>
        </w:rPr>
        <w:t>On September 27, 2024, the Company entered into an investment agreement, substantially in the same form as the investment agreement entered into with CWAM LP (collectively, the “Series B Investment Agreements”), with certain purchasers (together with CWAM LP, the “Series B Investors”), pursuant to which the Company agreed to issue and sell to such purchasers an aggregate of 352,000 shares of Series B Preferred Stock in a private placement, at a price of $10.00 per share of Series B Preferred Stock (together with the financing with CWAM LP, the “Series B Preferred Stock Financing”). The Series B Preferred Stock Financing closed concurrently with the consummation of the Business Combination and the Company sold, in total, 1,102,000 shares of Series B Preferred Stock providing the Company with approximately $11.0 million of gross proceeds before deducting fees and other estimated offering expenses.</w:t>
      </w:r>
    </w:p>
    <w:p>
      <w:pPr>
        <w:spacing w:after="0" w:line="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Series B Investment Agreements contain customary representations, warranties, and covenants by the</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parties, including certain indemnification obligations of the Series B Investors. The representations, warranties, and</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051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3405" cy="81051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99"/>
        <w:spacing w:after="0" w:line="256" w:lineRule="auto"/>
        <w:rPr>
          <w:sz w:val="20"/>
          <w:szCs w:val="20"/>
          <w:color w:val="auto"/>
        </w:rPr>
      </w:pPr>
      <w:r>
        <w:rPr>
          <w:rFonts w:ascii="Times New Roman" w:cs="Times New Roman" w:eastAsia="Times New Roman" w:hAnsi="Times New Roman"/>
          <w:sz w:val="18"/>
          <w:szCs w:val="18"/>
          <w:color w:val="auto"/>
        </w:rPr>
        <w:t>covenants contained in the Series B Investment Agreements were made only for purposes of such agreement and as of specific dates, were solely for the benefit of the parties to the Series B Investment Agreements and are subject to limitations agreed upon by contracting parties. As part of the Series B Investment Agreements, the Company is required to prepare and file a registration statement with the SEC under the Securities Act of 1933 (the “Securities Act”), covering the resale of the shares of Common Stock issuable upon conversion of Series B Preferred Stock within 120 days from the original issuance date.</w:t>
      </w:r>
    </w:p>
    <w:p>
      <w:pPr>
        <w:spacing w:after="0" w:line="79" w:lineRule="exact"/>
        <w:rPr>
          <w:sz w:val="20"/>
          <w:szCs w:val="20"/>
          <w:color w:val="auto"/>
        </w:rPr>
      </w:pPr>
    </w:p>
    <w:p>
      <w:pPr>
        <w:ind w:left="320" w:right="299" w:firstLine="360"/>
        <w:spacing w:after="0" w:line="252" w:lineRule="auto"/>
        <w:rPr>
          <w:sz w:val="20"/>
          <w:szCs w:val="20"/>
          <w:color w:val="auto"/>
        </w:rPr>
      </w:pPr>
      <w:r>
        <w:rPr>
          <w:rFonts w:ascii="Times New Roman" w:cs="Times New Roman" w:eastAsia="Times New Roman" w:hAnsi="Times New Roman"/>
          <w:sz w:val="18"/>
          <w:szCs w:val="18"/>
          <w:color w:val="auto"/>
        </w:rPr>
        <w:t>Pursuant to the Certificate of Designation of Series B Preferred Stock, dated October 2, 2024, of the Company, the shares of Series B Preferred Stock have a maturity date five years after the Closing Date and accrue a return equal to 8% per annum, payable on the last day of each quarter in-kind. Shares of Series B Preferred Stock are subject to (i) a mandatory conversion on the date that is five years after original issuance (the “Series B Maturity Date”) and (ii) an optional conversion, at the election of the holder, at any time prior to the Series B Maturity Date upon the effectiveness of a registration statement by the Company registering the underlying shares of Common Stock issuable upon conversion. The number of shares of Common Stock that each holder of Series B Preferred Stock will receive upon conversion of all of such holder’s shares of Series B Preferred Stock will be the number of shares equal to the Series B Conversion Rate (as defined below) multiplied by the number of shares of Series B Preferred Stock held by such holder (subject to a threshold amount). No fractional shares shall be issued upon the exercise of any conversion right. Any fractional shares that a holder would otherwise be entitled to will be rounded up to the next whole share. The “Series B Conversion Rate” means a fraction whose numerator is the “Original Issue Price”, which is $10.00 per share of Series B Preferred Stock, and whose denominator is the lesser of (i) the Reset Conversion Price or (ii) $12.50. The “Reset Conversion Price” means the greater of (a) $5.00 and (b) the 10-trading day volume-weighted average closing price of the Common Stock.</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13, 2026, 35,792 shares of Series B Preferred Stock were issued and outstanding.</w:t>
      </w:r>
    </w:p>
    <w:p>
      <w:pPr>
        <w:spacing w:after="0" w:line="3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Innventure Warrants</w:t>
      </w:r>
    </w:p>
    <w:p>
      <w:pPr>
        <w:spacing w:after="0" w:line="121" w:lineRule="exact"/>
        <w:rPr>
          <w:sz w:val="20"/>
          <w:szCs w:val="20"/>
          <w:color w:val="auto"/>
        </w:rPr>
      </w:pPr>
    </w:p>
    <w:p>
      <w:pPr>
        <w:ind w:left="320" w:right="37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Innventure assumed that certain Warrant Agreement (the “Warrant Agreement”), dated as of October 12, 2021, by and between Learn CW and Equiniti Trust Company, LLC (f/k/a American Stock Transfer &amp; Trust Company, LLC), and each of the outstanding public warrants and outstanding private placement warrants (collectively, the “Learn CW Warrants”) to acquire one Class A ordinary share, par value $0.0001 per share, of Learn CW (a “Learn CW Ordinary Share”) were, pursuant to their terms, converted into warrants to acquire, subject to substantially the same terms and conditions as were applicable under the applicable Learn CW Warrant, the number of shares of Innventure’s Common Stock equal to the number of Learn CW Ordinary Shares for which such Learn CW Warrants shall have been exercisable.</w:t>
      </w:r>
    </w:p>
    <w:p>
      <w:pPr>
        <w:spacing w:after="0" w:line="84" w:lineRule="exact"/>
        <w:rPr>
          <w:sz w:val="20"/>
          <w:szCs w:val="20"/>
          <w:color w:val="auto"/>
        </w:rPr>
      </w:pPr>
    </w:p>
    <w:p>
      <w:pPr>
        <w:ind w:left="320" w:right="299" w:firstLine="360"/>
        <w:spacing w:after="0" w:line="255" w:lineRule="auto"/>
        <w:rPr>
          <w:sz w:val="20"/>
          <w:szCs w:val="20"/>
          <w:color w:val="auto"/>
        </w:rPr>
      </w:pPr>
      <w:r>
        <w:rPr>
          <w:rFonts w:ascii="Times New Roman" w:cs="Times New Roman" w:eastAsia="Times New Roman" w:hAnsi="Times New Roman"/>
          <w:sz w:val="18"/>
          <w:szCs w:val="18"/>
          <w:color w:val="auto"/>
        </w:rPr>
        <w:t>Each whole Innventure Warrant entitles the registered holder to purchase one share of Common Stock at a price of $11.50 per share, subject to adjustment as discussed below, except as discussed in the immediately following paragraph. Pursuant to the Warrant Agreement, an Innventure Warrant holder may exercise its Innventure Warrants only for a whole number of shares of Common Stock. This means only a whole Innventure Warrant may be exercised at a given time by an Innventure Warrant holder. The Innventure Warrants will expire five years after the completion of the Business Combination, at 5:00 p.m., New York City time, or earlier upon redemption or liquidation.</w:t>
      </w:r>
    </w:p>
    <w:p>
      <w:pPr>
        <w:spacing w:after="0" w:line="81" w:lineRule="exact"/>
        <w:rPr>
          <w:sz w:val="20"/>
          <w:szCs w:val="20"/>
          <w:color w:val="auto"/>
        </w:rPr>
      </w:pPr>
    </w:p>
    <w:p>
      <w:pPr>
        <w:ind w:left="320" w:right="299" w:firstLine="360"/>
        <w:spacing w:after="0" w:line="254" w:lineRule="auto"/>
        <w:rPr>
          <w:sz w:val="20"/>
          <w:szCs w:val="20"/>
          <w:color w:val="auto"/>
        </w:rPr>
      </w:pPr>
      <w:r>
        <w:rPr>
          <w:rFonts w:ascii="Times New Roman" w:cs="Times New Roman" w:eastAsia="Times New Roman" w:hAnsi="Times New Roman"/>
          <w:sz w:val="18"/>
          <w:szCs w:val="18"/>
          <w:color w:val="auto"/>
        </w:rPr>
        <w:t>We will not be obligated to deliver any Common Stock pursuant to the exercise of an Innventure Warrant and will have no obligation to settle such Innventure Warrant exercise unless a registration statement under the Securities Act with respect to the shares of Common Stock underlying the Innventure Warrants is then effective and a prospectus relating thereto is current, subject to our satisfying our obligations with respect to registration, or a valid exemption from registration is available. In the event that such conditions are not satisfied with respect to an Innventure Warrant, the holder of such Innventure Warrant will not be entitled to exercise such Innventure Warrant and such Innventure Warrant may have no value and expire worthless. In no event will we be required to net cash settle any Innventure Warrant.</w:t>
      </w:r>
    </w:p>
    <w:p>
      <w:pPr>
        <w:spacing w:after="0" w:line="84" w:lineRule="exact"/>
        <w:rPr>
          <w:sz w:val="20"/>
          <w:szCs w:val="20"/>
          <w:color w:val="auto"/>
        </w:rPr>
      </w:pPr>
    </w:p>
    <w:p>
      <w:pPr>
        <w:ind w:left="320" w:right="459" w:firstLine="360"/>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If, upon exercise, a holder would be entitled to receive a fractional interest in a share, we will round down to the nearest whole number of the number of shares to be issued to the holder.</w:t>
      </w:r>
    </w:p>
    <w:p>
      <w:pPr>
        <w:spacing w:after="0" w:line="68" w:lineRule="exact"/>
        <w:rPr>
          <w:sz w:val="20"/>
          <w:szCs w:val="20"/>
          <w:color w:val="auto"/>
        </w:rPr>
      </w:pPr>
    </w:p>
    <w:p>
      <w:pPr>
        <w:ind w:left="320" w:right="479" w:firstLine="360"/>
        <w:spacing w:after="0" w:line="282" w:lineRule="auto"/>
        <w:rPr>
          <w:sz w:val="20"/>
          <w:szCs w:val="20"/>
          <w:color w:val="auto"/>
        </w:rPr>
      </w:pPr>
      <w:r>
        <w:rPr>
          <w:rFonts w:ascii="Times New Roman" w:cs="Times New Roman" w:eastAsia="Times New Roman" w:hAnsi="Times New Roman"/>
          <w:sz w:val="18"/>
          <w:szCs w:val="18"/>
          <w:color w:val="auto"/>
        </w:rPr>
        <w:t>The Innventure Warrant holders do not have the rights or privileges of holders of shares of Common Stock or any voting rights until they exercise their Innventure Warrants and receive shares of Common Stock. After the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85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3405" cy="798512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499"/>
        <w:spacing w:after="0" w:line="282" w:lineRule="auto"/>
        <w:rPr>
          <w:sz w:val="20"/>
          <w:szCs w:val="20"/>
          <w:color w:val="auto"/>
        </w:rPr>
      </w:pPr>
      <w:r>
        <w:rPr>
          <w:rFonts w:ascii="Times New Roman" w:cs="Times New Roman" w:eastAsia="Times New Roman" w:hAnsi="Times New Roman"/>
          <w:sz w:val="18"/>
          <w:szCs w:val="18"/>
          <w:color w:val="auto"/>
        </w:rPr>
        <w:t>issuance of shares of Common Stock upon exercise of the Innventure Warrants, each holder will be entitled to one vote for each share held of record on all matters to be voted on by Innventure stockholders.</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121" w:lineRule="exact"/>
        <w:rPr>
          <w:sz w:val="20"/>
          <w:szCs w:val="20"/>
          <w:color w:val="auto"/>
        </w:rPr>
      </w:pPr>
    </w:p>
    <w:p>
      <w:pPr>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At the Closing, the Company, the Sponsor, and certain other holders of shares of Common Stock entered into the A&amp;R Registration Rights Agreement. The A&amp;R Registration Rights Agreement provides these holders (and their permitted transferees) with the right to require the Company, at the Company’s expense, to register the Common Stock that they hold, on customary terms, including customary demand and piggyback registration rights. The A&amp;R Registration Rights Agreement also provides that the Company pay certain expenses of the electing holders relating to such registration and indemnify them against liabilities that may arise under the Securities Act.</w:t>
      </w:r>
    </w:p>
    <w:p>
      <w:pPr>
        <w:spacing w:after="0" w:line="79" w:lineRule="exact"/>
        <w:rPr>
          <w:sz w:val="20"/>
          <w:szCs w:val="20"/>
          <w:color w:val="auto"/>
        </w:rPr>
      </w:pPr>
    </w:p>
    <w:p>
      <w:pPr>
        <w:ind w:left="320" w:right="939" w:firstLine="360"/>
        <w:spacing w:after="0" w:line="282" w:lineRule="auto"/>
        <w:rPr>
          <w:sz w:val="20"/>
          <w:szCs w:val="20"/>
          <w:color w:val="auto"/>
        </w:rPr>
      </w:pPr>
      <w:r>
        <w:rPr>
          <w:rFonts w:ascii="Times New Roman" w:cs="Times New Roman" w:eastAsia="Times New Roman" w:hAnsi="Times New Roman"/>
          <w:sz w:val="18"/>
          <w:szCs w:val="18"/>
          <w:color w:val="auto"/>
        </w:rPr>
        <w:t>On March 11, 2025, all shares of Common Stock held by the Sponsor were assigned to members of the Sponsor, which members became parties to the A&amp;R Registration Rights Agreement.</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WTI Facility</w:t>
      </w:r>
    </w:p>
    <w:p>
      <w:pPr>
        <w:spacing w:after="0" w:line="121" w:lineRule="exact"/>
        <w:rPr>
          <w:sz w:val="20"/>
          <w:szCs w:val="20"/>
          <w:color w:val="auto"/>
        </w:rPr>
      </w:pPr>
    </w:p>
    <w:p>
      <w:pPr>
        <w:ind w:left="320" w:right="299" w:firstLine="360"/>
        <w:spacing w:after="0" w:line="274" w:lineRule="auto"/>
        <w:rPr>
          <w:sz w:val="20"/>
          <w:szCs w:val="20"/>
          <w:color w:val="auto"/>
        </w:rPr>
      </w:pPr>
      <w:r>
        <w:rPr>
          <w:rFonts w:ascii="Times New Roman" w:cs="Times New Roman" w:eastAsia="Times New Roman" w:hAnsi="Times New Roman"/>
          <w:sz w:val="17"/>
          <w:szCs w:val="17"/>
          <w:color w:val="auto"/>
        </w:rPr>
        <w:t>On October 22, 2024 (the “WTI Closing Date”), Innventure LLC entered into a Loan and Security Agreement with WTI Fund X, Inc. and WTI Fund XI, Inc. (collectively, the “WTI Lenders”), as supplemented by the Supplement (the “Supplement”) to the Loan and Security Agreement, dated October 22, 2024, by and among Innventure LLC and the WTI Lenders (the “Loan and Security Agreement”). Further, Innventure LLC, the Company (Innventure) and the WTI Lenders entered into a joinder agreement, pursuant to which the Company became a co-borrower under the Loan and Security Agreement and related loan documents (collectively, the “Loan Documents”).</w:t>
      </w:r>
    </w:p>
    <w:p>
      <w:pPr>
        <w:spacing w:after="0" w:line="65" w:lineRule="exact"/>
        <w:rPr>
          <w:sz w:val="20"/>
          <w:szCs w:val="20"/>
          <w:color w:val="auto"/>
        </w:rPr>
      </w:pPr>
    </w:p>
    <w:p>
      <w:pPr>
        <w:ind w:left="320" w:right="299" w:firstLine="360"/>
        <w:spacing w:after="0" w:line="253" w:lineRule="auto"/>
        <w:rPr>
          <w:sz w:val="20"/>
          <w:szCs w:val="20"/>
          <w:color w:val="auto"/>
        </w:rPr>
      </w:pPr>
      <w:r>
        <w:rPr>
          <w:rFonts w:ascii="Times New Roman" w:cs="Times New Roman" w:eastAsia="Times New Roman" w:hAnsi="Times New Roman"/>
          <w:sz w:val="18"/>
          <w:szCs w:val="18"/>
          <w:color w:val="auto"/>
        </w:rPr>
        <w:t>The Loan and Security Agreement provides for a term loan facility in an aggregate principal amount of up to $50 million (the “WTI Facility”), of which (i) up to $20 million was made available after the WTI Closing Date and through November 15, 2024 (the “First Tranche”); (ii) up to $15 million was made available after November 1, 2024 and through November 30, 2024 (the “Second Tranche”); and (iii) up to $15 million was made available after December 31, 2024 and through January 31, 2025 (the “Third Tranche”) (provided that up to $7.5 million of the Third Tranche was made available until March 31, 2025), in each case, subject to the satisfaction of certain conditions, including, without limitation, (x) with respect to the First Tranche, available cash (after giving effect to the loans to be made under the First Tranche) of $35 million and (y) with respect to each of the Second Tranche and the Third Tranche, satisfaction of certain financial conditions and the WTI Lenders’ satisfaction with the Company’s forward-looking plan at such time. In the event that no loans are made prior to March 31, 2025, the obligations in the Loan and Security Agreement and the Supplement that would otherwise remain in effect until payment in full shall terminate.</w:t>
      </w:r>
    </w:p>
    <w:p>
      <w:pPr>
        <w:spacing w:after="0" w:line="82" w:lineRule="exact"/>
        <w:rPr>
          <w:sz w:val="20"/>
          <w:szCs w:val="20"/>
          <w:color w:val="auto"/>
        </w:rPr>
      </w:pPr>
    </w:p>
    <w:p>
      <w:pPr>
        <w:ind w:left="320" w:right="299" w:firstLine="360"/>
        <w:spacing w:after="0" w:line="255" w:lineRule="auto"/>
        <w:rPr>
          <w:sz w:val="20"/>
          <w:szCs w:val="20"/>
          <w:color w:val="auto"/>
        </w:rPr>
      </w:pPr>
      <w:r>
        <w:rPr>
          <w:rFonts w:ascii="Times New Roman" w:cs="Times New Roman" w:eastAsia="Times New Roman" w:hAnsi="Times New Roman"/>
          <w:sz w:val="18"/>
          <w:szCs w:val="18"/>
          <w:color w:val="auto"/>
        </w:rPr>
        <w:t>The Company received all $20 million of the First Tranche on November 15, 2024. The First Tranche, principal and interest, shall be repaid over a period of 30 months in equal, monthly installments, commencing after an initial 12-month period of interest-only monthly payments, resulting in a total term of 42 months. Borrowings under the First Tranche accrue interest at a rate per annum equal to the greater of (i) the “prime rate” of interest, as published by The Wall Street Journal on the date that the WTI Lenders prepare the promissory notes for the borrowings under such tranche, plus 5.00% and (ii) 13.50%. As of the date of this prospectus, the funds under each of the Second Tranche and Third Tranche are no longer available to the Company.</w:t>
      </w:r>
    </w:p>
    <w:p>
      <w:pPr>
        <w:spacing w:after="0" w:line="81" w:lineRule="exact"/>
        <w:rPr>
          <w:sz w:val="20"/>
          <w:szCs w:val="20"/>
          <w:color w:val="auto"/>
        </w:rPr>
      </w:pPr>
    </w:p>
    <w:p>
      <w:pPr>
        <w:ind w:left="320" w:right="639" w:firstLine="360"/>
        <w:spacing w:after="0" w:line="282" w:lineRule="auto"/>
        <w:rPr>
          <w:sz w:val="20"/>
          <w:szCs w:val="20"/>
          <w:color w:val="auto"/>
        </w:rPr>
      </w:pPr>
      <w:r>
        <w:rPr>
          <w:rFonts w:ascii="Times New Roman" w:cs="Times New Roman" w:eastAsia="Times New Roman" w:hAnsi="Times New Roman"/>
          <w:sz w:val="18"/>
          <w:szCs w:val="18"/>
          <w:color w:val="auto"/>
        </w:rPr>
        <w:t>Obligations under the Loan Documents are secured by a lien on substantially all of the assets of Innventure LLC and the Company.</w:t>
      </w:r>
    </w:p>
    <w:p>
      <w:pPr>
        <w:spacing w:after="0" w:line="54" w:lineRule="exact"/>
        <w:rPr>
          <w:sz w:val="20"/>
          <w:szCs w:val="20"/>
          <w:color w:val="auto"/>
        </w:rPr>
      </w:pPr>
    </w:p>
    <w:p>
      <w:pPr>
        <w:ind w:left="320" w:right="359" w:firstLine="360"/>
        <w:spacing w:after="0" w:line="261" w:lineRule="auto"/>
        <w:rPr>
          <w:sz w:val="20"/>
          <w:szCs w:val="20"/>
          <w:color w:val="auto"/>
        </w:rPr>
      </w:pPr>
      <w:r>
        <w:rPr>
          <w:rFonts w:ascii="Times New Roman" w:cs="Times New Roman" w:eastAsia="Times New Roman" w:hAnsi="Times New Roman"/>
          <w:sz w:val="18"/>
          <w:szCs w:val="18"/>
          <w:color w:val="auto"/>
        </w:rPr>
        <w:t>The Loan Documents contain various representations, warranties, covenants and events of default, including, without limitation, certain restrictions on the ability of Innventure LLC, the Company and their subsidiaries to incur indebtedness, grant liens, transfer assets, make investments, make dividends and other distributions and make certain payments of other indebtedness.</w:t>
      </w:r>
    </w:p>
    <w:p>
      <w:pPr>
        <w:spacing w:after="0" w:line="72" w:lineRule="exact"/>
        <w:rPr>
          <w:sz w:val="20"/>
          <w:szCs w:val="20"/>
          <w:color w:val="auto"/>
        </w:rPr>
      </w:pPr>
    </w:p>
    <w:p>
      <w:pPr>
        <w:ind w:left="320" w:right="31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Loan and Security Agreement, Innventure issued the 2024 WTI Warrants to purchase up to $10 million of shares of Common Stock to the WTI Holders (affiliates of the WTI Lenders). Each warrant is exercisable into one share of Common Stock (subject to certain limitations, adjustment and certain other rights to possible future financings in accordance with terms of the 2024 WTI Warrants) through March 31, 2035. The number of shares issuable upon exercise of each 2024 WTI Warrant equals the 2024 WTI Warrants Coverage Amount (as defined below) divided by the 2024 WTI Warrants Exercise Price (as defined below). The “2024 WTI</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19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3405" cy="80194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19"/>
        <w:spacing w:after="0" w:line="269" w:lineRule="auto"/>
        <w:rPr>
          <w:sz w:val="20"/>
          <w:szCs w:val="20"/>
          <w:color w:val="auto"/>
        </w:rPr>
      </w:pPr>
      <w:r>
        <w:rPr>
          <w:rFonts w:ascii="Times New Roman" w:cs="Times New Roman" w:eastAsia="Times New Roman" w:hAnsi="Times New Roman"/>
          <w:sz w:val="17"/>
          <w:szCs w:val="17"/>
          <w:color w:val="auto"/>
        </w:rPr>
        <w:t>Warrants Coverage Amount” is $10,000,000 ($7,500,000 for WTI Fund X, LLC and $2,500,000 for WTI Fund XI, LLC). The “2024 WTI Warrants Exercise Price” is initially $10.00 per share; however, if the VWAP of the Common Stock over the five trading days preceding April 3, 2026 is less than $10.00, the Exercise Price will be reduce to that lower VWAP. The WTI Warrants include customary registration rights and change-of-control adjustments and may be exchanged, at each of WTI Fund X, LLC’s and WTI Fund XI, LLC’s option, for a cash amount equal to</w:t>
      </w:r>
    </w:p>
    <w:p>
      <w:pPr>
        <w:spacing w:after="0" w:line="3" w:lineRule="exact"/>
        <w:rPr>
          <w:sz w:val="20"/>
          <w:szCs w:val="20"/>
          <w:color w:val="auto"/>
        </w:rPr>
      </w:pPr>
    </w:p>
    <w:p>
      <w:pPr>
        <w:ind w:left="320" w:right="379"/>
        <w:spacing w:after="0" w:line="253" w:lineRule="auto"/>
        <w:rPr>
          <w:sz w:val="20"/>
          <w:szCs w:val="20"/>
          <w:color w:val="auto"/>
        </w:rPr>
      </w:pPr>
      <w:r>
        <w:rPr>
          <w:rFonts w:ascii="Times New Roman" w:cs="Times New Roman" w:eastAsia="Times New Roman" w:hAnsi="Times New Roman"/>
          <w:sz w:val="18"/>
          <w:szCs w:val="18"/>
          <w:color w:val="auto"/>
        </w:rPr>
        <w:t>$15 million (in the aggregate), subject to adjustment to the extent a 2024 WTI Warrant is partially exercised, in lieu of exercise upon a change of control, at any time from and after the four-year anniversary of the Closing. Each of WTI Fund X, LLC and WTI Fund XI, LLC will also have the option to purchase up to $5 million (in the aggregate) or such amount as is necessary for each of WTI Fund X, LLC and WTI Fund XI, LLC to maintain its pro rata ownership in certain future financings conducted by the Company, subject to customary exclusions.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Additionally, on April 14, 2025 the Company issued the 2025 WTI Warrants to purchase up to $3 million of</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shares of Common Stock to the WTI Holders as consideration for the WTI Lenders and the WTI Holders entering</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into a consent with the Company and Innventure LLC, dated March 21, 2025, pursuant to which, among other</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things, the WTI Lenders and the WTI Holders consented to (i) the Company entering into that certain securities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purchase agreement, dated March 25, 2025, entered into with Yorkville, and the transactions contemplated thereby</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and (ii) the Company’s issuance of its Series C Preferred Stock (as defined below) and the payoffs of certain related</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party loans. Each warrant is exercisable through March 31, 2035. The number of shares issuable upon exercise of</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each 2025 WTI Warrant is calculated by dividing the 2025 WTI Warrants Coverage Amount (as defined below) by</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2025 WTI Warrants Exercise Price (as defined below). The “2025 WTI Warrants Coverage Amount” is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$3,000,000 ($2,250,000 for WTI Fund X, LLC and $750,000 for WTI Fund XI, LLC). The “2025 WTI Warrants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Exercise Price” is initially equal to the VWAP over the 30 trading days ending on the trading day immediately</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preceding April 14, 2025; however, as of October 14, 2026, if the VWAP over the five trading days preceding</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October 14, 2026 is lower, the 2025 WTI Warrants Exercise Price will be reduced to that lower VWAP. Please see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section titled “Shares Eligible for Future Sale” elsewhere in this prospectus for more information.</w:t>
      </w:r>
    </w:p>
    <w:p>
      <w:pPr>
        <w:spacing w:after="0" w:line="3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 Financing</w:t>
      </w:r>
    </w:p>
    <w:p>
      <w:pPr>
        <w:spacing w:after="0" w:line="121" w:lineRule="exact"/>
        <w:rPr>
          <w:sz w:val="20"/>
          <w:szCs w:val="20"/>
          <w:color w:val="auto"/>
        </w:rPr>
      </w:pPr>
    </w:p>
    <w:p>
      <w:pPr>
        <w:ind w:left="320" w:right="339" w:firstLine="360"/>
        <w:spacing w:after="0" w:line="254" w:lineRule="auto"/>
        <w:rPr>
          <w:sz w:val="20"/>
          <w:szCs w:val="20"/>
          <w:color w:val="auto"/>
        </w:rPr>
      </w:pPr>
      <w:r>
        <w:rPr>
          <w:rFonts w:ascii="Times New Roman" w:cs="Times New Roman" w:eastAsia="Times New Roman" w:hAnsi="Times New Roman"/>
          <w:sz w:val="18"/>
          <w:szCs w:val="18"/>
          <w:color w:val="auto"/>
        </w:rPr>
        <w:t>On March 24, 2025 (the “Series C Closing Date”), the Company entered into preferred stock purchase agreements (each, a “Series C Purchase Agreement” and, collectively, the “Series C Purchase Agreements”) with certain purchasers (the “Series C Purchasers”), pursuant to which the Company issued and sold to the Series C Purchasers an aggregate of up to 275,000 shares of the Company’s Series C preferred stock, par value $0.0001 per share (the “Series C Preferred Stock”), in a private placement, at a price of $10.00 per share of Series C Preferred Stock, resulting in an aggregate purchase price of approximately $2,750,000 before deducting fees and other estimated offering expenses (such offering, the “Series C Preferred Stock Financing”). The Series C Preferred Stock Financing closed on the Series C Closing Date.</w:t>
      </w:r>
    </w:p>
    <w:p>
      <w:pPr>
        <w:spacing w:after="0" w:line="84" w:lineRule="exact"/>
        <w:rPr>
          <w:sz w:val="20"/>
          <w:szCs w:val="20"/>
          <w:color w:val="auto"/>
        </w:rPr>
      </w:pPr>
    </w:p>
    <w:p>
      <w:pPr>
        <w:ind w:left="320" w:right="299" w:firstLine="360"/>
        <w:spacing w:after="0" w:line="254" w:lineRule="auto"/>
        <w:rPr>
          <w:sz w:val="20"/>
          <w:szCs w:val="20"/>
          <w:color w:val="auto"/>
        </w:rPr>
      </w:pPr>
      <w:r>
        <w:rPr>
          <w:rFonts w:ascii="Times New Roman" w:cs="Times New Roman" w:eastAsia="Times New Roman" w:hAnsi="Times New Roman"/>
          <w:sz w:val="18"/>
          <w:szCs w:val="18"/>
          <w:color w:val="auto"/>
        </w:rPr>
        <w:t>The Series C Purchase Agreements contain customary representations, warranties, and covenants by the parties, including certain indemnification obligations of the Series C Purchasers. The representations, warranties, and covenants contained in the Series C Purchase Agreements were made only for purposes of such agreements and as of specific dates, were solely for the benefit of the Series C Purchasers and are subject to limitations agreed upon by contracting parties. As part of the Series C Purchase Agreements, the Company is required to prepare and file a registration statement with the Commission under the Securities Act, covering the resale of the shares of Common Stock issuable upon conversion of Series C Preferred Stock within 120 days from the original issuance date, which obligation is to be satisfied hereby.</w:t>
      </w:r>
    </w:p>
    <w:p>
      <w:pPr>
        <w:spacing w:after="0" w:line="84" w:lineRule="exact"/>
        <w:rPr>
          <w:sz w:val="20"/>
          <w:szCs w:val="20"/>
          <w:color w:val="auto"/>
        </w:rPr>
      </w:pPr>
    </w:p>
    <w:p>
      <w:pPr>
        <w:ind w:left="320" w:right="399" w:firstLine="360"/>
        <w:spacing w:after="0" w:line="270" w:lineRule="auto"/>
        <w:rPr>
          <w:sz w:val="20"/>
          <w:szCs w:val="20"/>
          <w:color w:val="auto"/>
        </w:rPr>
      </w:pPr>
      <w:r>
        <w:rPr>
          <w:rFonts w:ascii="Times New Roman" w:cs="Times New Roman" w:eastAsia="Times New Roman" w:hAnsi="Times New Roman"/>
          <w:sz w:val="17"/>
          <w:szCs w:val="17"/>
          <w:color w:val="auto"/>
        </w:rPr>
        <w:t>On the Series C Closing Date, the Company also filed a Certificate of Designations with the Secretary of State of the State of Delaware setting forth the terms, rights, obligations and preferences of the Series C Preferred Stock, which became effective upon filing. Pursuant to the Series C Preferred Certificate of Designation, the shares of Series C Preferred Stock have a maturity date five years after the Series C Closing Date and carry an annual</w:t>
      </w:r>
    </w:p>
    <w:p>
      <w:pPr>
        <w:spacing w:after="0" w:line="3" w:lineRule="exact"/>
        <w:rPr>
          <w:sz w:val="20"/>
          <w:szCs w:val="20"/>
          <w:color w:val="auto"/>
        </w:rPr>
      </w:pPr>
    </w:p>
    <w:p>
      <w:pPr>
        <w:ind w:left="320" w:right="319"/>
        <w:spacing w:after="0" w:line="252" w:lineRule="auto"/>
        <w:rPr>
          <w:sz w:val="20"/>
          <w:szCs w:val="20"/>
          <w:color w:val="auto"/>
        </w:rPr>
      </w:pPr>
      <w:r>
        <w:rPr>
          <w:rFonts w:ascii="Times New Roman" w:cs="Times New Roman" w:eastAsia="Times New Roman" w:hAnsi="Times New Roman"/>
          <w:sz w:val="18"/>
          <w:szCs w:val="18"/>
          <w:color w:val="auto"/>
        </w:rPr>
        <w:t>8.0% cumulative dividend, which will be paid prior to and in preference over any Junior Stock or Parity Stock (each as defined below). On the last day of the last quarter in each fiscal year of the Company, such dividends will be made as a payment in kind. “Junior Stock” means (i) the Common Stock, (ii) any other preferred stock, other than the Series B Preferred Stock, and (ii) any other equity interest of the Company, in each case which by its terms ranks junior to the Series C Preferred Stock with respect to payment of dividends and/or distribution of assets. “Parity Stock” means the Company’s Series B Preferred Stock and any equity interest of the Company hereinafter created which by its terms ranks pari passu with the Series C Preferred Stock.</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56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299" w:firstLine="360"/>
        <w:spacing w:after="0" w:line="253" w:lineRule="auto"/>
        <w:rPr>
          <w:sz w:val="20"/>
          <w:szCs w:val="20"/>
          <w:color w:val="auto"/>
        </w:rPr>
      </w:pPr>
      <w:r>
        <w:rPr>
          <w:rFonts w:ascii="Times New Roman" w:cs="Times New Roman" w:eastAsia="Times New Roman" w:hAnsi="Times New Roman"/>
          <w:sz w:val="18"/>
          <w:szCs w:val="18"/>
          <w:color w:val="auto"/>
        </w:rPr>
        <w:t>With respect to (i) payment of dividends, (ii) distribution of assets and (iii) all other liquidation, winding up, dissolution, dividend and redemption rights, the Series C Preferred Stock shall rank pari passu in priority of payment to all Parity Stock and senior in priority of payment to all Junior Stock in any liquidation, dissolution, winding up or distribution of the Company, and junior to any existing or future secured or unsecured indebtedness and other liabilities (including trade payables) of the Company. Per each whole share of Series C Preferred Stock, the holders of Series C Preferred Stock will be entitled to cast the number of votes equal to (i) the original issue price, which is $10.00 (the “Series C Original Issue Price”), divided by (ii) the Minimum Price (as defined in NASDAQ Listing Rule 5635(d)) of Common Stock as of the Initial Issue Date (as determined by reference to the NASDAQ Official Closing Price) and will vote with the holders of the Common Stock as a single class and on an as-converted basis, except as provided by law or applicable NASDAQ listing rules.</w:t>
      </w:r>
    </w:p>
    <w:p>
      <w:pPr>
        <w:spacing w:after="0" w:line="86" w:lineRule="exact"/>
        <w:rPr>
          <w:sz w:val="20"/>
          <w:szCs w:val="20"/>
          <w:color w:val="auto"/>
        </w:rPr>
      </w:pPr>
    </w:p>
    <w:p>
      <w:pPr>
        <w:ind w:left="320" w:right="339" w:firstLine="360"/>
        <w:spacing w:after="0" w:line="269" w:lineRule="auto"/>
        <w:rPr>
          <w:sz w:val="20"/>
          <w:szCs w:val="20"/>
          <w:color w:val="auto"/>
        </w:rPr>
      </w:pPr>
      <w:r>
        <w:rPr>
          <w:rFonts w:ascii="Times New Roman" w:cs="Times New Roman" w:eastAsia="Times New Roman" w:hAnsi="Times New Roman"/>
          <w:sz w:val="17"/>
          <w:szCs w:val="17"/>
          <w:color w:val="auto"/>
        </w:rPr>
        <w:t>Shares of Series C Preferred Stock are subject to (i) a mandatory conversion on the date that is five years after original issuance (the “Series C Maturity Date”) and (ii) an optional conversion, at the election of the holder, at any time prior to the Series C Maturity Date upon the effectiveness of a registration statement by the Company registering the underlying shares of Common Stock issuable upon conversion (including this registration statement). The number of shares of Common Stock that each holder of Series C Preferred Stock will receive upon conversion of all of such holder’s shares of Series C Preferred Stock will be the number of shares equal to the Series C Conversion Rate (as defined below) multiplied by the number of shares of Series C Preferred Stock held by such holder (subject to a threshold amount). No fractional shares shall be issued upon the exercise of any conversion right. Any fractional shares that a holder would otherwise be entitled to will be rounded up to the next whole share. The “Series C Conversion Rate” means a fraction whose numerator is the Series C Original Issue Price and whose denominator is the lesser of (i) the Reset Conversion Price or (ii) $12.50. The “Reset Conversion Price” means the greater of (a) $5.00 and (b) the 10-trading day volume-weighted average closing price of the Common Stock.</w:t>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13, 2026, 159,270 shares of Series C Preferred Stock were issued and outstanding.</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Debentures</w:t>
      </w:r>
    </w:p>
    <w:p>
      <w:pPr>
        <w:spacing w:after="0" w:line="121" w:lineRule="exact"/>
        <w:rPr>
          <w:sz w:val="20"/>
          <w:szCs w:val="20"/>
          <w:color w:val="auto"/>
        </w:rPr>
      </w:pPr>
    </w:p>
    <w:p>
      <w:pPr>
        <w:ind w:left="320" w:right="319" w:firstLine="360"/>
        <w:spacing w:after="0" w:line="253" w:lineRule="auto"/>
        <w:rPr>
          <w:sz w:val="20"/>
          <w:szCs w:val="20"/>
          <w:color w:val="auto"/>
        </w:rPr>
      </w:pPr>
      <w:r>
        <w:rPr>
          <w:rFonts w:ascii="Times New Roman" w:cs="Times New Roman" w:eastAsia="Times New Roman" w:hAnsi="Times New Roman"/>
          <w:sz w:val="18"/>
          <w:szCs w:val="18"/>
          <w:color w:val="auto"/>
        </w:rPr>
        <w:t>On September 15, 2025, the Company entered into the Securities Purchase Agreement with Yorkville, in connection with the issuance and sale by the Company of Convertible Debentures issuable in an aggregate principal amount of up to $15,000,000, which Convertible Debentures converted into shares of the Company’s Common Stock (as converted, the “Conversion Shares”). Pursuant to the Securities Purchase Agreement, Yorkville purchased, and the Company issued, $10,000,000 in aggregate principal amount of Convertible Debentures (the “Third Convertible Debenture”) on September 15, 2025, upon satisfaction of certain closing conditions in the Securities Purchase Agreement. Yorkville purchased and the Company issued an additional $5,000,000 in aggregate principal amount of Convertible Debentures (the “Fourth Convertible Debenture”) on November 12, 2025. The Convertible Debentures resulted in gross proceeds to the Company of approximately $11,500,000 (including the original issue discount of 10% and the repayment of $2,000,000 that was due on September 14, 2025).</w:t>
      </w:r>
    </w:p>
    <w:p>
      <w:pPr>
        <w:spacing w:after="0" w:line="86" w:lineRule="exact"/>
        <w:rPr>
          <w:sz w:val="20"/>
          <w:szCs w:val="20"/>
          <w:color w:val="auto"/>
        </w:rPr>
      </w:pPr>
    </w:p>
    <w:p>
      <w:pPr>
        <w:ind w:left="320" w:right="359" w:firstLine="360"/>
        <w:spacing w:after="0" w:line="258" w:lineRule="auto"/>
        <w:rPr>
          <w:sz w:val="20"/>
          <w:szCs w:val="20"/>
          <w:color w:val="auto"/>
        </w:rPr>
      </w:pPr>
      <w:r>
        <w:rPr>
          <w:rFonts w:ascii="Times New Roman" w:cs="Times New Roman" w:eastAsia="Times New Roman" w:hAnsi="Times New Roman"/>
          <w:sz w:val="18"/>
          <w:szCs w:val="18"/>
          <w:color w:val="auto"/>
        </w:rPr>
        <w:t>As of January 27, 2026, Yorkville fully converted all Conversion Shares under the Third Convertible Debenture, and on January 28, 2026, the Company redeemed the Fourth Convertible Debenture, which redemption terminated all obligations imposed upon the Company under the Securities Purchase Agreement. Furthermore, as of March 17, 2026, Yorkville continued to beneficially own 65,000 Conversion Shares, which Yorkville received in connection with its conversion of the Third Convertible Debenture.</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PIPE Investment</w:t>
      </w:r>
    </w:p>
    <w:p>
      <w:pPr>
        <w:spacing w:after="0" w:line="121" w:lineRule="exact"/>
        <w:rPr>
          <w:sz w:val="20"/>
          <w:szCs w:val="20"/>
          <w:color w:val="auto"/>
        </w:rPr>
      </w:pPr>
    </w:p>
    <w:p>
      <w:pPr>
        <w:ind w:left="320" w:right="299" w:firstLine="360"/>
        <w:spacing w:after="0" w:line="253" w:lineRule="auto"/>
        <w:rPr>
          <w:sz w:val="20"/>
          <w:szCs w:val="20"/>
          <w:color w:val="auto"/>
        </w:rPr>
      </w:pPr>
      <w:r>
        <w:rPr>
          <w:rFonts w:ascii="Times New Roman" w:cs="Times New Roman" w:eastAsia="Times New Roman" w:hAnsi="Times New Roman"/>
          <w:sz w:val="18"/>
          <w:szCs w:val="18"/>
          <w:color w:val="auto"/>
        </w:rPr>
        <w:t>On October 3, 2025, the Company entered into the Subscription Agreements with the Subscribers, pursuant to which the Company agreed to issue to the Subscribers, in a private placement, an aggregate of 1,625,235 shares of Common Stock and Series A Warrants to purchase an aggregate of 1,625,235 shares of Common Stock (the “Warrant Shares”) at an aggregate price of $6.00 for one share of Common Stock and one Series A Warrant (the “PIPE Investment”). The Series A Warrants have an exercise price of $8.00 per share, will be exercisable at any time on or after April 6, 2026 (the calendar day following the six month anniversary of the date of issuance), will expire on October 3, 2030 and are redeemable by the Company at a price of $0.01 per Series A Warrant if the last sales price of the Common Stock has been equal to or greater than $15.00 per share (subject to adjustment for splits, dividends, recapitalizations and other similar events) for any twenty (20) trading days within a thirty (30) trading day period commencing after the Series A Warrants become exercisable. The sales of the securities pursuant to the Subscription Agreements closed on October 3, 2025. The gross proceeds to the Company from the PIPE Investment are approximately $9.75 million before deducting fees and other estimated offering expenses.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3733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3405" cy="373316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left="320" w:right="359" w:firstLine="360"/>
        <w:spacing w:after="0" w:line="274" w:lineRule="auto"/>
        <w:rPr>
          <w:sz w:val="20"/>
          <w:szCs w:val="20"/>
          <w:color w:val="auto"/>
        </w:rPr>
      </w:pPr>
      <w:r>
        <w:rPr>
          <w:rFonts w:ascii="Times New Roman" w:cs="Times New Roman" w:eastAsia="Times New Roman" w:hAnsi="Times New Roman"/>
          <w:sz w:val="17"/>
          <w:szCs w:val="17"/>
          <w:color w:val="auto"/>
        </w:rPr>
        <w:t>We are an “emerging growth company” as defined in Section 2(a)(19) of the Securities Act, as modified by the JOBS Act (as defined below). As such, we may take advantage of exemptions from various reporting requirements that are applicable to other public companies that are not “emerging growth companies,” including exemption from compliance with the auditor attestation requirements of Section 404, reduced disclosure obligations regarding executive compensation and exemptions from the requirements of holding a nonbinding advisory vote on executive compensation and stockholder approval of any golden parachute payments not previously approved.</w:t>
      </w:r>
    </w:p>
    <w:p>
      <w:pPr>
        <w:spacing w:after="0" w:line="65" w:lineRule="exact"/>
        <w:rPr>
          <w:sz w:val="20"/>
          <w:szCs w:val="20"/>
          <w:color w:val="auto"/>
        </w:rPr>
      </w:pPr>
    </w:p>
    <w:p>
      <w:pPr>
        <w:ind w:left="320" w:right="379" w:firstLine="360"/>
        <w:spacing w:after="0" w:line="270" w:lineRule="auto"/>
        <w:rPr>
          <w:sz w:val="20"/>
          <w:szCs w:val="20"/>
          <w:color w:val="auto"/>
        </w:rPr>
      </w:pPr>
      <w:r>
        <w:rPr>
          <w:rFonts w:ascii="Times New Roman" w:cs="Times New Roman" w:eastAsia="Times New Roman" w:hAnsi="Times New Roman"/>
          <w:sz w:val="17"/>
          <w:szCs w:val="17"/>
          <w:color w:val="auto"/>
        </w:rPr>
        <w:t>We will remain an emerging growth company until the earlier of (1) December 31, 2026, (2) the last day of the fiscal year (a) in which we have total annual gross revenue of at least $1.235 billion or (b) in which we are deemed to be a large accelerated filer, which means the market value of shares of our Common Stock that are held by non-affiliates exceeds $700.0 million as of the prior June 30, and (3) the date on which we have issued more than</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 billion in non-convertible debt during the prior three-year period.</w:t>
      </w:r>
    </w:p>
    <w:p>
      <w:pPr>
        <w:spacing w:after="0" w:line="3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20" w:right="619" w:firstLine="36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w:t>
      </w:r>
      <w:r>
        <w:rPr>
          <w:rFonts w:ascii="Times New Roman" w:cs="Times New Roman" w:eastAsia="Times New Roman" w:hAnsi="Times New Roman"/>
          <w:sz w:val="18"/>
          <w:szCs w:val="18"/>
          <w:u w:val="single" w:color="auto"/>
          <w:color w:val="auto"/>
        </w:rPr>
        <w:t>Risk Factors</w:t>
      </w:r>
      <w:r>
        <w:rPr>
          <w:rFonts w:ascii="Times New Roman" w:cs="Times New Roman" w:eastAsia="Times New Roman" w:hAnsi="Times New Roman"/>
          <w:sz w:val="18"/>
          <w:szCs w:val="18"/>
          <w:color w:val="auto"/>
        </w:rPr>
        <w:t>,” that represent challenges that we face in connection with the successful implementation of our strategy and growth of our business.</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20" w:right="859" w:firstLine="360"/>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6900 Tavistock Lakes Blvd, Suite 400, Orlando, Florida 32827, and our telephone number is (321) 209-6787.</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consider any risk factors contained in any applicable prospectus supplement, as well as the risk factors set forth in our most recently filed Annual Report on Form 10-K and any material changes to those risk factors set forth in a Quarterly Report on Form 10-Q. You should also refer to the other information in this prospectus and any applicable prospectus supplement, including our financial statements and the related notes incorporated by reference into this prospectus. Additional risks and uncertainties that are not yet identified may also materially harm our business, operating results and financial condition. If any of these risks actually occurs, our business, results of operations and financial condition could suffer. In that case, the trading price of our securities could decline, and you could lose all or part of your investment.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Some of the statements contained in this prospectus and any accompanying prospectus supplement or incorporated by reference into this prospectus and any accompanying prospectus supplement are forward-looking statements within the meaning of Section 27A of the Securities Act, and Section 21E of the Securities Exchange Act of 1934, as amended (the “Exchange Act”). Forward-looking statements are all statements other than those of historical fact, including statements about the Company’s business model, the financial condition, results of operations, earnings outlook and its Innventure Companies’ prospects.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79" w:lineRule="exact"/>
        <w:rPr>
          <w:sz w:val="20"/>
          <w:szCs w:val="20"/>
          <w:color w:val="auto"/>
        </w:rPr>
      </w:pPr>
    </w:p>
    <w:p>
      <w:pPr>
        <w:ind w:left="300" w:right="319" w:firstLine="360"/>
        <w:spacing w:after="0" w:line="273" w:lineRule="auto"/>
        <w:rPr>
          <w:sz w:val="20"/>
          <w:szCs w:val="20"/>
          <w:color w:val="auto"/>
        </w:rPr>
      </w:pPr>
      <w:r>
        <w:rPr>
          <w:rFonts w:ascii="Times New Roman" w:cs="Times New Roman" w:eastAsia="Times New Roman" w:hAnsi="Times New Roman"/>
          <w:sz w:val="17"/>
          <w:szCs w:val="17"/>
          <w:color w:val="auto"/>
        </w:rPr>
        <w:t>The forward-looking statements are based on the current expectations of the Company’s management and are inherently subject to uncertainties and changes in circumstances and their potential effects and speak only as of the date of this prospectus.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other public filings made with the SEC by the Company and the following:</w:t>
      </w:r>
    </w:p>
    <w:p>
      <w:pPr>
        <w:spacing w:after="0" w:line="63" w:lineRule="exact"/>
        <w:rPr>
          <w:sz w:val="20"/>
          <w:szCs w:val="20"/>
          <w:color w:val="auto"/>
        </w:rPr>
      </w:pPr>
    </w:p>
    <w:p>
      <w:pPr>
        <w:ind w:left="1000" w:right="499" w:hanging="34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ability to invest in growth initiatives;</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Innventure’s and the Innventure Companies’ business models and growth strategies;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unfavorable economic or other conditions which could require Innventure to evaluate and potentially record additional impairment charges for all, or a portion of, its goodwill and other intangible assets;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maintain control over the Innventure Companies;</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meet the various conditions imposed by, and to satisfy its obligations to, the WTI Lenders under the WTI Facility;</w:t>
      </w:r>
    </w:p>
    <w:p>
      <w:pPr>
        <w:spacing w:after="0" w:line="53"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access to funds under the SEPA entered into with Yorkville due to certain conditions, restrictions and limitations set forth therein;</w:t>
      </w:r>
    </w:p>
    <w:p>
      <w:pPr>
        <w:spacing w:after="0" w:line="53" w:lineRule="exact"/>
        <w:rPr>
          <w:rFonts w:ascii="Times New Roman" w:cs="Times New Roman" w:eastAsia="Times New Roman" w:hAnsi="Times New Roman"/>
          <w:sz w:val="18"/>
          <w:szCs w:val="18"/>
          <w:color w:val="auto"/>
        </w:rPr>
      </w:pPr>
    </w:p>
    <w:p>
      <w:pPr>
        <w:jc w:val="both"/>
        <w:ind w:left="1000" w:right="75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and limitations set forth in Innventure’s and the Innventure Companies’ financing instruments, which may impair Innventure’s and the Innventure Companies’ financial and operating flexibility;</w:t>
      </w:r>
    </w:p>
    <w:p>
      <w:pPr>
        <w:spacing w:after="0" w:line="6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ability to generate liquidity and maintain sufficient capital to operate as anticipated;</w:t>
      </w:r>
    </w:p>
    <w:p>
      <w:pPr>
        <w:spacing w:after="0" w:line="53"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ability to obtain funding for their operations and future growth and to continue as going concerns;</w:t>
      </w:r>
    </w:p>
    <w:p>
      <w:pPr>
        <w:spacing w:after="0" w:line="53" w:lineRule="exact"/>
        <w:rPr>
          <w:rFonts w:ascii="Times New Roman" w:cs="Times New Roman" w:eastAsia="Times New Roman" w:hAnsi="Times New Roman"/>
          <w:sz w:val="18"/>
          <w:szCs w:val="18"/>
          <w:color w:val="auto"/>
        </w:rPr>
      </w:pPr>
    </w:p>
    <w:p>
      <w:pPr>
        <w:ind w:left="1000" w:right="359" w:hanging="348"/>
        <w:spacing w:after="0" w:line="312" w:lineRule="auto"/>
        <w:tabs>
          <w:tab w:leader="none" w:pos="10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technology solutions that Innventure and the Innventure Companies license or acquire from third parties or develop internally may not function as anticipated or provide the benefits anticipated;</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63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Innventure’s and the Innventure Companies’ competitors and industry;</w:t>
      </w:r>
    </w:p>
    <w:p>
      <w:pPr>
        <w:spacing w:after="0" w:line="53"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scale the operations of their respective businesses;</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establish substantial commercial sales of their products;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compete against companies with greater capital and other resources or superior technology or products;</w:t>
      </w:r>
    </w:p>
    <w:p>
      <w:pPr>
        <w:spacing w:after="0" w:line="53" w:lineRule="exact"/>
        <w:rPr>
          <w:rFonts w:ascii="Times New Roman" w:cs="Times New Roman" w:eastAsia="Times New Roman" w:hAnsi="Times New Roman"/>
          <w:sz w:val="18"/>
          <w:szCs w:val="18"/>
          <w:color w:val="auto"/>
        </w:rPr>
      </w:pPr>
    </w:p>
    <w:p>
      <w:pPr>
        <w:jc w:val="both"/>
        <w:ind w:left="1000" w:right="45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and the Innventure Companies’ ability to meet, and to continue to meet, applicable regulatory requirements for the use of their respective products and the numerous regulatory requirements generally applicable to their businesses;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against Innventure or the Innventure Companies;</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find future opportunities to license or acquire breakthrough technology solutions from multinational corporations or other third parties (collectively, “Technology Solutions Providers”) and to satisfy the requirements imposed by or to avoid disagreements with its current and future Technology Solutions Providers;</w:t>
      </w:r>
    </w:p>
    <w:p>
      <w:pPr>
        <w:spacing w:after="0" w:line="71"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launch of new companies distracts Innventure’s management from its and its other subsidiaries’ operations;</w:t>
      </w:r>
    </w:p>
    <w:p>
      <w:pPr>
        <w:spacing w:after="0" w:line="53"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Innventure may be deemed an investment company under the Investment Company Act of 1940, which would impose burdensome compliance requirements and restrictions on its activities;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sufficiently protect the intellectual property (“IP”) rights of itself and its Innventure Companies, and to avoid or resolve in a timely and cost-effective manner any disputes that may arise relating to its use of the IP of third parties;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activist stockholders;</w:t>
      </w:r>
    </w:p>
    <w:p>
      <w:pPr>
        <w:spacing w:after="0" w:line="117" w:lineRule="exact"/>
        <w:rPr>
          <w:rFonts w:ascii="Times New Roman" w:cs="Times New Roman" w:eastAsia="Times New Roman" w:hAnsi="Times New Roman"/>
          <w:sz w:val="18"/>
          <w:szCs w:val="18"/>
          <w:color w:val="auto"/>
        </w:rPr>
      </w:pPr>
    </w:p>
    <w:p>
      <w:pPr>
        <w:ind w:left="1000" w:right="12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 cyber-attack or a failure of Innventure’s information technology and data security infrastructure;</w:t>
      </w:r>
    </w:p>
    <w:p>
      <w:pPr>
        <w:spacing w:after="0" w:line="53"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or regulations, including with respect to foreign trade policy and tariffs;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of other economic, business, and/or competitive factors;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related to Innventure and the Innventure Companies, which have limited or no operating history;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liquidity and trading of Innventure’s securities.</w:t>
      </w:r>
    </w:p>
    <w:p>
      <w:pPr>
        <w:spacing w:after="0" w:line="117"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All forward-looking statements in this prospectus and any accompanying prospectus supplement or incorporated by reference into this prospectus and any accompanying prospectus supplement are made as of the date hereof, based on information available to the Company as of the date hereof, and the Company assumes no obligation to update any forward-looking statement, whether as a result of new information, future events or otherwise, except as may be required under applicable law.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All of the shares of Common Stock offered by the Selling Stockholders pursuant to this prospectus will be sold by the Selling Stockholders for their respective accounts. The Selling Stockholders may offer, sell or distribute all or a portion of the securities hereby registered publicly or through private transactions at prevailing market prices or at negotiated prices.</w:t>
      </w:r>
    </w:p>
    <w:p>
      <w:pPr>
        <w:spacing w:after="0" w:line="7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We will not receive any of the proceeds from such sales of the shares of Common Stock by the Selling Stockholders. However, we may receive (i) up to $66.6 million in aggregate gross proceeds from sales of shares of Common Stock to Yorkville pursuant to the SEPA, from time to time in our discretion after the date of this Registration Statement and subject to the satisfaction of certain conditions in the SEPA, and (ii) de minimis gross proceeds upon exercise of the 2024 WTI Warrants and the 2025 WTI Warrants, to the extent such warrants are exercised for cash. We will bear all costs, expenses and fees in connection with the registration of Common Stock. The Selling Stockholders will bear all commissions, discounts and certain other limited expenses, if any, attributable to their respective sales of Common Stock.</w:t>
      </w:r>
    </w:p>
    <w:p>
      <w:pPr>
        <w:spacing w:after="0" w:line="84"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We could receive up to an aggregate of approximately $13.0 million in proceeds from the exercise of the Series A Warrants, assuming the exercise in full of all of the Series A Warrants for cash, but not from the resale of the shares of Common Stock issuable upon such exercise. There is no assurance that the holders of the Series A Warrants will elect to exercise any or all of such Series A Warrants. We believe the likelihood that Series A Warrant holders will exercise the Series A Warrants, and therefore the amount of cash proceeds that we would receive, is dependent upon the market price of Common Stock. If the Series A Warrants are “out of the money,” meaning that the exercise price is higher than the market price of Common Stock, then the holders of such “out of the money” Series A Warrants are not likely to exercise such Series A Warrants. All of the Series A Warrants outstanding as of March 17, 2026 are “out of the money.” There can be no assurance that such Series A Warrants will be in the money prior to their expiration dates, and therefore we may not receive any cash proceeds from the exercise of such Series A Warrants.</w:t>
      </w:r>
    </w:p>
    <w:p>
      <w:pPr>
        <w:spacing w:after="0" w:line="8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We could receive up to an aggregate of approximately $211.4 million in proceeds from the exercise of the Innventure Warrants, assuming the exercise in full of all of the Innventure Warrants for cash, but not from the resale of the shares of Common Stock issuable upon such exercise. There is no assurance that the holders of the Innventure Warrants will elect to exercise any or all of such Innventure Warrants. We believe the likelihood that Innventure Warrant holders will exercise the Innventure Warrants, and therefore the amount of cash proceeds that we would receive, is dependent upon the market price of Common Stock. If the Innventure Warrants are “out of the money,” meaning the exercise price is higher than the market price of Common Stock, then holders of such “out of the money” Innventure Warrants are not likely to exercise such Innventure Warrants. All of the Innventure Warrants outstanding as of March 17, 2026 are “out of the money.” There can be no assurance that such Innventure Warrants will be in the money prior to their expiration dates, and therefore we may not receive any cash proceeds from the exercise of such Innventure Warrants.</w:t>
      </w:r>
    </w:p>
    <w:p>
      <w:pPr>
        <w:spacing w:after="0" w:line="84"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exercise of the 2024 WTI Warrants, the 2025 WTI Warrants, the Innventure Warrants, or the Series A Warrants on a cashless basis.</w:t>
      </w:r>
    </w:p>
    <w:p>
      <w:pPr>
        <w:spacing w:after="0" w:line="5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Unless we inform you otherwise in a prospectus supplement or free writing prospectus, we intend to use the net proceeds from the issuance of shares to Yorkville pursuant to the SEPA and from the exercise of the 2024 WTI Warrants, the 2025 WTI Warrants, the Innventure Warrants, and the Series A Warrants for general corporate purposes, which may include strategic investments in complementary businesses or technologies and repayment of outstanding indebtedness.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19"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Innventure has one class of securities registered under Section 12 of the Exchange Act: its Common Stock. The following description of our capital stock is a summary and is qualified in its entirety by provisions of Delaware law and by reference to the terms of our Amended and Restated Certificate of Incorporation (“A&amp;R Certificate of Incorporation”) and our By-laws (the “Bylaws”), which are incorporated herein by reference and attached as exhibits to Innventure’s most recent Annual Report on Form 10-K filed with the SEC. We encourage you to read these documents and the applicable portions of the Delaware General Corporation Law, as amended (the “DGCL”), as applicable, carefully and in their entirety because they describe your rights as a holder of shares of Common Stock.</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We are authorized to issue 250,000,000 shares of Common Stock and 25,000,000 shares of preferred stock, par value $0.0001 per share. Of the 25,000,000 shares of preferred stock, 3,000,000 shares are designated as “Series B Preferred Stock,” and 5,000,000 shares are designated as “Series C Preferred Stock.” As of March 13, 2026, 80,069,319 shares of Common Stock were issued and outstanding, 35,792 shares of Series B Preferred Stock were issued and outstanding, and 159,270 shares of Series C Preferred Stock were issued and outstanding.</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Each share of Common Stock shall entitle the record holder to one (1) vote per share on all matters submitted to a vote of stockholders. The holders of shares of Common Stock shall not have cumulative voting rights. Upon the Company’s liquidation, dissolution or winding up and after payment in full of all amounts required to be paid to creditors or any other series of preferred stock having liquidation preferences, if any, the holders of Common Stock will be entitled to receive pro rata the Company’s remaining assets available for distribution. Holders of Common Stock do not have preemptive, subscription, redemption or conversion rights. Common Stock will not be subject to further calls or assessment by the Company. There will be no redemption or sinking fund provisions applicable to the Common Stock. All shares of Common Stock currently outstanding are fully paid and non-assessable. The rights, powers, preferences and privileges of holders of Common Stock will be subject to those of the holders of any series of the Company’s preferred stock that the Company may authorize and issue in the future, the Series B Preferred Stock and the Series C Preferred Stock.</w:t>
      </w:r>
    </w:p>
    <w:p>
      <w:pPr>
        <w:spacing w:after="0" w:line="84"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When a quorum is present at any meeting of stockholders, any matter other than the election of directors to be voted upon by the stockholders at such meeting will be decided by the affirmative vote of the holders of a majority of votes cast (excluding abstentions and broker non-votes) on such matter, unless a different or minimum vote is required by law. At all meetings of stockholders for the election of directors at which a quorum is present, a plurality of the votes cast will be sufficient to elect such directors.</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300" w:right="379" w:firstLine="360"/>
        <w:spacing w:after="0" w:line="272" w:lineRule="auto"/>
        <w:rPr>
          <w:sz w:val="20"/>
          <w:szCs w:val="20"/>
          <w:color w:val="auto"/>
        </w:rPr>
      </w:pPr>
      <w:r>
        <w:rPr>
          <w:rFonts w:ascii="Times New Roman" w:cs="Times New Roman" w:eastAsia="Times New Roman" w:hAnsi="Times New Roman"/>
          <w:sz w:val="17"/>
          <w:szCs w:val="17"/>
          <w:color w:val="auto"/>
        </w:rPr>
        <w:t>After the designation of the Series B Preferred Stock and the Series C Preferred Stock, 17,000,000 authorized shares of preferred stock remain available for the creation and issuance of one or more additional series of preferred stock by the Company’s Board of Directors (the “Board”). Unless required by law or by applicable stock exchange rule, the remaining authorized shares of preferred stock will be available for issuance without further action by you. The Board is authorized to fix from time to time before issuance the number of preferred shares to be included in any such series and the designation, powers, preferences and relative participating, optional or other rights, if any, and the qualifications, limitations or restrictions thereof. The authority of the Board with respect to each such series will include, without limiting the generality of the foregoing, the determination of any or all of the following:</w:t>
      </w:r>
    </w:p>
    <w:p>
      <w:pPr>
        <w:spacing w:after="0" w:line="64" w:lineRule="exact"/>
        <w:rPr>
          <w:sz w:val="20"/>
          <w:szCs w:val="20"/>
          <w:color w:val="auto"/>
        </w:rPr>
      </w:pPr>
    </w:p>
    <w:p>
      <w:pPr>
        <w:ind w:left="1000" w:right="65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any series and the designation to distinguish the shares of such series from the shares of all other series;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and whether such voting powers are full or limited in such series;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provisions, if any, applicable to such series, including the redemption price or prices to be paid;</w:t>
      </w:r>
    </w:p>
    <w:p>
      <w:pPr>
        <w:spacing w:after="0" w:line="53"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the dividend rate of such series, and the dates and preferences of dividends on such series;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53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such series upon the voluntary or involuntary dissolution of, or upon any distribution of the assets of, the Company;</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pursuant to which the shares of such series are convertible into, or exchangeable for, shares of any other class or classes or of any other series of the same or any other class or classes of stock, or any other security, of the Company or any other corporation or other entity, and the rates or other determinants of conversion or exchange applicable thereto;</w:t>
      </w:r>
    </w:p>
    <w:p>
      <w:pPr>
        <w:spacing w:after="0" w:line="71"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subscribe for or to purchase any securities of the Company or any other corporation or other entity;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of a sinking fund applicable to such series;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participating, optional, or other special powers, preferences or rights and qualifications, limitations, or restrictions thereof; and</w:t>
      </w:r>
    </w:p>
    <w:p>
      <w:pPr>
        <w:spacing w:after="0" w:line="53" w:lineRule="exact"/>
        <w:rPr>
          <w:rFonts w:ascii="Times New Roman" w:cs="Times New Roman" w:eastAsia="Times New Roman" w:hAnsi="Times New Roman"/>
          <w:sz w:val="18"/>
          <w:szCs w:val="18"/>
          <w:color w:val="auto"/>
        </w:rPr>
      </w:pPr>
    </w:p>
    <w:p>
      <w:pPr>
        <w:ind w:left="1000" w:right="79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 may be determined from time to time by the Board and stated or expressed in the resolution or resolutions providing for the issuance of such preferred stock (collectively, a “Preferred Stock Designation”).</w:t>
      </w:r>
    </w:p>
    <w:p>
      <w:pPr>
        <w:spacing w:after="0" w:line="68"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Company could issue a series of preferred stock that could, depending on the terms of the series, impede or discourage an acquisition attempt or other transaction that some, or a majority, of the holders of Common Stock might believe to be in their best interests or in which the holders of Common Stock might receive a premium for their Common Stock over its market price. Additionally, the issuance of preferred stock may adversely affect the rights of holders of Common Stock by restricting dividends on Common Stock, diluting the voting power of Common Stock or subordinating the liquidation rights of Common Stock. As a result of these or other factors, the issuance of preferred stock could have an adverse impact on the market price of Common Stock.</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84"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Subject to applicable law and the rights, if any, of the holders of any outstanding series of preferred stock (including the Series B Preferred Stock and the Series C Preferred Stock) or any class or series of stock having a preference senior to or the right to participate with the Common Stock with respect to the payment of dividends (and other distributions of cash, stock or property), such holders of Common Stock shall be entitled to the payment of dividends (and other distributions of cash, stock or property) ratably in proportion to the number of shares held by each such stockholder when, as and if declared by the Board in its discretion from time to time in accordance with applicable law.</w:t>
      </w:r>
    </w:p>
    <w:p>
      <w:pPr>
        <w:spacing w:after="0" w:line="81"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Innventure has no current plans to pay dividends on the Common Stock. Any decision to declare and pay dividends in the future will be made at the sole discretion of the Board and will depend on, among other things, Innventure’s results of operations, cash requirements, financial condition, contractual restrictions and other factors that the Board may deem relevant. Because Innventure is a holding company with no direct operations, Innventure will only be able to pay dividends from funds it receives from its subsidiaries.</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quoted on the Nasdaq Global Market under the symbol “INV.”</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Annual Stockholder Meetings</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Bylaws provide that annual stockholder meetings will be held at such date, time and place, if any, as determined by the Board. The Board may also determine that a meeting of stockholders be held by means of remote communication as authorized by and in accordance with the DGCL.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619"/>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the Company’s A&amp;R Certificate of Incorporation and Amended and Bylaws and Certain Provisions of Delaware Law</w:t>
      </w:r>
    </w:p>
    <w:p>
      <w:pPr>
        <w:spacing w:after="0" w:line="5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A&amp;R Certificate of Incorporation and Bylaws contain, and the DGCL contains, provisions, which are summarized in the following paragraphs, that are intended to enhance the likelihood of continuity and stability in the composition of the Board. These provisions are intended to avoid costly takeover battles, reduce Innventure’s vulnerability to a hostile change of control and enhance the ability of the Board to maximize stockholder value in connection with any unsolicited offer to acquire Innventure. However, these provisions may have an anti-takeover effect and may delay, deter or prevent a merger or acquisition of Innventure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NASDAQ, which would apply if and so long as Common Stock remains listed on NASDAQ, require stockholder approval of certain issuances equal to or exceeding 20% of the then outstanding voting power or then outstanding number of shares of common stock. Additional shares that may be used in the future may be issued for a variety of corporate purposes, including future public offerings, to raise additional capital or to facilitate acquisitions.</w:t>
      </w:r>
    </w:p>
    <w:p>
      <w:pPr>
        <w:spacing w:after="0" w:line="79"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Board may generally issue preferred shares on terms calculated to discourage, delay or prevent a change of control of Innventure or the removal of Innventure’s management. Moreover, Innventure’s authorized but unissued shares of preferred stock will be available for future issuances without stockholder approval and could be utilized for a variety of corporate purposes, including future offerings to raise additional capital, to facilitate acquisitions and employee benefit plans.</w:t>
      </w:r>
    </w:p>
    <w:p>
      <w:pPr>
        <w:spacing w:after="0" w:line="75" w:lineRule="exact"/>
        <w:rPr>
          <w:sz w:val="20"/>
          <w:szCs w:val="20"/>
          <w:color w:val="auto"/>
        </w:rPr>
      </w:pPr>
    </w:p>
    <w:p>
      <w:pPr>
        <w:ind w:left="300" w:right="499" w:firstLine="360"/>
        <w:spacing w:after="0" w:line="277" w:lineRule="auto"/>
        <w:rPr>
          <w:sz w:val="20"/>
          <w:szCs w:val="20"/>
          <w:color w:val="auto"/>
        </w:rPr>
      </w:pPr>
      <w:r>
        <w:rPr>
          <w:rFonts w:ascii="Times New Roman" w:cs="Times New Roman" w:eastAsia="Times New Roman" w:hAnsi="Times New Roman"/>
          <w:sz w:val="17"/>
          <w:szCs w:val="17"/>
          <w:color w:val="auto"/>
        </w:rPr>
        <w:t>One of the effects of the existence of unissued and unreserved Common Stock or preferred stock may be to enable the Board to issue shares to persons friendly to current management, which issuance could render more difficult or discourage an attempt to obtain control of Innventure by means of a merger, tender offer, proxy contest or otherwise, and thereby protect the continuity of Innventure’s management and possibly deprive Innventure’s stockholders of opportunities to sell their shares of Common Stock at prices higher than prevailing market prices.</w:t>
      </w:r>
    </w:p>
    <w:p>
      <w:pPr>
        <w:spacing w:after="0" w:line="1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ind w:left="300" w:right="439" w:firstLine="360"/>
        <w:spacing w:after="0" w:line="253" w:lineRule="auto"/>
        <w:rPr>
          <w:sz w:val="20"/>
          <w:szCs w:val="20"/>
          <w:color w:val="auto"/>
        </w:rPr>
      </w:pPr>
      <w:r>
        <w:rPr>
          <w:rFonts w:ascii="Times New Roman" w:cs="Times New Roman" w:eastAsia="Times New Roman" w:hAnsi="Times New Roman"/>
          <w:sz w:val="18"/>
          <w:szCs w:val="18"/>
          <w:color w:val="auto"/>
        </w:rPr>
        <w:t>Innventure’s directors, other than those who may be elected by the holders of any future series of preferred stock, will be classified with respect to the time for which they severally hold office into three classes, as nearly equal in number as possible, designated Class I, Class II, and Class III. At any meeting of stockholders at which directors are to be elected, the number of directors elected may not exceed the greatest number of directors then in office in any class of directors. The directors first elected to Class I held office for a term that expired at the annual meeting of stockholders held in 2025 and will hold office for a term expiring at the annual meeting of stockholders to be held in 2028; the directors first elected to Class II will hold office for a term expiring at the annual meeting of stockholders to be held in 2026; and the directors first elected to Class III will hold office for a term expiring at the annual meeting of stockholders to be held in 2027, with the members of each class to hold office until their successors are elected and qualified.</w:t>
      </w:r>
    </w:p>
    <w:p>
      <w:pPr>
        <w:spacing w:after="0" w:line="86"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At each succeeding annual meeting of the stockholders of Innventure, the successors to the class of directors whose term expires at that meeting will be elected by plurality vote of all votes cast at such meeting to hold office for a term expiring at the annual meeting of stockholders held in the third year following the year of their election and until their successors are elected and qualified. Subject to the rights, if any, of the holders of any future series of preferred stock to elect additional directors under circumstances specified in a Preferred Stock Designation, directors may be elected by the stockholders only at an annual meeting of stockholders.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121"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then outstanding, for as long as this A&amp;R Certificate of Incorporation provides for a classified board of directors, any director may otherwise be removed only for cause by an affirmative vote of at least two-thirds of the total voting power of all the outstanding shares of capital stock of Innventure entitled to vote generally in the election of directors, voting together as a single class, at a meeting duly called for that purpose. Vacancies on the Board will be able to be filled only by resolution of a majority of the directors then in office, although less than a quorum, or by a sole remaining director.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Subject to the special rights of the holders of one or more series of preferred stock, special meetings of the stockholders of Innventure may be called, for any purpose or purposes, at any time only by or at the direction of the Board, the chairperson of the Board, the Chief Executive Officer, or President.</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Director Nominations and Stockholder Proposals</w:t>
      </w:r>
    </w:p>
    <w:p>
      <w:pPr>
        <w:spacing w:after="0" w:line="12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The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a stockholder must comply with advance notice requirements and provide Innventure with certain information. Generally, to be timely, a stockholder’s notice relating to any nomination or other business to be brought before an annual meeting of stockholders must be delivered to the Secretary at Innventure’s principal executive offices not less than 90 days nor more than 120 days prior to the one-year anniversary of the immediately preceding annual meeting of stockholders. The Bylaws will also specify requirements as to the form and content of a stockholder’s notice.</w:t>
      </w:r>
    </w:p>
    <w:p>
      <w:pPr>
        <w:spacing w:after="0" w:line="84"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These notice provisions may defer, delay or discourage a potential acquirer from conducting a solicitation of proxies to elect the acquirer’s own slate of directors or otherwise attempting to influence or obtain control of Innventure.</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Any action required or permitted to be taken by the stockholders may be taken only at a duly called annual or special meeting of stockholders and may not be taken by consent of the stockholders in lieu of a meeting. However, any action required or permitted to be taken by the holders of any series of preferred stock (including the Series B Preferred Stock and Series C Preferred Stock), voting separately as a series or separately as a class with one or more other such series, may be taken without a meeting to the extent expressly provided by the applicable Preferred Stock Designation.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Dissenters’ Rights of Appraisal and Payment</w:t>
      </w:r>
    </w:p>
    <w:p>
      <w:pPr>
        <w:spacing w:after="0" w:line="121" w:lineRule="exact"/>
        <w:rPr>
          <w:sz w:val="20"/>
          <w:szCs w:val="20"/>
          <w:color w:val="auto"/>
        </w:rPr>
      </w:pPr>
    </w:p>
    <w:p>
      <w:pPr>
        <w:ind w:left="300" w:right="379" w:firstLine="360"/>
        <w:spacing w:after="0" w:line="281" w:lineRule="auto"/>
        <w:rPr>
          <w:sz w:val="20"/>
          <w:szCs w:val="20"/>
          <w:color w:val="auto"/>
        </w:rPr>
      </w:pPr>
      <w:r>
        <w:rPr>
          <w:rFonts w:ascii="Times New Roman" w:cs="Times New Roman" w:eastAsia="Times New Roman" w:hAnsi="Times New Roman"/>
          <w:sz w:val="17"/>
          <w:szCs w:val="17"/>
          <w:color w:val="auto"/>
        </w:rPr>
        <w:t>Under the DGCL, with certain exceptions, Innventure’s stockholders will have appraisal rights in connection with a merger or consolidation of Innventure. Pursuant to the DGCL, stockholders who properly request and perfect appraisal rights in connection with such merger or consolidation will have the right to receive payment of the fair value of their shares as determined by the Court of Chancery (the “Chancery Court”) of the State of Delaware.</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Stockholders’ Derivative Actions</w:t>
      </w:r>
    </w:p>
    <w:p>
      <w:pPr>
        <w:spacing w:after="0" w:line="121"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Under the DGCL, any of Innventure’s stockholders may bring an action in Innventure’s name to procure a judgment in Innventure’s favor, also known as a derivative action, provided that the stockholder bringing the action is a holder of Innventure’s shares at the time of the transaction to which the action relates or such stockholder’s stock thereafter devolved by operation of law.</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A&amp;R Certificate of Incorporation</w:t>
      </w:r>
    </w:p>
    <w:p>
      <w:pPr>
        <w:spacing w:after="0" w:line="121"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The A&amp;R Certificate of Incorporation provides that, in addition to any other vote that may be required by law, applicable stock exchange rule or the terms of any series of preferred stock, the affirmative vote of at least two-thirds of the outstanding shares entitled to vote generally in the election of directors will be required to amend or repeal any provision thereof. The A&amp;R Certificate of Incorporation also provides that, notwithstanding the foregoing, the affirmative vote of at least a majority of the then outstanding shares entitled to vote generally in the election of directors will be required to amend or repeal the provisions thereof relating to Innventure’s name, registered address or agent, or purpose.</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Bylaws</w:t>
      </w:r>
    </w:p>
    <w:p>
      <w:pPr>
        <w:spacing w:after="0" w:line="121"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Bylaws provide that the Board is empowered to adopt, amend or repeal the bylaws, and further provide that the stockholders also have the power to adopt, amend or repeal the bylaws, provided that such action by the stockholders will require the affirmative vote of at least two-thirds of the voting power of the outstanding shares of Innventure entitled to vote generally in the election of directors.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A&amp;R Certificate of Incorporation provides that, unless Innventure consents in writing to the selection of an alternative forum, (a) the Chancery Court will, to the fullest extent permitted by law, be the sole and exclusive forum for (i) any derivative action, suit or proceeding brought on behalf of Innventure, (ii) any action, suit or proceeding asserting a claim of breach of a fiduciary duty owed by any director, officer or stockholder of Innventure to Innventure or to Innventure’s stockholders, (iii) any action, suit or proceeding arising pursuant to any provision of the DGCL or the Bylaws or the A&amp;R Certificate of Incorporation or (iv) any action, suit or proceeding asserting a claim against Innventure governed by the internal affairs doctrine; and (b) subject to the preceding provisions, the federal district courts of the United States will be the exclusive forum for the resolution of any complaint asserting a cause of action arising under the Securities Act. If any action the subject matter of which is within the scope of clause (a) of the immediately preceding sentence is filed in a court other than the Chancery Court (a “A&amp;R Certificate of Incorporation Foreign Action”) in the name of any stockholder, such stockholder will be deemed to have consented to (x) the personal jurisdiction of the state and federal courts in the State of Delaware in connection with any action brought in any such court to enforce the provisions of clause (a) above and (y) having service of process made upon such stockholder in any such action by service upon such stockholder’s counsel in the A&amp;R Certificate of Incorporation Foreign Action as agent for such stockholder. Any person purchasing or otherwise acquiring any interest in any security of Innventure will be deemed to have notice of and consented to the foregoing exclusive forum provisions. Notwithstanding the foregoing, such provisions will not apply to suits brought to enforce any liability or duty created by the Securities Act or Exchange Act, or any other claim for which the federal courts of the United States have exclusive jurisdiction.</w:t>
      </w: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ind w:left="300" w:right="379" w:firstLine="360"/>
        <w:spacing w:after="0" w:line="281" w:lineRule="auto"/>
        <w:rPr>
          <w:sz w:val="20"/>
          <w:szCs w:val="20"/>
          <w:color w:val="auto"/>
        </w:rPr>
      </w:pPr>
      <w:r>
        <w:rPr>
          <w:rFonts w:ascii="Times New Roman" w:cs="Times New Roman" w:eastAsia="Times New Roman" w:hAnsi="Times New Roman"/>
          <w:sz w:val="17"/>
          <w:szCs w:val="17"/>
          <w:color w:val="auto"/>
        </w:rPr>
        <w:t>The A&amp;R Certificate of Incorporation contains provisions that limit the liability of Innventure’s directors and officers for monetary damages to the fullest extent permitted by Delaware law. Consequently, Innventure’s directors and officers will not be personally liable to us or our stockholders for monetary damages for any breach of fiduciary duties as directors or officers, provided that our certificate of incorporation will not limit the liability of:</w:t>
      </w:r>
    </w:p>
    <w:p>
      <w:pPr>
        <w:spacing w:after="0" w:line="56"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breach of their duty of loyalty to our company or our stockholder;</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for unlawful payments of dividends or unlawful stock repurchases, or redemptions as provided in Section 174 of the DGCL;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transaction from which they derived an improper personal benefit;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in any action by or in the right of Innventure.</w:t>
      </w:r>
    </w:p>
    <w:p>
      <w:pPr>
        <w:spacing w:after="0" w:line="117"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Bylaws also provide that we must advance expenses incurred by or on behalf of a director or officer in advance of the final disposition of any action or proceeding, subject to very limited exceptions.</w:t>
      </w:r>
    </w:p>
    <w:p>
      <w:pPr>
        <w:spacing w:after="0" w:line="79"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Innventure pursuant to the foregoing provisions, we have been informed that, in the opinion of the SEC, such indemnification is against public policy as expressed in the Securities Act and is therefore unenforceable.</w:t>
      </w:r>
    </w:p>
    <w:p>
      <w:pPr>
        <w:spacing w:after="0" w:line="72" w:lineRule="exact"/>
        <w:rPr>
          <w:sz w:val="20"/>
          <w:szCs w:val="20"/>
          <w:color w:val="auto"/>
        </w:rPr>
      </w:pPr>
    </w:p>
    <w:p>
      <w:pPr>
        <w:ind w:left="300" w:right="319" w:firstLine="360"/>
        <w:spacing w:after="0" w:line="274" w:lineRule="auto"/>
        <w:rPr>
          <w:sz w:val="20"/>
          <w:szCs w:val="20"/>
          <w:color w:val="auto"/>
        </w:rPr>
      </w:pPr>
      <w:r>
        <w:rPr>
          <w:rFonts w:ascii="Times New Roman" w:cs="Times New Roman" w:eastAsia="Times New Roman" w:hAnsi="Times New Roman"/>
          <w:sz w:val="17"/>
          <w:szCs w:val="17"/>
          <w:color w:val="auto"/>
        </w:rPr>
        <w:t>The limitation of liability, advancement and indemnification provisions in the A&amp;R Certificate of Incorporation and the Bylaws may discourage stockholders from bringing a lawsuit against directors or officers for breach of their fiduciary duty. These provisions also may have the effect of reducing the likelihood of derivative litigation against directors and officers, even though such an action, if successful, might otherwise benefit Innventure and its stockholders. In addition, your investment may be adversely affected to the extent Innventure pays the costs of settlement and damage awards against directors and officers pursuant to these indemnification provisions.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21" w:lineRule="exact"/>
        <w:rPr>
          <w:sz w:val="20"/>
          <w:szCs w:val="20"/>
          <w:color w:val="auto"/>
        </w:rPr>
      </w:pPr>
    </w:p>
    <w:p>
      <w:pPr>
        <w:ind w:left="1300" w:right="1340" w:firstLine="360"/>
        <w:spacing w:after="0" w:line="267" w:lineRule="auto"/>
        <w:rPr>
          <w:sz w:val="20"/>
          <w:szCs w:val="20"/>
          <w:color w:val="auto"/>
        </w:rPr>
      </w:pPr>
      <w:r>
        <w:rPr>
          <w:rFonts w:ascii="Times New Roman" w:cs="Times New Roman" w:eastAsia="Times New Roman" w:hAnsi="Times New Roman"/>
          <w:sz w:val="17"/>
          <w:szCs w:val="17"/>
          <w:color w:val="auto"/>
        </w:rPr>
        <w:t>This prospectus relates to the resale by the Selling Stockholders or their permitted transferees from time to time of up to 41,291,719 shares of Common Stock. The shares of Common Stock to which this prospectus relates consist of (i) up to 3,260,175 shares of Common Stock that were issued and may be issued upon conversion of the Series B Preferred Stock; (ii) up to 16,244,741 shares that we may issue and sell to Yorkville from time to time pursuant to the SEPA, subject to the ownership limitations described therein; (iii) 5,657,481 shares of Common Stock held by certain stockholders party to the A&amp;R Registration Rights Agreement; (iv) 3,333,334 shares of Common Stock that may be issued upon exercise of the 2024 WTI Warrants held by the WTI Holders; (v) up to 8,480,518 shares of Common Stock that were issued and may be issued upon conversion of Series C Preferred Stock; (vi) up to 1,000,000 shares of Common Stock that may be issued upon exercise of the 2025 WTI Warrants held by the</w:t>
      </w:r>
    </w:p>
    <w:p>
      <w:pPr>
        <w:spacing w:after="0" w:line="5" w:lineRule="exact"/>
        <w:rPr>
          <w:sz w:val="20"/>
          <w:szCs w:val="20"/>
          <w:color w:val="auto"/>
        </w:rPr>
      </w:pPr>
    </w:p>
    <w:p>
      <w:pPr>
        <w:ind w:left="1300" w:right="1320"/>
        <w:spacing w:after="0" w:line="253" w:lineRule="auto"/>
        <w:rPr>
          <w:sz w:val="20"/>
          <w:szCs w:val="20"/>
          <w:color w:val="auto"/>
        </w:rPr>
      </w:pPr>
      <w:r>
        <w:rPr>
          <w:rFonts w:ascii="Times New Roman" w:cs="Times New Roman" w:eastAsia="Times New Roman" w:hAnsi="Times New Roman"/>
          <w:sz w:val="18"/>
          <w:szCs w:val="18"/>
          <w:color w:val="auto"/>
        </w:rPr>
        <w:t>WTI Holders; (vii) up to 3,250,470 shares of Common Stock issued and issuable pursuant to the terms of the Subscription Agreements entered into with the Subscribers, consisting of (a) 1,625,235 shares of Common Stock issued to the Subscribers and (b) 1,625,235 shares that may be issued upon exercise of the Series A Warrants held by the Subscribers; and (viii) 65,000 shares of Common Stock that were issued upon conversion of the Convertible Debentures issued to Yorkville pursuant to the Securities Purchase Agreement.</w:t>
      </w:r>
    </w:p>
    <w:p>
      <w:pPr>
        <w:spacing w:after="0" w:line="79" w:lineRule="exact"/>
        <w:rPr>
          <w:sz w:val="20"/>
          <w:szCs w:val="20"/>
          <w:color w:val="auto"/>
        </w:rPr>
      </w:pPr>
    </w:p>
    <w:p>
      <w:pPr>
        <w:ind w:left="1300" w:right="1400" w:firstLine="360"/>
        <w:spacing w:after="0" w:line="255" w:lineRule="auto"/>
        <w:rPr>
          <w:sz w:val="20"/>
          <w:szCs w:val="20"/>
          <w:color w:val="auto"/>
        </w:rPr>
      </w:pPr>
      <w:r>
        <w:rPr>
          <w:rFonts w:ascii="Times New Roman" w:cs="Times New Roman" w:eastAsia="Times New Roman" w:hAnsi="Times New Roman"/>
          <w:sz w:val="18"/>
          <w:szCs w:val="18"/>
          <w:color w:val="auto"/>
        </w:rPr>
        <w:t>As used in this prospectus, the term “Selling Stockholders” means the persons listed in the table below and the pledgees, donees, transferees, assignees, successors, designees and others who later come to hold any of the Selling Stockholders’ interest in our Common Stock other than through a public sale. The Selling Stockholders may from time to time offer and sell any or all of our Common Stock set forth below pursuant to this prospectus and any accompanying prospectus supplement. Except as otherwise described below and for the ownership of the shares of our Common Stock, the Selling Stockholders have not had any material relationship with us or our predecessors or affiliates within the past three years.</w:t>
      </w:r>
    </w:p>
    <w:p>
      <w:pPr>
        <w:spacing w:after="0" w:line="81" w:lineRule="exact"/>
        <w:rPr>
          <w:sz w:val="20"/>
          <w:szCs w:val="20"/>
          <w:color w:val="auto"/>
        </w:rPr>
      </w:pPr>
    </w:p>
    <w:p>
      <w:pPr>
        <w:ind w:left="1300" w:right="1320" w:firstLine="360"/>
        <w:spacing w:after="0" w:line="255" w:lineRule="auto"/>
        <w:rPr>
          <w:sz w:val="20"/>
          <w:szCs w:val="20"/>
          <w:color w:val="auto"/>
        </w:rPr>
      </w:pPr>
      <w:r>
        <w:rPr>
          <w:rFonts w:ascii="Times New Roman" w:cs="Times New Roman" w:eastAsia="Times New Roman" w:hAnsi="Times New Roman"/>
          <w:sz w:val="18"/>
          <w:szCs w:val="18"/>
          <w:color w:val="auto"/>
        </w:rPr>
        <w:t>Unless otherwise noted below, the following table sets forth, as of February 3, 2026, the names of the Selling Stockholders, the aggregate number of shares of Common Stock beneficially owned, the aggregate number of shares of Common Stock that the Selling Stockholders may offer pursuant to this prospectus and the number of shares of Common Stock beneficially owned by the Selling Stockholders after the sale of the securities offered hereby. For purposes of the following table, we have assumed that the Selling Stockholders will have sold all of the securities covered by this prospectus upon the completion of the offering. The Selling Stockholders may sell or otherwise transfer all, some or none of such shares in this offering.</w:t>
      </w:r>
    </w:p>
    <w:p>
      <w:pPr>
        <w:spacing w:after="0" w:line="81" w:lineRule="exact"/>
        <w:rPr>
          <w:sz w:val="20"/>
          <w:szCs w:val="20"/>
          <w:color w:val="auto"/>
        </w:rPr>
      </w:pPr>
    </w:p>
    <w:p>
      <w:pPr>
        <w:ind w:left="1300" w:right="1340" w:firstLine="360"/>
        <w:spacing w:after="0" w:line="254" w:lineRule="auto"/>
        <w:rPr>
          <w:sz w:val="20"/>
          <w:szCs w:val="20"/>
          <w:color w:val="auto"/>
        </w:rPr>
      </w:pPr>
      <w:r>
        <w:rPr>
          <w:rFonts w:ascii="Times New Roman" w:cs="Times New Roman" w:eastAsia="Times New Roman" w:hAnsi="Times New Roman"/>
          <w:sz w:val="18"/>
          <w:szCs w:val="18"/>
          <w:color w:val="auto"/>
        </w:rPr>
        <w:t>We have based percentage ownership on 80,069,319 shares of Common Stock outstanding as of March 13, 2026. We have determined beneficial ownership in accordance with the rules of the SEC. Except as indicated by the footnotes below, we believe, based on the information furnished to us, that the Selling Stockholders have sole voting and investment power with respect to all shares of Common Stock that they beneficially own, subject to applicable community property laws. Except as otherwise described below, based on the information provided to us by the Selling Stockholders, no Selling Stockholder is a broker-dealer or an affiliate of a broker dealer. Please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further information regarding the Selling Stockholders’ method of distributing these shares.</w:t>
      </w:r>
    </w:p>
    <w:p>
      <w:pPr>
        <w:spacing w:after="0" w:line="84" w:lineRule="exact"/>
        <w:rPr>
          <w:sz w:val="20"/>
          <w:szCs w:val="20"/>
          <w:color w:val="auto"/>
        </w:rPr>
      </w:pPr>
    </w:p>
    <w:p>
      <w:pPr>
        <w:ind w:left="1300" w:right="1380" w:firstLine="360"/>
        <w:spacing w:after="0" w:line="281" w:lineRule="auto"/>
        <w:rPr>
          <w:sz w:val="20"/>
          <w:szCs w:val="20"/>
          <w:color w:val="auto"/>
        </w:rPr>
      </w:pPr>
      <w:r>
        <w:rPr>
          <w:rFonts w:ascii="Times New Roman" w:cs="Times New Roman" w:eastAsia="Times New Roman" w:hAnsi="Times New Roman"/>
          <w:sz w:val="17"/>
          <w:szCs w:val="17"/>
          <w:color w:val="auto"/>
        </w:rPr>
        <w:t>Selling Stockholder information for each additional Selling Stockholder, if any, will be set forth by prospectus supplement to the extent required prior to the time of any offer or sale of such Selling Stockholder’s shares pursuant to this prospectus. Any prospectus supplement may add, update, substitute, or change the information contained in this prospectus, including the identity of the Selling Stockholder and the number of shares registered on its behalf.</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14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to be Sold</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this Prospectus</w:t>
            </w:r>
          </w:p>
        </w:tc>
        <w:tc>
          <w:tcPr>
            <w:tcW w:w="1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Series B Preferred Stock</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Albert Aaron and Ethel C Mason Berg</w:t>
            </w:r>
          </w:p>
        </w:tc>
        <w:tc>
          <w:tcPr>
            <w:tcW w:w="1260" w:type="dxa"/>
            <w:vAlign w:val="bottom"/>
            <w:gridSpan w:val="2"/>
          </w:tcPr>
          <w:p>
            <w:pPr>
              <w:jc w:val="right"/>
              <w:ind w:right="48"/>
              <w:spacing w:after="0" w:line="243" w:lineRule="exact"/>
              <w:rPr>
                <w:sz w:val="20"/>
                <w:szCs w:val="20"/>
                <w:color w:val="auto"/>
              </w:rPr>
            </w:pPr>
            <w:r>
              <w:rPr>
                <w:rFonts w:ascii="Times New Roman" w:cs="Times New Roman" w:eastAsia="Times New Roman" w:hAnsi="Times New Roman"/>
                <w:sz w:val="17"/>
                <w:szCs w:val="17"/>
                <w:color w:val="auto"/>
              </w:rPr>
              <w:t>39,921</w:t>
            </w:r>
            <w:r>
              <w:rPr>
                <w:rFonts w:ascii="Times New Roman" w:cs="Times New Roman" w:eastAsia="Times New Roman" w:hAnsi="Times New Roman"/>
                <w:sz w:val="28"/>
                <w:szCs w:val="28"/>
                <w:color w:val="auto"/>
                <w:vertAlign w:val="superscript"/>
              </w:rPr>
              <w:t>(1)</w:t>
            </w:r>
          </w:p>
        </w:tc>
        <w:tc>
          <w:tcPr>
            <w:tcW w:w="14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10,198</w:t>
            </w:r>
          </w:p>
        </w:tc>
        <w:tc>
          <w:tcPr>
            <w:tcW w:w="1080" w:type="dxa"/>
            <w:vAlign w:val="bottom"/>
            <w:gridSpan w:val="2"/>
          </w:tcPr>
          <w:p>
            <w:pPr>
              <w:jc w:val="right"/>
              <w:ind w:right="145"/>
              <w:spacing w:after="0"/>
              <w:rPr>
                <w:sz w:val="20"/>
                <w:szCs w:val="20"/>
                <w:color w:val="auto"/>
              </w:rPr>
            </w:pPr>
            <w:r>
              <w:rPr>
                <w:rFonts w:ascii="Times New Roman" w:cs="Times New Roman" w:eastAsia="Times New Roman" w:hAnsi="Times New Roman"/>
                <w:sz w:val="18"/>
                <w:szCs w:val="18"/>
                <w:color w:val="auto"/>
              </w:rPr>
              <w:t>29,723</w:t>
            </w:r>
          </w:p>
        </w:tc>
        <w:tc>
          <w:tcPr>
            <w:tcW w:w="11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and Kelly Bradshaw</w:t>
            </w:r>
          </w:p>
        </w:tc>
        <w:tc>
          <w:tcPr>
            <w:tcW w:w="1260" w:type="dxa"/>
            <w:vAlign w:val="bottom"/>
            <w:gridSpan w:val="2"/>
            <w:shd w:val="clear" w:color="auto" w:fill="CCEEFF"/>
          </w:tcPr>
          <w:p>
            <w:pPr>
              <w:jc w:val="right"/>
              <w:ind w:right="48"/>
              <w:spacing w:after="0" w:line="243" w:lineRule="exact"/>
              <w:rPr>
                <w:sz w:val="20"/>
                <w:szCs w:val="20"/>
                <w:color w:val="auto"/>
              </w:rPr>
            </w:pPr>
            <w:r>
              <w:rPr>
                <w:rFonts w:ascii="Times New Roman" w:cs="Times New Roman" w:eastAsia="Times New Roman" w:hAnsi="Times New Roman"/>
                <w:sz w:val="17"/>
                <w:szCs w:val="17"/>
                <w:color w:val="auto"/>
              </w:rPr>
              <w:t>21,735</w:t>
            </w:r>
            <w:r>
              <w:rPr>
                <w:rFonts w:ascii="Times New Roman" w:cs="Times New Roman" w:eastAsia="Times New Roman" w:hAnsi="Times New Roman"/>
                <w:sz w:val="28"/>
                <w:szCs w:val="28"/>
                <w:color w:val="auto"/>
                <w:vertAlign w:val="superscript"/>
              </w:rPr>
              <w:t>(2)</w:t>
            </w:r>
          </w:p>
        </w:tc>
        <w:tc>
          <w:tcPr>
            <w:tcW w:w="148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4,078</w:t>
            </w:r>
          </w:p>
        </w:tc>
        <w:tc>
          <w:tcPr>
            <w:tcW w:w="108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17,657</w:t>
            </w:r>
          </w:p>
        </w:tc>
        <w:tc>
          <w:tcPr>
            <w:tcW w:w="11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and Donna Corley</w:t>
            </w:r>
          </w:p>
        </w:tc>
        <w:tc>
          <w:tcPr>
            <w:tcW w:w="1260" w:type="dxa"/>
            <w:vAlign w:val="bottom"/>
            <w:gridSpan w:val="2"/>
          </w:tcPr>
          <w:p>
            <w:pPr>
              <w:jc w:val="right"/>
              <w:ind w:right="48"/>
              <w:spacing w:after="0" w:line="243" w:lineRule="exact"/>
              <w:rPr>
                <w:sz w:val="20"/>
                <w:szCs w:val="20"/>
                <w:color w:val="auto"/>
              </w:rPr>
            </w:pPr>
            <w:r>
              <w:rPr>
                <w:rFonts w:ascii="Times New Roman" w:cs="Times New Roman" w:eastAsia="Times New Roman" w:hAnsi="Times New Roman"/>
                <w:sz w:val="17"/>
                <w:szCs w:val="17"/>
                <w:color w:val="auto"/>
              </w:rPr>
              <w:t>96,487</w:t>
            </w:r>
            <w:r>
              <w:rPr>
                <w:rFonts w:ascii="Times New Roman" w:cs="Times New Roman" w:eastAsia="Times New Roman" w:hAnsi="Times New Roman"/>
                <w:sz w:val="28"/>
                <w:szCs w:val="28"/>
                <w:color w:val="auto"/>
                <w:vertAlign w:val="superscript"/>
              </w:rPr>
              <w:t>(3)</w:t>
            </w:r>
          </w:p>
        </w:tc>
        <w:tc>
          <w:tcPr>
            <w:tcW w:w="148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17"/>
                <w:szCs w:val="17"/>
                <w:color w:val="auto"/>
              </w:rPr>
              <w:t>29,719</w:t>
            </w:r>
            <w:r>
              <w:rPr>
                <w:rFonts w:ascii="Times New Roman" w:cs="Times New Roman" w:eastAsia="Times New Roman" w:hAnsi="Times New Roman"/>
                <w:sz w:val="28"/>
                <w:szCs w:val="28"/>
                <w:color w:val="auto"/>
                <w:vertAlign w:val="superscript"/>
              </w:rPr>
              <w:t>(4)</w:t>
            </w:r>
          </w:p>
        </w:tc>
        <w:tc>
          <w:tcPr>
            <w:tcW w:w="1080" w:type="dxa"/>
            <w:vAlign w:val="bottom"/>
            <w:gridSpan w:val="2"/>
          </w:tcPr>
          <w:p>
            <w:pPr>
              <w:jc w:val="right"/>
              <w:ind w:right="145"/>
              <w:spacing w:after="0"/>
              <w:rPr>
                <w:sz w:val="20"/>
                <w:szCs w:val="20"/>
                <w:color w:val="auto"/>
              </w:rPr>
            </w:pPr>
            <w:r>
              <w:rPr>
                <w:rFonts w:ascii="Times New Roman" w:cs="Times New Roman" w:eastAsia="Times New Roman" w:hAnsi="Times New Roman"/>
                <w:sz w:val="18"/>
                <w:szCs w:val="18"/>
                <w:color w:val="auto"/>
              </w:rPr>
              <w:t>74,461</w:t>
            </w:r>
          </w:p>
        </w:tc>
        <w:tc>
          <w:tcPr>
            <w:tcW w:w="11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Gabriel Eljach</w:t>
            </w:r>
          </w:p>
        </w:tc>
        <w:tc>
          <w:tcPr>
            <w:tcW w:w="1260" w:type="dxa"/>
            <w:vAlign w:val="bottom"/>
            <w:gridSpan w:val="2"/>
            <w:shd w:val="clear" w:color="auto" w:fill="CCEEFF"/>
          </w:tcPr>
          <w:p>
            <w:pPr>
              <w:jc w:val="right"/>
              <w:ind w:right="28"/>
              <w:spacing w:after="0" w:line="243" w:lineRule="exact"/>
              <w:rPr>
                <w:sz w:val="20"/>
                <w:szCs w:val="20"/>
                <w:color w:val="auto"/>
              </w:rPr>
            </w:pPr>
            <w:r>
              <w:rPr>
                <w:rFonts w:ascii="Times New Roman" w:cs="Times New Roman" w:eastAsia="Times New Roman" w:hAnsi="Times New Roman"/>
                <w:sz w:val="17"/>
                <w:szCs w:val="17"/>
                <w:color w:val="auto"/>
              </w:rPr>
              <w:t>109,418</w:t>
            </w:r>
            <w:r>
              <w:rPr>
                <w:rFonts w:ascii="Times New Roman" w:cs="Times New Roman" w:eastAsia="Times New Roman" w:hAnsi="Times New Roman"/>
                <w:sz w:val="28"/>
                <w:szCs w:val="28"/>
                <w:color w:val="auto"/>
                <w:vertAlign w:val="superscript"/>
              </w:rPr>
              <w:t>(5)</w:t>
            </w:r>
          </w:p>
        </w:tc>
        <w:tc>
          <w:tcPr>
            <w:tcW w:w="14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20,396</w:t>
            </w:r>
          </w:p>
        </w:tc>
        <w:tc>
          <w:tcPr>
            <w:tcW w:w="108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89,022</w:t>
            </w:r>
          </w:p>
        </w:tc>
        <w:tc>
          <w:tcPr>
            <w:tcW w:w="11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130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James Nathan Galbreath</w:t>
            </w:r>
          </w:p>
        </w:tc>
        <w:tc>
          <w:tcPr>
            <w:tcW w:w="12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11,218</w:t>
            </w:r>
            <w:r>
              <w:rPr>
                <w:rFonts w:ascii="Times New Roman" w:cs="Times New Roman" w:eastAsia="Times New Roman" w:hAnsi="Times New Roman"/>
                <w:sz w:val="29"/>
                <w:szCs w:val="29"/>
                <w:color w:val="auto"/>
                <w:vertAlign w:val="superscript"/>
              </w:rPr>
              <w:t>(6)</w:t>
            </w:r>
          </w:p>
        </w:tc>
        <w:tc>
          <w:tcPr>
            <w:tcW w:w="14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11,218</w:t>
            </w:r>
          </w:p>
        </w:tc>
        <w:tc>
          <w:tcPr>
            <w:tcW w:w="140" w:type="dxa"/>
            <w:vAlign w:val="bottom"/>
          </w:tcPr>
          <w:p>
            <w:pPr>
              <w:spacing w:after="0"/>
              <w:rPr>
                <w:sz w:val="24"/>
                <w:szCs w:val="24"/>
                <w:color w:val="auto"/>
              </w:rPr>
            </w:pPr>
          </w:p>
        </w:tc>
        <w:tc>
          <w:tcPr>
            <w:tcW w:w="940" w:type="dxa"/>
            <w:vAlign w:val="bottom"/>
          </w:tcPr>
          <w:p>
            <w:pPr>
              <w:jc w:val="right"/>
              <w:ind w:right="16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6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30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1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to be Sold</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this Prospectus</w:t>
            </w:r>
          </w:p>
        </w:tc>
        <w:tc>
          <w:tcPr>
            <w:tcW w:w="1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and Kristin Haughton</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5"/>
              <w:spacing w:after="0" w:line="250" w:lineRule="exact"/>
              <w:rPr>
                <w:sz w:val="20"/>
                <w:szCs w:val="20"/>
                <w:color w:val="auto"/>
              </w:rPr>
            </w:pPr>
            <w:r>
              <w:rPr>
                <w:rFonts w:ascii="Times New Roman" w:cs="Times New Roman" w:eastAsia="Times New Roman" w:hAnsi="Times New Roman"/>
                <w:sz w:val="17"/>
                <w:szCs w:val="17"/>
                <w:color w:val="auto"/>
              </w:rPr>
              <w:t>61,192</w:t>
            </w:r>
            <w:r>
              <w:rPr>
                <w:rFonts w:ascii="Times New Roman" w:cs="Times New Roman" w:eastAsia="Times New Roman" w:hAnsi="Times New Roman"/>
                <w:sz w:val="28"/>
                <w:szCs w:val="28"/>
                <w:color w:val="auto"/>
                <w:vertAlign w:val="superscript"/>
              </w:rPr>
              <w:t>(7)</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61,192</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Kaitlan Hawkins</w:t>
            </w:r>
          </w:p>
        </w:tc>
        <w:tc>
          <w:tcPr>
            <w:tcW w:w="1320" w:type="dxa"/>
            <w:vAlign w:val="bottom"/>
            <w:gridSpan w:val="2"/>
          </w:tcPr>
          <w:p>
            <w:pPr>
              <w:jc w:val="right"/>
              <w:ind w:right="25"/>
              <w:spacing w:after="0" w:line="243" w:lineRule="exact"/>
              <w:rPr>
                <w:sz w:val="20"/>
                <w:szCs w:val="20"/>
                <w:color w:val="auto"/>
              </w:rPr>
            </w:pPr>
            <w:r>
              <w:rPr>
                <w:rFonts w:ascii="Times New Roman" w:cs="Times New Roman" w:eastAsia="Times New Roman" w:hAnsi="Times New Roman"/>
                <w:sz w:val="17"/>
                <w:szCs w:val="17"/>
                <w:color w:val="auto"/>
              </w:rPr>
              <w:t>33,832</w:t>
            </w:r>
            <w:r>
              <w:rPr>
                <w:rFonts w:ascii="Times New Roman" w:cs="Times New Roman" w:eastAsia="Times New Roman" w:hAnsi="Times New Roman"/>
                <w:sz w:val="28"/>
                <w:szCs w:val="28"/>
                <w:color w:val="auto"/>
                <w:vertAlign w:val="superscript"/>
              </w:rPr>
              <w:t>(8)</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4,078</w:t>
            </w:r>
          </w:p>
        </w:tc>
        <w:tc>
          <w:tcPr>
            <w:tcW w:w="10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29,754</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Chi Lim</w:t>
            </w:r>
          </w:p>
        </w:tc>
        <w:tc>
          <w:tcPr>
            <w:tcW w:w="1320" w:type="dxa"/>
            <w:vAlign w:val="bottom"/>
            <w:gridSpan w:val="2"/>
            <w:shd w:val="clear" w:color="auto" w:fill="CCEEFF"/>
          </w:tcPr>
          <w:p>
            <w:pPr>
              <w:jc w:val="right"/>
              <w:ind w:right="25"/>
              <w:spacing w:after="0" w:line="243" w:lineRule="exact"/>
              <w:rPr>
                <w:sz w:val="20"/>
                <w:szCs w:val="20"/>
                <w:color w:val="auto"/>
              </w:rPr>
            </w:pPr>
            <w:r>
              <w:rPr>
                <w:rFonts w:ascii="Times New Roman" w:cs="Times New Roman" w:eastAsia="Times New Roman" w:hAnsi="Times New Roman"/>
                <w:sz w:val="17"/>
                <w:szCs w:val="17"/>
                <w:color w:val="auto"/>
              </w:rPr>
              <w:t>70,221</w:t>
            </w:r>
            <w:r>
              <w:rPr>
                <w:rFonts w:ascii="Times New Roman" w:cs="Times New Roman" w:eastAsia="Times New Roman" w:hAnsi="Times New Roman"/>
                <w:sz w:val="28"/>
                <w:szCs w:val="28"/>
                <w:color w:val="auto"/>
                <w:vertAlign w:val="superscript"/>
              </w:rPr>
              <w:t>(9)</w:t>
            </w:r>
          </w:p>
        </w:tc>
        <w:tc>
          <w:tcPr>
            <w:tcW w:w="1460" w:type="dxa"/>
            <w:vAlign w:val="bottom"/>
            <w:gridSpan w:val="2"/>
            <w:shd w:val="clear" w:color="auto" w:fill="CCEEFF"/>
          </w:tcPr>
          <w:p>
            <w:pPr>
              <w:jc w:val="right"/>
              <w:ind w:right="8"/>
              <w:spacing w:after="0" w:line="243" w:lineRule="exact"/>
              <w:rPr>
                <w:sz w:val="20"/>
                <w:szCs w:val="20"/>
                <w:color w:val="auto"/>
              </w:rPr>
            </w:pPr>
            <w:r>
              <w:rPr>
                <w:rFonts w:ascii="Times New Roman" w:cs="Times New Roman" w:eastAsia="Times New Roman" w:hAnsi="Times New Roman"/>
                <w:sz w:val="17"/>
                <w:szCs w:val="17"/>
                <w:color w:val="auto"/>
              </w:rPr>
              <w:t>14,860</w:t>
            </w:r>
            <w:r>
              <w:rPr>
                <w:rFonts w:ascii="Times New Roman" w:cs="Times New Roman" w:eastAsia="Times New Roman" w:hAnsi="Times New Roman"/>
                <w:sz w:val="28"/>
                <w:szCs w:val="28"/>
                <w:color w:val="auto"/>
                <w:vertAlign w:val="superscript"/>
              </w:rPr>
              <w:t>(4)</w:t>
            </w:r>
          </w:p>
        </w:tc>
        <w:tc>
          <w:tcPr>
            <w:tcW w:w="10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59,209</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Vikash Patel</w:t>
            </w:r>
          </w:p>
        </w:tc>
        <w:tc>
          <w:tcPr>
            <w:tcW w:w="13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7"/>
                <w:szCs w:val="17"/>
                <w:color w:val="auto"/>
              </w:rPr>
              <w:t>10,198</w:t>
            </w:r>
            <w:r>
              <w:rPr>
                <w:rFonts w:ascii="Times New Roman" w:cs="Times New Roman" w:eastAsia="Times New Roman" w:hAnsi="Times New Roman"/>
                <w:sz w:val="28"/>
                <w:szCs w:val="28"/>
                <w:color w:val="auto"/>
                <w:vertAlign w:val="superscript"/>
              </w:rPr>
              <w:t>(10)</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10,198</w:t>
            </w:r>
          </w:p>
        </w:tc>
        <w:tc>
          <w:tcPr>
            <w:tcW w:w="1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Alan Runyan</w:t>
            </w:r>
          </w:p>
        </w:tc>
        <w:tc>
          <w:tcPr>
            <w:tcW w:w="132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7"/>
                <w:szCs w:val="17"/>
                <w:color w:val="auto"/>
              </w:rPr>
              <w:t>150,546</w:t>
            </w:r>
            <w:r>
              <w:rPr>
                <w:rFonts w:ascii="Times New Roman" w:cs="Times New Roman" w:eastAsia="Times New Roman" w:hAnsi="Times New Roman"/>
                <w:sz w:val="28"/>
                <w:szCs w:val="28"/>
                <w:color w:val="auto"/>
                <w:vertAlign w:val="superscript"/>
              </w:rPr>
              <w:t>(11)</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61,192</w:t>
            </w:r>
          </w:p>
        </w:tc>
        <w:tc>
          <w:tcPr>
            <w:tcW w:w="10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89,354</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and Holly Sellers</w:t>
            </w:r>
          </w:p>
        </w:tc>
        <w:tc>
          <w:tcPr>
            <w:tcW w:w="13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7"/>
                <w:szCs w:val="17"/>
                <w:color w:val="auto"/>
              </w:rPr>
              <w:t>60,949</w:t>
            </w:r>
            <w:r>
              <w:rPr>
                <w:rFonts w:ascii="Times New Roman" w:cs="Times New Roman" w:eastAsia="Times New Roman" w:hAnsi="Times New Roman"/>
                <w:sz w:val="28"/>
                <w:szCs w:val="28"/>
                <w:color w:val="auto"/>
                <w:vertAlign w:val="superscript"/>
              </w:rPr>
              <w:t>(12)</w:t>
            </w:r>
          </w:p>
        </w:tc>
        <w:tc>
          <w:tcPr>
            <w:tcW w:w="1460" w:type="dxa"/>
            <w:vAlign w:val="bottom"/>
            <w:gridSpan w:val="2"/>
          </w:tcPr>
          <w:p>
            <w:pPr>
              <w:jc w:val="right"/>
              <w:ind w:right="8"/>
              <w:spacing w:after="0" w:line="243" w:lineRule="exact"/>
              <w:rPr>
                <w:sz w:val="20"/>
                <w:szCs w:val="20"/>
                <w:color w:val="auto"/>
              </w:rPr>
            </w:pPr>
            <w:r>
              <w:rPr>
                <w:rFonts w:ascii="Times New Roman" w:cs="Times New Roman" w:eastAsia="Times New Roman" w:hAnsi="Times New Roman"/>
                <w:sz w:val="17"/>
                <w:szCs w:val="17"/>
                <w:color w:val="auto"/>
              </w:rPr>
              <w:t>22,290</w:t>
            </w:r>
            <w:r>
              <w:rPr>
                <w:rFonts w:ascii="Times New Roman" w:cs="Times New Roman" w:eastAsia="Times New Roman" w:hAnsi="Times New Roman"/>
                <w:sz w:val="28"/>
                <w:szCs w:val="28"/>
                <w:color w:val="auto"/>
                <w:vertAlign w:val="superscript"/>
              </w:rPr>
              <w:t>(4)</w:t>
            </w:r>
          </w:p>
        </w:tc>
        <w:tc>
          <w:tcPr>
            <w:tcW w:w="10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44,429</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M Shaw</w:t>
            </w:r>
          </w:p>
        </w:tc>
        <w:tc>
          <w:tcPr>
            <w:tcW w:w="132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96</w:t>
            </w:r>
            <w:r>
              <w:rPr>
                <w:rFonts w:ascii="Times New Roman" w:cs="Times New Roman" w:eastAsia="Times New Roman" w:hAnsi="Times New Roman"/>
                <w:sz w:val="13"/>
                <w:szCs w:val="13"/>
                <w:color w:val="auto"/>
              </w:rPr>
              <w:t>(13)</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Commonwealth Asset Management Global</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1,529,836</w:t>
            </w:r>
            <w:r>
              <w:rPr>
                <w:rFonts w:ascii="Times New Roman" w:cs="Times New Roman" w:eastAsia="Times New Roman" w:hAnsi="Times New Roman"/>
                <w:sz w:val="29"/>
                <w:szCs w:val="29"/>
                <w:color w:val="auto"/>
                <w:vertAlign w:val="superscript"/>
              </w:rPr>
              <w:t>(14)</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3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Macro Master Fund Ltd.</w:t>
            </w:r>
          </w:p>
        </w:tc>
        <w:tc>
          <w:tcPr>
            <w:tcW w:w="1320" w:type="dxa"/>
            <w:vAlign w:val="bottom"/>
            <w:gridSpan w:val="2"/>
            <w:vMerge w:val="continue"/>
          </w:tcPr>
          <w:p>
            <w:pPr>
              <w:spacing w:after="0"/>
              <w:rPr>
                <w:sz w:val="21"/>
                <w:szCs w:val="21"/>
                <w:color w:val="auto"/>
              </w:rPr>
            </w:pP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1,529,836</w:t>
            </w:r>
          </w:p>
        </w:tc>
        <w:tc>
          <w:tcPr>
            <w:tcW w:w="1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Javid Mu'az Baksh Living Trust dated</w:t>
            </w: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22,026</w:t>
            </w:r>
            <w:r>
              <w:rPr>
                <w:rFonts w:ascii="Times New Roman" w:cs="Times New Roman" w:eastAsia="Times New Roman" w:hAnsi="Times New Roman"/>
                <w:sz w:val="29"/>
                <w:szCs w:val="29"/>
                <w:color w:val="auto"/>
                <w:vertAlign w:val="superscript"/>
              </w:rPr>
              <w:t>(15)</w:t>
            </w:r>
          </w:p>
        </w:tc>
        <w:tc>
          <w:tcPr>
            <w:tcW w:w="146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29,719</w:t>
            </w:r>
            <w:r>
              <w:rPr>
                <w:rFonts w:ascii="Times New Roman" w:cs="Times New Roman" w:eastAsia="Times New Roman" w:hAnsi="Times New Roman"/>
                <w:sz w:val="29"/>
                <w:szCs w:val="29"/>
                <w:color w:val="auto"/>
                <w:vertAlign w:val="superscript"/>
              </w:rPr>
              <w:t>(4)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3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9, 2014</w:t>
            </w:r>
          </w:p>
        </w:tc>
        <w:tc>
          <w:tcPr>
            <w:tcW w:w="1320" w:type="dxa"/>
            <w:vAlign w:val="bottom"/>
            <w:gridSpan w:val="2"/>
            <w:vMerge w:val="continue"/>
            <w:shd w:val="clear" w:color="auto" w:fill="CCEEFF"/>
          </w:tcPr>
          <w:p>
            <w:pPr>
              <w:spacing w:after="0"/>
              <w:rPr>
                <w:sz w:val="21"/>
                <w:szCs w:val="21"/>
                <w:color w:val="auto"/>
              </w:rPr>
            </w:pPr>
          </w:p>
        </w:tc>
        <w:tc>
          <w:tcPr>
            <w:tcW w:w="14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SP3 Investments LLC</w:t>
            </w:r>
          </w:p>
        </w:tc>
        <w:tc>
          <w:tcPr>
            <w:tcW w:w="13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7"/>
                <w:szCs w:val="17"/>
                <w:color w:val="auto"/>
              </w:rPr>
              <w:t>169,321</w:t>
            </w:r>
            <w:r>
              <w:rPr>
                <w:rFonts w:ascii="Times New Roman" w:cs="Times New Roman" w:eastAsia="Times New Roman" w:hAnsi="Times New Roman"/>
                <w:sz w:val="28"/>
                <w:szCs w:val="28"/>
                <w:color w:val="auto"/>
                <w:vertAlign w:val="superscript"/>
              </w:rPr>
              <w:t>(16)</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20,396</w:t>
            </w:r>
          </w:p>
        </w:tc>
        <w:tc>
          <w:tcPr>
            <w:tcW w:w="10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148,925</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TDC Ventures, LP</w:t>
            </w:r>
          </w:p>
        </w:tc>
        <w:tc>
          <w:tcPr>
            <w:tcW w:w="132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7"/>
                <w:szCs w:val="17"/>
                <w:color w:val="auto"/>
              </w:rPr>
              <w:t>694,308</w:t>
            </w:r>
            <w:r>
              <w:rPr>
                <w:rFonts w:ascii="Times New Roman" w:cs="Times New Roman" w:eastAsia="Times New Roman" w:hAnsi="Times New Roman"/>
                <w:sz w:val="28"/>
                <w:szCs w:val="28"/>
                <w:color w:val="auto"/>
                <w:vertAlign w:val="superscript"/>
              </w:rPr>
              <w:t>(17)</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101,988</w:t>
            </w:r>
          </w:p>
        </w:tc>
        <w:tc>
          <w:tcPr>
            <w:tcW w:w="10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592,320</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Irrevocable Aloha Trust</w:t>
            </w:r>
          </w:p>
        </w:tc>
        <w:tc>
          <w:tcPr>
            <w:tcW w:w="13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7"/>
                <w:szCs w:val="17"/>
                <w:color w:val="auto"/>
              </w:rPr>
              <w:t>1,741,143</w:t>
            </w:r>
            <w:r>
              <w:rPr>
                <w:rFonts w:ascii="Times New Roman" w:cs="Times New Roman" w:eastAsia="Times New Roman" w:hAnsi="Times New Roman"/>
                <w:sz w:val="28"/>
                <w:szCs w:val="28"/>
                <w:color w:val="auto"/>
                <w:vertAlign w:val="superscript"/>
              </w:rPr>
              <w:t>(18)</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203,978</w:t>
            </w:r>
          </w:p>
        </w:tc>
        <w:tc>
          <w:tcPr>
            <w:tcW w:w="10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1,537,165</w:t>
            </w:r>
          </w:p>
        </w:tc>
        <w:tc>
          <w:tcPr>
            <w:tcW w:w="11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1.9%</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Stephan Revocable Trust</w:t>
            </w:r>
          </w:p>
        </w:tc>
        <w:tc>
          <w:tcPr>
            <w:tcW w:w="132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7"/>
                <w:szCs w:val="17"/>
                <w:color w:val="auto"/>
              </w:rPr>
              <w:t>10,198</w:t>
            </w:r>
            <w:r>
              <w:rPr>
                <w:rFonts w:ascii="Times New Roman" w:cs="Times New Roman" w:eastAsia="Times New Roman" w:hAnsi="Times New Roman"/>
                <w:sz w:val="28"/>
                <w:szCs w:val="28"/>
                <w:color w:val="auto"/>
                <w:vertAlign w:val="superscript"/>
              </w:rPr>
              <w:t>(19)</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10,198</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SEPA and Convertible Debentures</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YA II PN, Ltd.</w:t>
            </w:r>
          </w:p>
        </w:tc>
        <w:tc>
          <w:tcPr>
            <w:tcW w:w="1320" w:type="dxa"/>
            <w:vAlign w:val="bottom"/>
            <w:gridSpan w:val="2"/>
            <w:shd w:val="clear" w:color="auto" w:fill="CCEEFF"/>
          </w:tcPr>
          <w:p>
            <w:pPr>
              <w:jc w:val="right"/>
              <w:spacing w:after="0" w:line="245" w:lineRule="exact"/>
              <w:rPr>
                <w:sz w:val="20"/>
                <w:szCs w:val="20"/>
                <w:color w:val="auto"/>
              </w:rPr>
            </w:pPr>
            <w:r>
              <w:rPr>
                <w:rFonts w:ascii="Times New Roman" w:cs="Times New Roman" w:eastAsia="Times New Roman" w:hAnsi="Times New Roman"/>
                <w:sz w:val="17"/>
                <w:szCs w:val="17"/>
                <w:color w:val="auto"/>
              </w:rPr>
              <w:t>65,000</w:t>
            </w:r>
            <w:r>
              <w:rPr>
                <w:rFonts w:ascii="Times New Roman" w:cs="Times New Roman" w:eastAsia="Times New Roman" w:hAnsi="Times New Roman"/>
                <w:sz w:val="28"/>
                <w:szCs w:val="28"/>
                <w:color w:val="auto"/>
                <w:vertAlign w:val="superscript"/>
              </w:rPr>
              <w:t>(20)</w:t>
            </w:r>
          </w:p>
        </w:tc>
        <w:tc>
          <w:tcPr>
            <w:tcW w:w="1460" w:type="dxa"/>
            <w:vAlign w:val="bottom"/>
            <w:gridSpan w:val="2"/>
            <w:shd w:val="clear" w:color="auto" w:fill="CCEEFF"/>
          </w:tcPr>
          <w:p>
            <w:pPr>
              <w:jc w:val="right"/>
              <w:spacing w:after="0" w:line="245" w:lineRule="exact"/>
              <w:rPr>
                <w:sz w:val="20"/>
                <w:szCs w:val="20"/>
                <w:color w:val="auto"/>
              </w:rPr>
            </w:pPr>
            <w:r>
              <w:rPr>
                <w:rFonts w:ascii="Times New Roman" w:cs="Times New Roman" w:eastAsia="Times New Roman" w:hAnsi="Times New Roman"/>
                <w:sz w:val="17"/>
                <w:szCs w:val="17"/>
                <w:color w:val="auto"/>
              </w:rPr>
              <w:t>16,309,741</w:t>
            </w:r>
            <w:r>
              <w:rPr>
                <w:rFonts w:ascii="Times New Roman" w:cs="Times New Roman" w:eastAsia="Times New Roman" w:hAnsi="Times New Roman"/>
                <w:sz w:val="28"/>
                <w:szCs w:val="28"/>
                <w:color w:val="auto"/>
                <w:vertAlign w:val="superscript"/>
              </w:rPr>
              <w:t>(21)</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A&amp;R Registration Rights Agreement</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line="245" w:lineRule="exact"/>
              <w:rPr>
                <w:sz w:val="20"/>
                <w:szCs w:val="20"/>
                <w:color w:val="auto"/>
              </w:rPr>
            </w:pPr>
            <w:r>
              <w:rPr>
                <w:rFonts w:ascii="Times New Roman" w:cs="Times New Roman" w:eastAsia="Times New Roman" w:hAnsi="Times New Roman"/>
                <w:sz w:val="17"/>
                <w:szCs w:val="17"/>
                <w:color w:val="auto"/>
              </w:rPr>
              <w:t>Peter Relan</w:t>
            </w:r>
            <w:r>
              <w:rPr>
                <w:rFonts w:ascii="Times New Roman" w:cs="Times New Roman" w:eastAsia="Times New Roman" w:hAnsi="Times New Roman"/>
                <w:sz w:val="28"/>
                <w:szCs w:val="28"/>
                <w:color w:val="auto"/>
                <w:vertAlign w:val="superscript"/>
              </w:rPr>
              <w:t>(22)</w:t>
            </w:r>
          </w:p>
        </w:tc>
        <w:tc>
          <w:tcPr>
            <w:tcW w:w="13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8"/>
                <w:szCs w:val="18"/>
                <w:color w:val="auto"/>
              </w:rPr>
              <w:t>30,000</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Ellen Levy</w:t>
            </w:r>
            <w:r>
              <w:rPr>
                <w:rFonts w:ascii="Times New Roman" w:cs="Times New Roman" w:eastAsia="Times New Roman" w:hAnsi="Times New Roman"/>
                <w:sz w:val="28"/>
                <w:szCs w:val="28"/>
                <w:color w:val="auto"/>
                <w:vertAlign w:val="superscript"/>
              </w:rPr>
              <w:t>(23)</w:t>
            </w:r>
          </w:p>
        </w:tc>
        <w:tc>
          <w:tcPr>
            <w:tcW w:w="1320" w:type="dxa"/>
            <w:vAlign w:val="bottom"/>
            <w:gridSpan w:val="2"/>
          </w:tcPr>
          <w:p>
            <w:pPr>
              <w:jc w:val="right"/>
              <w:ind w:right="185"/>
              <w:spacing w:after="0"/>
              <w:rPr>
                <w:sz w:val="20"/>
                <w:szCs w:val="20"/>
                <w:color w:val="auto"/>
              </w:rPr>
            </w:pPr>
            <w:r>
              <w:rPr>
                <w:rFonts w:ascii="Times New Roman" w:cs="Times New Roman" w:eastAsia="Times New Roman" w:hAnsi="Times New Roman"/>
                <w:sz w:val="18"/>
                <w:szCs w:val="18"/>
                <w:color w:val="auto"/>
              </w:rPr>
              <w:t>30,000</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Daniel J Hennessy</w:t>
            </w:r>
            <w:r>
              <w:rPr>
                <w:rFonts w:ascii="Times New Roman" w:cs="Times New Roman" w:eastAsia="Times New Roman" w:hAnsi="Times New Roman"/>
                <w:sz w:val="28"/>
                <w:szCs w:val="28"/>
                <w:color w:val="auto"/>
                <w:vertAlign w:val="superscript"/>
              </w:rPr>
              <w:t>(24)</w:t>
            </w:r>
          </w:p>
        </w:tc>
        <w:tc>
          <w:tcPr>
            <w:tcW w:w="13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8"/>
                <w:szCs w:val="18"/>
                <w:color w:val="auto"/>
              </w:rPr>
              <w:t>738,790</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738,790</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AFT Investments LLC</w:t>
            </w:r>
            <w:r>
              <w:rPr>
                <w:rFonts w:ascii="Times New Roman" w:cs="Times New Roman" w:eastAsia="Times New Roman" w:hAnsi="Times New Roman"/>
                <w:sz w:val="28"/>
                <w:szCs w:val="28"/>
                <w:color w:val="auto"/>
                <w:vertAlign w:val="superscript"/>
              </w:rPr>
              <w:t>(25)</w:t>
            </w:r>
          </w:p>
        </w:tc>
        <w:tc>
          <w:tcPr>
            <w:tcW w:w="1320" w:type="dxa"/>
            <w:vAlign w:val="bottom"/>
            <w:gridSpan w:val="2"/>
          </w:tcPr>
          <w:p>
            <w:pPr>
              <w:jc w:val="right"/>
              <w:ind w:right="185"/>
              <w:spacing w:after="0"/>
              <w:rPr>
                <w:sz w:val="20"/>
                <w:szCs w:val="20"/>
                <w:color w:val="auto"/>
              </w:rPr>
            </w:pPr>
            <w:r>
              <w:rPr>
                <w:rFonts w:ascii="Times New Roman" w:cs="Times New Roman" w:eastAsia="Times New Roman" w:hAnsi="Times New Roman"/>
                <w:sz w:val="18"/>
                <w:szCs w:val="18"/>
                <w:color w:val="auto"/>
              </w:rPr>
              <w:t>249,572</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249,572</w:t>
            </w:r>
          </w:p>
        </w:tc>
        <w:tc>
          <w:tcPr>
            <w:tcW w:w="1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Learn Capital, LLC</w:t>
            </w:r>
            <w:r>
              <w:rPr>
                <w:rFonts w:ascii="Times New Roman" w:cs="Times New Roman" w:eastAsia="Times New Roman" w:hAnsi="Times New Roman"/>
                <w:sz w:val="28"/>
                <w:szCs w:val="28"/>
                <w:color w:val="auto"/>
                <w:vertAlign w:val="superscript"/>
              </w:rPr>
              <w:t>(26)</w:t>
            </w:r>
          </w:p>
        </w:tc>
        <w:tc>
          <w:tcPr>
            <w:tcW w:w="13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8"/>
                <w:szCs w:val="18"/>
                <w:color w:val="auto"/>
              </w:rPr>
              <w:t>1,125,243</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1,125,243</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VJAM LLC</w:t>
            </w:r>
            <w:r>
              <w:rPr>
                <w:rFonts w:ascii="Times New Roman" w:cs="Times New Roman" w:eastAsia="Times New Roman" w:hAnsi="Times New Roman"/>
                <w:sz w:val="28"/>
                <w:szCs w:val="28"/>
                <w:color w:val="auto"/>
                <w:vertAlign w:val="superscript"/>
              </w:rPr>
              <w:t>(27)</w:t>
            </w:r>
          </w:p>
        </w:tc>
        <w:tc>
          <w:tcPr>
            <w:tcW w:w="1320" w:type="dxa"/>
            <w:vAlign w:val="bottom"/>
            <w:gridSpan w:val="2"/>
          </w:tcPr>
          <w:p>
            <w:pPr>
              <w:jc w:val="right"/>
              <w:ind w:right="185"/>
              <w:spacing w:after="0"/>
              <w:rPr>
                <w:sz w:val="20"/>
                <w:szCs w:val="20"/>
                <w:color w:val="auto"/>
              </w:rPr>
            </w:pPr>
            <w:r>
              <w:rPr>
                <w:rFonts w:ascii="Times New Roman" w:cs="Times New Roman" w:eastAsia="Times New Roman" w:hAnsi="Times New Roman"/>
                <w:sz w:val="18"/>
                <w:szCs w:val="18"/>
                <w:color w:val="auto"/>
              </w:rPr>
              <w:t>63,299</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63,299</w:t>
            </w:r>
          </w:p>
        </w:tc>
        <w:tc>
          <w:tcPr>
            <w:tcW w:w="1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WTI Fund X, LLC</w:t>
            </w:r>
          </w:p>
        </w:tc>
        <w:tc>
          <w:tcPr>
            <w:tcW w:w="1320" w:type="dxa"/>
            <w:vAlign w:val="bottom"/>
            <w:gridSpan w:val="2"/>
          </w:tcPr>
          <w:p>
            <w:pPr>
              <w:jc w:val="right"/>
              <w:ind w:right="185"/>
              <w:spacing w:after="0"/>
              <w:rPr>
                <w:sz w:val="20"/>
                <w:szCs w:val="20"/>
                <w:color w:val="auto"/>
              </w:rPr>
            </w:pPr>
            <w:r>
              <w:rPr>
                <w:rFonts w:ascii="Times New Roman" w:cs="Times New Roman" w:eastAsia="Times New Roman" w:hAnsi="Times New Roman"/>
                <w:sz w:val="18"/>
                <w:szCs w:val="18"/>
                <w:color w:val="auto"/>
              </w:rPr>
              <w:t>1,121,287</w:t>
            </w:r>
          </w:p>
        </w:tc>
        <w:tc>
          <w:tcPr>
            <w:tcW w:w="14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7"/>
                <w:szCs w:val="17"/>
                <w:color w:val="auto"/>
              </w:rPr>
              <w:t>3,250,000</w:t>
            </w:r>
            <w:r>
              <w:rPr>
                <w:rFonts w:ascii="Times New Roman" w:cs="Times New Roman" w:eastAsia="Times New Roman" w:hAnsi="Times New Roman"/>
                <w:sz w:val="28"/>
                <w:szCs w:val="28"/>
                <w:color w:val="auto"/>
                <w:vertAlign w:val="superscript"/>
              </w:rPr>
              <w:t>(28)</w:t>
            </w:r>
          </w:p>
        </w:tc>
        <w:tc>
          <w:tcPr>
            <w:tcW w:w="1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WTI Fund XI, LLC</w:t>
            </w:r>
          </w:p>
        </w:tc>
        <w:tc>
          <w:tcPr>
            <w:tcW w:w="13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8"/>
                <w:szCs w:val="18"/>
                <w:color w:val="auto"/>
              </w:rPr>
              <w:t>373,762</w:t>
            </w:r>
          </w:p>
        </w:tc>
        <w:tc>
          <w:tcPr>
            <w:tcW w:w="146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7"/>
                <w:szCs w:val="17"/>
                <w:color w:val="auto"/>
              </w:rPr>
              <w:t>1,083,334</w:t>
            </w:r>
            <w:r>
              <w:rPr>
                <w:rFonts w:ascii="Times New Roman" w:cs="Times New Roman" w:eastAsia="Times New Roman" w:hAnsi="Times New Roman"/>
                <w:sz w:val="28"/>
                <w:szCs w:val="28"/>
                <w:color w:val="auto"/>
                <w:vertAlign w:val="superscript"/>
              </w:rPr>
              <w:t>(29)</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Series C Preferred Stock</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30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Ascent X Innventure TC, A Series of Ascent X</w:t>
            </w: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3,541,685</w:t>
            </w:r>
            <w:r>
              <w:rPr>
                <w:rFonts w:ascii="Times New Roman" w:cs="Times New Roman" w:eastAsia="Times New Roman" w:hAnsi="Times New Roman"/>
                <w:sz w:val="29"/>
                <w:szCs w:val="29"/>
                <w:color w:val="auto"/>
                <w:vertAlign w:val="superscript"/>
              </w:rPr>
              <w:t>(30)</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3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Innventure, LP</w:t>
            </w:r>
          </w:p>
        </w:tc>
        <w:tc>
          <w:tcPr>
            <w:tcW w:w="1320" w:type="dxa"/>
            <w:vAlign w:val="bottom"/>
            <w:gridSpan w:val="2"/>
            <w:vMerge w:val="continue"/>
            <w:shd w:val="clear" w:color="auto" w:fill="CCEEFF"/>
          </w:tcPr>
          <w:p>
            <w:pPr>
              <w:spacing w:after="0"/>
              <w:rPr>
                <w:sz w:val="21"/>
                <w:szCs w:val="21"/>
                <w:color w:val="auto"/>
              </w:rPr>
            </w:pP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250,000</w:t>
            </w:r>
          </w:p>
        </w:tc>
        <w:tc>
          <w:tcPr>
            <w:tcW w:w="10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3,291,685</w:t>
            </w:r>
          </w:p>
        </w:tc>
        <w:tc>
          <w:tcPr>
            <w:tcW w:w="11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4.1%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Casata Investments LLC</w:t>
            </w:r>
          </w:p>
        </w:tc>
        <w:tc>
          <w:tcPr>
            <w:tcW w:w="13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7"/>
                <w:szCs w:val="17"/>
                <w:color w:val="auto"/>
              </w:rPr>
              <w:t>200,000</w:t>
            </w:r>
            <w:r>
              <w:rPr>
                <w:rFonts w:ascii="Times New Roman" w:cs="Times New Roman" w:eastAsia="Times New Roman" w:hAnsi="Times New Roman"/>
                <w:sz w:val="28"/>
                <w:szCs w:val="28"/>
                <w:color w:val="auto"/>
                <w:vertAlign w:val="superscript"/>
              </w:rPr>
              <w:t>(31)</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200,000</w:t>
            </w:r>
          </w:p>
        </w:tc>
        <w:tc>
          <w:tcPr>
            <w:tcW w:w="1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Crown Global Life Insurance LTD IRO</w:t>
            </w: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106,180</w:t>
            </w:r>
            <w:r>
              <w:rPr>
                <w:rFonts w:ascii="Times New Roman" w:cs="Times New Roman" w:eastAsia="Times New Roman" w:hAnsi="Times New Roman"/>
                <w:sz w:val="29"/>
                <w:szCs w:val="29"/>
                <w:color w:val="auto"/>
                <w:vertAlign w:val="superscript"/>
              </w:rPr>
              <w:t>(32)</w:t>
            </w:r>
          </w:p>
        </w:tc>
        <w:tc>
          <w:tcPr>
            <w:tcW w:w="1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146,933</w:t>
            </w:r>
            <w:r>
              <w:rPr>
                <w:rFonts w:ascii="Times New Roman" w:cs="Times New Roman" w:eastAsia="Times New Roman" w:hAnsi="Times New Roman"/>
                <w:sz w:val="29"/>
                <w:szCs w:val="29"/>
                <w:color w:val="auto"/>
                <w:vertAlign w:val="superscript"/>
              </w:rPr>
              <w:t>(33)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3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Separate Account 30286</w:t>
            </w:r>
          </w:p>
        </w:tc>
        <w:tc>
          <w:tcPr>
            <w:tcW w:w="1320" w:type="dxa"/>
            <w:vAlign w:val="bottom"/>
            <w:gridSpan w:val="2"/>
            <w:vMerge w:val="continue"/>
            <w:shd w:val="clear" w:color="auto" w:fill="CCEEFF"/>
          </w:tcPr>
          <w:p>
            <w:pPr>
              <w:spacing w:after="0"/>
              <w:rPr>
                <w:sz w:val="21"/>
                <w:szCs w:val="21"/>
                <w:color w:val="auto"/>
              </w:rPr>
            </w:pPr>
          </w:p>
        </w:tc>
        <w:tc>
          <w:tcPr>
            <w:tcW w:w="14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Glockner Family Venture Fund, LP</w:t>
            </w:r>
          </w:p>
        </w:tc>
        <w:tc>
          <w:tcPr>
            <w:tcW w:w="13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7"/>
                <w:szCs w:val="17"/>
                <w:color w:val="auto"/>
              </w:rPr>
              <w:t>4,680,272</w:t>
            </w:r>
            <w:r>
              <w:rPr>
                <w:rFonts w:ascii="Times New Roman" w:cs="Times New Roman" w:eastAsia="Times New Roman" w:hAnsi="Times New Roman"/>
                <w:sz w:val="28"/>
                <w:szCs w:val="28"/>
                <w:color w:val="auto"/>
                <w:vertAlign w:val="superscript"/>
              </w:rPr>
              <w:t>(34)</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3,940,706</w:t>
            </w:r>
          </w:p>
        </w:tc>
        <w:tc>
          <w:tcPr>
            <w:tcW w:w="10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739,566</w:t>
            </w:r>
          </w:p>
        </w:tc>
        <w:tc>
          <w:tcPr>
            <w:tcW w:w="11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Grail Partners LLC</w:t>
            </w:r>
          </w:p>
        </w:tc>
        <w:tc>
          <w:tcPr>
            <w:tcW w:w="132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7"/>
                <w:szCs w:val="17"/>
                <w:color w:val="auto"/>
              </w:rPr>
              <w:t>326,112</w:t>
            </w:r>
            <w:r>
              <w:rPr>
                <w:rFonts w:ascii="Times New Roman" w:cs="Times New Roman" w:eastAsia="Times New Roman" w:hAnsi="Times New Roman"/>
                <w:sz w:val="28"/>
                <w:szCs w:val="28"/>
                <w:color w:val="auto"/>
                <w:vertAlign w:val="superscript"/>
              </w:rPr>
              <w:t>(35)</w:t>
            </w:r>
          </w:p>
        </w:tc>
        <w:tc>
          <w:tcPr>
            <w:tcW w:w="1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326,112</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Otworth</w:t>
            </w:r>
          </w:p>
        </w:tc>
        <w:tc>
          <w:tcPr>
            <w:tcW w:w="13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7"/>
                <w:szCs w:val="17"/>
                <w:color w:val="auto"/>
              </w:rPr>
              <w:t>3,492,607</w:t>
            </w:r>
            <w:r>
              <w:rPr>
                <w:rFonts w:ascii="Times New Roman" w:cs="Times New Roman" w:eastAsia="Times New Roman" w:hAnsi="Times New Roman"/>
                <w:sz w:val="28"/>
                <w:szCs w:val="28"/>
                <w:color w:val="auto"/>
                <w:vertAlign w:val="superscript"/>
              </w:rPr>
              <w:t>(36)</w:t>
            </w:r>
          </w:p>
        </w:tc>
        <w:tc>
          <w:tcPr>
            <w:tcW w:w="1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228,322</w:t>
            </w:r>
          </w:p>
        </w:tc>
        <w:tc>
          <w:tcPr>
            <w:tcW w:w="10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3,264,275</w:t>
            </w:r>
          </w:p>
        </w:tc>
        <w:tc>
          <w:tcPr>
            <w:tcW w:w="11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4.1%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Neil Eichelberger 2021 Irrevocable Trust</w:t>
            </w:r>
          </w:p>
        </w:tc>
        <w:tc>
          <w:tcPr>
            <w:tcW w:w="132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7"/>
                <w:szCs w:val="17"/>
                <w:color w:val="auto"/>
              </w:rPr>
              <w:t>2212,360</w:t>
            </w:r>
            <w:r>
              <w:rPr>
                <w:rFonts w:ascii="Times New Roman" w:cs="Times New Roman" w:eastAsia="Times New Roman" w:hAnsi="Times New Roman"/>
                <w:sz w:val="28"/>
                <w:szCs w:val="28"/>
                <w:color w:val="auto"/>
                <w:vertAlign w:val="superscript"/>
              </w:rPr>
              <w:t>(37)</w:t>
            </w:r>
          </w:p>
        </w:tc>
        <w:tc>
          <w:tcPr>
            <w:tcW w:w="146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7"/>
                <w:szCs w:val="17"/>
                <w:color w:val="auto"/>
              </w:rPr>
              <w:t>293,866</w:t>
            </w:r>
            <w:r>
              <w:rPr>
                <w:rFonts w:ascii="Times New Roman" w:cs="Times New Roman" w:eastAsia="Times New Roman" w:hAnsi="Times New Roman"/>
                <w:sz w:val="28"/>
                <w:szCs w:val="28"/>
                <w:color w:val="auto"/>
                <w:vertAlign w:val="superscript"/>
              </w:rPr>
              <w:t>(33)</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PIPE Investment</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Briggs</w:t>
            </w:r>
          </w:p>
        </w:tc>
        <w:tc>
          <w:tcPr>
            <w:tcW w:w="13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8"/>
                <w:szCs w:val="18"/>
                <w:color w:val="auto"/>
              </w:rPr>
              <w:t>25,000</w:t>
            </w:r>
          </w:p>
        </w:tc>
        <w:tc>
          <w:tcPr>
            <w:tcW w:w="1460" w:type="dxa"/>
            <w:vAlign w:val="bottom"/>
            <w:gridSpan w:val="2"/>
            <w:shd w:val="clear" w:color="auto" w:fill="CCEEFF"/>
          </w:tcPr>
          <w:p>
            <w:pPr>
              <w:jc w:val="right"/>
              <w:spacing w:after="0" w:line="245" w:lineRule="exact"/>
              <w:rPr>
                <w:sz w:val="20"/>
                <w:szCs w:val="20"/>
                <w:color w:val="auto"/>
              </w:rPr>
            </w:pPr>
            <w:r>
              <w:rPr>
                <w:rFonts w:ascii="Times New Roman" w:cs="Times New Roman" w:eastAsia="Times New Roman" w:hAnsi="Times New Roman"/>
                <w:sz w:val="17"/>
                <w:szCs w:val="17"/>
                <w:color w:val="auto"/>
              </w:rPr>
              <w:t>50,000</w:t>
            </w:r>
            <w:r>
              <w:rPr>
                <w:rFonts w:ascii="Times New Roman" w:cs="Times New Roman" w:eastAsia="Times New Roman" w:hAnsi="Times New Roman"/>
                <w:sz w:val="28"/>
                <w:szCs w:val="28"/>
                <w:color w:val="auto"/>
                <w:vertAlign w:val="superscript"/>
              </w:rPr>
              <w:t>(38)</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CastleKnight Master Fund LP</w:t>
            </w:r>
          </w:p>
        </w:tc>
        <w:tc>
          <w:tcPr>
            <w:tcW w:w="1320" w:type="dxa"/>
            <w:vAlign w:val="bottom"/>
            <w:gridSpan w:val="2"/>
          </w:tcPr>
          <w:p>
            <w:pPr>
              <w:jc w:val="right"/>
              <w:ind w:right="185"/>
              <w:spacing w:after="0"/>
              <w:rPr>
                <w:sz w:val="20"/>
                <w:szCs w:val="20"/>
                <w:color w:val="auto"/>
              </w:rPr>
            </w:pPr>
            <w:r>
              <w:rPr>
                <w:rFonts w:ascii="Times New Roman" w:cs="Times New Roman" w:eastAsia="Times New Roman" w:hAnsi="Times New Roman"/>
                <w:sz w:val="18"/>
                <w:szCs w:val="18"/>
                <w:color w:val="auto"/>
              </w:rPr>
              <w:t>3,086,416</w:t>
            </w:r>
          </w:p>
        </w:tc>
        <w:tc>
          <w:tcPr>
            <w:tcW w:w="14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7"/>
                <w:szCs w:val="17"/>
                <w:color w:val="auto"/>
              </w:rPr>
              <w:t>2,400,000</w:t>
            </w:r>
            <w:r>
              <w:rPr>
                <w:rFonts w:ascii="Times New Roman" w:cs="Times New Roman" w:eastAsia="Times New Roman" w:hAnsi="Times New Roman"/>
                <w:sz w:val="28"/>
                <w:szCs w:val="28"/>
                <w:color w:val="auto"/>
                <w:vertAlign w:val="superscript"/>
              </w:rPr>
              <w:t>(39)</w:t>
            </w:r>
          </w:p>
        </w:tc>
        <w:tc>
          <w:tcPr>
            <w:tcW w:w="10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686,416</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DOMMFT Investments LLC</w:t>
            </w:r>
          </w:p>
        </w:tc>
        <w:tc>
          <w:tcPr>
            <w:tcW w:w="13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8"/>
                <w:szCs w:val="18"/>
                <w:color w:val="auto"/>
              </w:rPr>
              <w:t>50,000</w:t>
            </w:r>
          </w:p>
        </w:tc>
        <w:tc>
          <w:tcPr>
            <w:tcW w:w="146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7"/>
                <w:szCs w:val="17"/>
                <w:color w:val="auto"/>
              </w:rPr>
              <w:t>100,000</w:t>
            </w:r>
            <w:r>
              <w:rPr>
                <w:rFonts w:ascii="Times New Roman" w:cs="Times New Roman" w:eastAsia="Times New Roman" w:hAnsi="Times New Roman"/>
                <w:sz w:val="28"/>
                <w:szCs w:val="28"/>
                <w:color w:val="auto"/>
                <w:vertAlign w:val="superscript"/>
              </w:rPr>
              <w:t>(40)</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P. Hoffman</w:t>
            </w:r>
          </w:p>
        </w:tc>
        <w:tc>
          <w:tcPr>
            <w:tcW w:w="1320" w:type="dxa"/>
            <w:vAlign w:val="bottom"/>
            <w:gridSpan w:val="2"/>
          </w:tcPr>
          <w:p>
            <w:pPr>
              <w:jc w:val="right"/>
              <w:ind w:right="185"/>
              <w:spacing w:after="0"/>
              <w:rPr>
                <w:sz w:val="20"/>
                <w:szCs w:val="20"/>
                <w:color w:val="auto"/>
              </w:rPr>
            </w:pPr>
            <w:r>
              <w:rPr>
                <w:rFonts w:ascii="Times New Roman" w:cs="Times New Roman" w:eastAsia="Times New Roman" w:hAnsi="Times New Roman"/>
                <w:sz w:val="18"/>
                <w:szCs w:val="18"/>
                <w:color w:val="auto"/>
              </w:rPr>
              <w:t>8,400</w:t>
            </w:r>
          </w:p>
        </w:tc>
        <w:tc>
          <w:tcPr>
            <w:tcW w:w="14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7"/>
                <w:szCs w:val="17"/>
                <w:color w:val="auto"/>
              </w:rPr>
              <w:t>16,800</w:t>
            </w:r>
            <w:r>
              <w:rPr>
                <w:rFonts w:ascii="Times New Roman" w:cs="Times New Roman" w:eastAsia="Times New Roman" w:hAnsi="Times New Roman"/>
                <w:sz w:val="28"/>
                <w:szCs w:val="28"/>
                <w:color w:val="auto"/>
                <w:vertAlign w:val="superscript"/>
              </w:rPr>
              <w:t>(41)</w:t>
            </w:r>
          </w:p>
        </w:tc>
        <w:tc>
          <w:tcPr>
            <w:tcW w:w="1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Jacob Mermelstein</w:t>
            </w:r>
          </w:p>
        </w:tc>
        <w:tc>
          <w:tcPr>
            <w:tcW w:w="13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8"/>
                <w:szCs w:val="18"/>
                <w:color w:val="auto"/>
              </w:rPr>
              <w:t>16,000</w:t>
            </w:r>
          </w:p>
        </w:tc>
        <w:tc>
          <w:tcPr>
            <w:tcW w:w="146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7"/>
                <w:szCs w:val="17"/>
                <w:color w:val="auto"/>
              </w:rPr>
              <w:t>32,000</w:t>
            </w:r>
            <w:r>
              <w:rPr>
                <w:rFonts w:ascii="Times New Roman" w:cs="Times New Roman" w:eastAsia="Times New Roman" w:hAnsi="Times New Roman"/>
                <w:sz w:val="28"/>
                <w:szCs w:val="28"/>
                <w:color w:val="auto"/>
                <w:vertAlign w:val="superscript"/>
              </w:rPr>
              <w:t>(42)</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Erick and Wendi Kuebler</w:t>
            </w:r>
          </w:p>
        </w:tc>
        <w:tc>
          <w:tcPr>
            <w:tcW w:w="1320" w:type="dxa"/>
            <w:vAlign w:val="bottom"/>
            <w:gridSpan w:val="2"/>
          </w:tcPr>
          <w:p>
            <w:pPr>
              <w:jc w:val="right"/>
              <w:ind w:right="185"/>
              <w:spacing w:after="0"/>
              <w:rPr>
                <w:sz w:val="20"/>
                <w:szCs w:val="20"/>
                <w:color w:val="auto"/>
              </w:rPr>
            </w:pPr>
            <w:r>
              <w:rPr>
                <w:rFonts w:ascii="Times New Roman" w:cs="Times New Roman" w:eastAsia="Times New Roman" w:hAnsi="Times New Roman"/>
                <w:sz w:val="18"/>
                <w:szCs w:val="18"/>
                <w:color w:val="auto"/>
              </w:rPr>
              <w:t>8,334</w:t>
            </w:r>
          </w:p>
        </w:tc>
        <w:tc>
          <w:tcPr>
            <w:tcW w:w="14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7"/>
                <w:szCs w:val="17"/>
                <w:color w:val="auto"/>
              </w:rPr>
              <w:t>16,668</w:t>
            </w:r>
            <w:r>
              <w:rPr>
                <w:rFonts w:ascii="Times New Roman" w:cs="Times New Roman" w:eastAsia="Times New Roman" w:hAnsi="Times New Roman"/>
                <w:sz w:val="28"/>
                <w:szCs w:val="28"/>
                <w:color w:val="auto"/>
                <w:vertAlign w:val="superscript"/>
              </w:rPr>
              <w:t>(43)</w:t>
            </w:r>
          </w:p>
        </w:tc>
        <w:tc>
          <w:tcPr>
            <w:tcW w:w="1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 Lipton</w:t>
            </w:r>
          </w:p>
        </w:tc>
        <w:tc>
          <w:tcPr>
            <w:tcW w:w="13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8"/>
                <w:szCs w:val="18"/>
                <w:color w:val="auto"/>
              </w:rPr>
              <w:t>4,167</w:t>
            </w:r>
          </w:p>
        </w:tc>
        <w:tc>
          <w:tcPr>
            <w:tcW w:w="146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7"/>
                <w:szCs w:val="17"/>
                <w:color w:val="auto"/>
              </w:rPr>
              <w:t>8,334</w:t>
            </w:r>
            <w:r>
              <w:rPr>
                <w:rFonts w:ascii="Times New Roman" w:cs="Times New Roman" w:eastAsia="Times New Roman" w:hAnsi="Times New Roman"/>
                <w:sz w:val="28"/>
                <w:szCs w:val="28"/>
                <w:color w:val="auto"/>
                <w:vertAlign w:val="superscript"/>
              </w:rPr>
              <w:t>(44)</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Marvin Mermelstein Descendants’ Trust</w:t>
            </w:r>
          </w:p>
        </w:tc>
        <w:tc>
          <w:tcPr>
            <w:tcW w:w="1320" w:type="dxa"/>
            <w:vAlign w:val="bottom"/>
            <w:gridSpan w:val="2"/>
          </w:tcPr>
          <w:p>
            <w:pPr>
              <w:jc w:val="right"/>
              <w:ind w:right="185"/>
              <w:spacing w:after="0"/>
              <w:rPr>
                <w:sz w:val="20"/>
                <w:szCs w:val="20"/>
                <w:color w:val="auto"/>
              </w:rPr>
            </w:pPr>
            <w:r>
              <w:rPr>
                <w:rFonts w:ascii="Times New Roman" w:cs="Times New Roman" w:eastAsia="Times New Roman" w:hAnsi="Times New Roman"/>
                <w:sz w:val="18"/>
                <w:szCs w:val="18"/>
                <w:color w:val="auto"/>
              </w:rPr>
              <w:t>50,000</w:t>
            </w:r>
          </w:p>
        </w:tc>
        <w:tc>
          <w:tcPr>
            <w:tcW w:w="14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7"/>
                <w:szCs w:val="17"/>
                <w:color w:val="auto"/>
              </w:rPr>
              <w:t>100,000</w:t>
            </w:r>
            <w:r>
              <w:rPr>
                <w:rFonts w:ascii="Times New Roman" w:cs="Times New Roman" w:eastAsia="Times New Roman" w:hAnsi="Times New Roman"/>
                <w:sz w:val="28"/>
                <w:szCs w:val="28"/>
                <w:color w:val="auto"/>
                <w:vertAlign w:val="superscript"/>
              </w:rPr>
              <w:t>(45)</w:t>
            </w:r>
          </w:p>
        </w:tc>
        <w:tc>
          <w:tcPr>
            <w:tcW w:w="1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Rappaport Ventures LLC</w:t>
            </w:r>
          </w:p>
        </w:tc>
        <w:tc>
          <w:tcPr>
            <w:tcW w:w="1320" w:type="dxa"/>
            <w:vAlign w:val="bottom"/>
            <w:tcBorders>
              <w:bottom w:val="single" w:sz="8" w:color="CCEEFF"/>
            </w:tcBorders>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8"/>
                <w:szCs w:val="18"/>
                <w:color w:val="auto"/>
              </w:rPr>
              <w:t>35,000</w:t>
            </w:r>
          </w:p>
        </w:tc>
        <w:tc>
          <w:tcPr>
            <w:tcW w:w="1460" w:type="dxa"/>
            <w:vAlign w:val="bottom"/>
            <w:tcBorders>
              <w:bottom w:val="single" w:sz="8" w:color="CCEEFF"/>
            </w:tcBorders>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16"/>
                <w:szCs w:val="16"/>
                <w:color w:val="auto"/>
              </w:rPr>
              <w:t>70,000</w:t>
            </w:r>
            <w:r>
              <w:rPr>
                <w:rFonts w:ascii="Times New Roman" w:cs="Times New Roman" w:eastAsia="Times New Roman" w:hAnsi="Times New Roman"/>
                <w:sz w:val="26"/>
                <w:szCs w:val="26"/>
                <w:color w:val="auto"/>
                <w:vertAlign w:val="superscript"/>
              </w:rPr>
              <w:t>(46)</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20" w:type="dxa"/>
            <w:vAlign w:val="bottom"/>
            <w:gridSpan w:val="2"/>
          </w:tcPr>
          <w:p>
            <w:pPr>
              <w:jc w:val="right"/>
              <w:ind w:right="385"/>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2" w:right="439" w:bottom="1440" w:gutter="0" w:footer="0" w:header="0"/>
        </w:sectPr>
      </w:pPr>
    </w:p>
    <w:bookmarkStart w:id="23" w:name="page24"/>
    <w:bookmarkEnd w:id="23"/>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24"/>
                <w:szCs w:val="2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24"/>
                <w:szCs w:val="2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to be Sold</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9"/>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0" w:type="dxa"/>
            <w:vAlign w:val="bottom"/>
          </w:tcPr>
          <w:p>
            <w:pPr>
              <w:spacing w:after="0"/>
              <w:rPr>
                <w:sz w:val="1"/>
                <w:szCs w:val="1"/>
                <w:color w:val="auto"/>
              </w:rPr>
            </w:pPr>
          </w:p>
        </w:tc>
      </w:tr>
      <w:tr>
        <w:trPr>
          <w:trHeight w:val="190"/>
        </w:trPr>
        <w:tc>
          <w:tcPr>
            <w:tcW w:w="3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this Prospectus</w:t>
            </w:r>
          </w:p>
        </w:tc>
        <w:tc>
          <w:tcPr>
            <w:tcW w:w="1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Reyes</w:t>
            </w:r>
          </w:p>
        </w:tc>
        <w:tc>
          <w:tcPr>
            <w:tcW w:w="12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216,000</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65"/>
              <w:spacing w:after="0" w:line="250" w:lineRule="exact"/>
              <w:rPr>
                <w:sz w:val="20"/>
                <w:szCs w:val="20"/>
                <w:color w:val="auto"/>
              </w:rPr>
            </w:pPr>
            <w:r>
              <w:rPr>
                <w:rFonts w:ascii="Times New Roman" w:cs="Times New Roman" w:eastAsia="Times New Roman" w:hAnsi="Times New Roman"/>
                <w:sz w:val="17"/>
                <w:szCs w:val="17"/>
                <w:color w:val="auto"/>
              </w:rPr>
              <w:t>333,334</w:t>
            </w:r>
            <w:r>
              <w:rPr>
                <w:rFonts w:ascii="Times New Roman" w:cs="Times New Roman" w:eastAsia="Times New Roman" w:hAnsi="Times New Roman"/>
                <w:sz w:val="28"/>
                <w:szCs w:val="28"/>
                <w:color w:val="auto"/>
                <w:vertAlign w:val="superscript"/>
              </w:rPr>
              <w:t>(47)</w:t>
            </w:r>
          </w:p>
        </w:tc>
        <w:tc>
          <w:tcPr>
            <w:tcW w:w="10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49,333</w:t>
            </w:r>
          </w:p>
        </w:tc>
        <w:tc>
          <w:tcPr>
            <w:tcW w:w="11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Schneider</w:t>
            </w:r>
          </w:p>
        </w:tc>
        <w:tc>
          <w:tcPr>
            <w:tcW w:w="12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12,000</w:t>
            </w:r>
          </w:p>
        </w:tc>
        <w:tc>
          <w:tcPr>
            <w:tcW w:w="1480" w:type="dxa"/>
            <w:vAlign w:val="bottom"/>
            <w:gridSpan w:val="2"/>
          </w:tcPr>
          <w:p>
            <w:pPr>
              <w:jc w:val="right"/>
              <w:ind w:right="85"/>
              <w:spacing w:after="0" w:line="243" w:lineRule="exact"/>
              <w:rPr>
                <w:sz w:val="20"/>
                <w:szCs w:val="20"/>
                <w:color w:val="auto"/>
              </w:rPr>
            </w:pPr>
            <w:r>
              <w:rPr>
                <w:rFonts w:ascii="Times New Roman" w:cs="Times New Roman" w:eastAsia="Times New Roman" w:hAnsi="Times New Roman"/>
                <w:sz w:val="17"/>
                <w:szCs w:val="17"/>
                <w:color w:val="auto"/>
              </w:rPr>
              <w:t>19,000</w:t>
            </w:r>
            <w:r>
              <w:rPr>
                <w:rFonts w:ascii="Times New Roman" w:cs="Times New Roman" w:eastAsia="Times New Roman" w:hAnsi="Times New Roman"/>
                <w:sz w:val="28"/>
                <w:szCs w:val="28"/>
                <w:color w:val="auto"/>
                <w:vertAlign w:val="superscript"/>
              </w:rPr>
              <w:t>(48)</w:t>
            </w:r>
          </w:p>
        </w:tc>
        <w:tc>
          <w:tcPr>
            <w:tcW w:w="1080" w:type="dxa"/>
            <w:vAlign w:val="bottom"/>
            <w:gridSpan w:val="2"/>
          </w:tcPr>
          <w:p>
            <w:pPr>
              <w:jc w:val="right"/>
              <w:ind w:right="164"/>
              <w:spacing w:after="0"/>
              <w:rPr>
                <w:sz w:val="20"/>
                <w:szCs w:val="20"/>
                <w:color w:val="auto"/>
              </w:rPr>
            </w:pPr>
            <w:r>
              <w:rPr>
                <w:rFonts w:ascii="Times New Roman" w:cs="Times New Roman" w:eastAsia="Times New Roman" w:hAnsi="Times New Roman"/>
                <w:sz w:val="18"/>
                <w:szCs w:val="18"/>
                <w:color w:val="auto"/>
              </w:rPr>
              <w:t>2,500</w:t>
            </w:r>
          </w:p>
        </w:tc>
        <w:tc>
          <w:tcPr>
            <w:tcW w:w="11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P. Spain</w:t>
            </w:r>
          </w:p>
        </w:tc>
        <w:tc>
          <w:tcPr>
            <w:tcW w:w="12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41,667</w:t>
            </w:r>
          </w:p>
        </w:tc>
        <w:tc>
          <w:tcPr>
            <w:tcW w:w="1480" w:type="dxa"/>
            <w:vAlign w:val="bottom"/>
            <w:gridSpan w:val="2"/>
            <w:shd w:val="clear" w:color="auto" w:fill="CCEEFF"/>
          </w:tcPr>
          <w:p>
            <w:pPr>
              <w:jc w:val="right"/>
              <w:ind w:right="85"/>
              <w:spacing w:after="0" w:line="243" w:lineRule="exact"/>
              <w:rPr>
                <w:sz w:val="20"/>
                <w:szCs w:val="20"/>
                <w:color w:val="auto"/>
              </w:rPr>
            </w:pPr>
            <w:r>
              <w:rPr>
                <w:rFonts w:ascii="Times New Roman" w:cs="Times New Roman" w:eastAsia="Times New Roman" w:hAnsi="Times New Roman"/>
                <w:sz w:val="17"/>
                <w:szCs w:val="17"/>
                <w:color w:val="auto"/>
              </w:rPr>
              <w:t>83,334</w:t>
            </w:r>
            <w:r>
              <w:rPr>
                <w:rFonts w:ascii="Times New Roman" w:cs="Times New Roman" w:eastAsia="Times New Roman" w:hAnsi="Times New Roman"/>
                <w:sz w:val="28"/>
                <w:szCs w:val="28"/>
                <w:color w:val="auto"/>
                <w:vertAlign w:val="superscript"/>
              </w:rPr>
              <w:t>(49)</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YELO Investments II LLC</w:t>
            </w:r>
          </w:p>
        </w:tc>
        <w:tc>
          <w:tcPr>
            <w:tcW w:w="12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10,500</w:t>
            </w:r>
          </w:p>
        </w:tc>
        <w:tc>
          <w:tcPr>
            <w:tcW w:w="1480" w:type="dxa"/>
            <w:vAlign w:val="bottom"/>
            <w:gridSpan w:val="2"/>
          </w:tcPr>
          <w:p>
            <w:pPr>
              <w:jc w:val="right"/>
              <w:ind w:right="85"/>
              <w:spacing w:after="0"/>
              <w:rPr>
                <w:sz w:val="20"/>
                <w:szCs w:val="20"/>
                <w:color w:val="auto"/>
              </w:rPr>
            </w:pPr>
            <w:r>
              <w:rPr>
                <w:rFonts w:ascii="Times New Roman" w:cs="Times New Roman" w:eastAsia="Times New Roman" w:hAnsi="Times New Roman"/>
                <w:sz w:val="18"/>
                <w:szCs w:val="18"/>
                <w:color w:val="auto"/>
              </w:rPr>
              <w:t>21,000</w:t>
            </w:r>
            <w:r>
              <w:rPr>
                <w:rFonts w:ascii="Times New Roman" w:cs="Times New Roman" w:eastAsia="Times New Roman" w:hAnsi="Times New Roman"/>
                <w:sz w:val="29"/>
                <w:szCs w:val="29"/>
                <w:color w:val="auto"/>
                <w:vertAlign w:val="superscript"/>
              </w:rPr>
              <w:t>(50)</w:t>
            </w:r>
          </w:p>
        </w:tc>
        <w:tc>
          <w:tcPr>
            <w:tcW w:w="140" w:type="dxa"/>
            <w:vAlign w:val="bottom"/>
          </w:tcPr>
          <w:p>
            <w:pPr>
              <w:spacing w:after="0"/>
              <w:rPr>
                <w:sz w:val="24"/>
                <w:szCs w:val="24"/>
                <w:color w:val="auto"/>
              </w:rPr>
            </w:pPr>
          </w:p>
        </w:tc>
        <w:tc>
          <w:tcPr>
            <w:tcW w:w="940" w:type="dxa"/>
            <w:vAlign w:val="bottom"/>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75565</wp:posOffset>
            </wp:positionV>
            <wp:extent cx="8229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44" w:lineRule="exact"/>
        <w:rPr>
          <w:sz w:val="20"/>
          <w:szCs w:val="20"/>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42" w:lineRule="exact"/>
        <w:rPr>
          <w:sz w:val="20"/>
          <w:szCs w:val="20"/>
          <w:color w:val="auto"/>
        </w:rPr>
      </w:pPr>
    </w:p>
    <w:p>
      <w:pPr>
        <w:ind w:left="640" w:right="399" w:hanging="348"/>
        <w:spacing w:after="0" w:line="229"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29,723 shares of Common Stock of KNA Holdings LLC, the shares of which the Selling Stockholder may be deemed to indirectly beneficially own and have sole voting and investment power, and (ii) 10,198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511 Dallas Rd., Greenville, South Carolina 29607.</w:t>
      </w:r>
    </w:p>
    <w:p>
      <w:pPr>
        <w:spacing w:after="0" w:line="18" w:lineRule="exact"/>
        <w:rPr>
          <w:rFonts w:ascii="Times New Roman" w:cs="Times New Roman" w:eastAsia="Times New Roman" w:hAnsi="Times New Roman"/>
          <w:sz w:val="14"/>
          <w:szCs w:val="14"/>
          <w:color w:val="auto"/>
        </w:rPr>
      </w:pPr>
    </w:p>
    <w:p>
      <w:pPr>
        <w:ind w:left="640" w:right="319" w:hanging="348"/>
        <w:spacing w:after="0" w:line="231"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17,657 shares of Common Stock and (ii) 4,078 shares of Common Stock that were issued upon conversion of shares of Series B Preferred Stock originally issued to the Selling Stockholder and issued to the Selling Stockholder as a paid-in-kind dividend to date.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Mr. Anthony Bradshaw and Mrs. Kelly Bradshaw share voting and investment power over the shares. The business address of the listed Selling Stockholders is 3100 Kingsbarns Dr., Flower Mound, Texas 75028.</w:t>
      </w:r>
    </w:p>
    <w:p>
      <w:pPr>
        <w:spacing w:after="0" w:line="15" w:lineRule="exact"/>
        <w:rPr>
          <w:rFonts w:ascii="Times New Roman" w:cs="Times New Roman" w:eastAsia="Times New Roman" w:hAnsi="Times New Roman"/>
          <w:sz w:val="14"/>
          <w:szCs w:val="14"/>
          <w:color w:val="auto"/>
        </w:rPr>
      </w:pPr>
    </w:p>
    <w:p>
      <w:pPr>
        <w:ind w:left="640" w:right="339" w:hanging="348"/>
        <w:spacing w:after="0" w:line="231"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74,461 shares of Common Stock and (ii) 22,026 shares of Common Stock issuable upon conversion of shares of Series B Preferred Stock originally issued to the Selling Stockholders and issued to the Selling Stockholder as a paid-in-kind dividend to date.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Mr. Christopher Corley and Mrs. Donna Corley share voting and investment power over the shares. The business address of the listed Selling Stockholder is 1001 Moore Road, Greenville, South Carolina 29615.</w:t>
      </w:r>
    </w:p>
    <w:p>
      <w:pPr>
        <w:spacing w:after="0" w:line="15" w:lineRule="exact"/>
        <w:rPr>
          <w:rFonts w:ascii="Times New Roman" w:cs="Times New Roman" w:eastAsia="Times New Roman" w:hAnsi="Times New Roman"/>
          <w:sz w:val="14"/>
          <w:szCs w:val="14"/>
          <w:color w:val="auto"/>
        </w:rPr>
      </w:pPr>
    </w:p>
    <w:p>
      <w:pPr>
        <w:ind w:left="640" w:right="699" w:hanging="348"/>
        <w:spacing w:after="0" w:line="261"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B Preferred Stock originally issued to the Selling Stockholder and shares of Common Stock issuable upon conversion of Series B Preferred Stock issued and to be issued as dividends.</w:t>
      </w:r>
    </w:p>
    <w:p>
      <w:pPr>
        <w:ind w:left="640" w:right="379"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89,022 shares of Common Stock and (ii) 20,396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8895 Northwest 99th Court, Miami, Florida 33178.</w:t>
      </w:r>
    </w:p>
    <w:p>
      <w:pPr>
        <w:spacing w:after="0" w:line="140" w:lineRule="exact"/>
        <w:rPr>
          <w:rFonts w:ascii="Times New Roman" w:cs="Times New Roman" w:eastAsia="Times New Roman" w:hAnsi="Times New Roman"/>
          <w:sz w:val="14"/>
          <w:szCs w:val="14"/>
          <w:color w:val="auto"/>
        </w:rPr>
      </w:pPr>
    </w:p>
    <w:p>
      <w:pPr>
        <w:ind w:left="640" w:right="339" w:hanging="348"/>
        <w:spacing w:after="0" w:line="233"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14 Carter Street, Greenville, South Carolina 29607.</w:t>
      </w:r>
    </w:p>
    <w:p>
      <w:pPr>
        <w:spacing w:after="0" w:line="15" w:lineRule="exact"/>
        <w:rPr>
          <w:rFonts w:ascii="Times New Roman" w:cs="Times New Roman" w:eastAsia="Times New Roman" w:hAnsi="Times New Roman"/>
          <w:sz w:val="14"/>
          <w:szCs w:val="14"/>
          <w:color w:val="auto"/>
        </w:rPr>
      </w:pPr>
    </w:p>
    <w:p>
      <w:pPr>
        <w:ind w:left="640" w:right="339" w:hanging="348"/>
        <w:spacing w:after="0" w:line="231"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that were issued upon conversion of shares of Series B Preferred Stock originally issued to the Selling Stockholder and issued to the Selling Stockholder as a paid-in-kind dividend to date.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Michael Haughton and Kristin Haughton share voting and investment power over the shares. The business address of the listed Selling Stockholders is 304 Welling Circle, Greenville, South Carolina 29607.</w:t>
      </w:r>
    </w:p>
    <w:p>
      <w:pPr>
        <w:spacing w:after="0" w:line="15" w:lineRule="exact"/>
        <w:rPr>
          <w:rFonts w:ascii="Times New Roman" w:cs="Times New Roman" w:eastAsia="Times New Roman" w:hAnsi="Times New Roman"/>
          <w:sz w:val="14"/>
          <w:szCs w:val="14"/>
          <w:color w:val="auto"/>
        </w:rPr>
      </w:pPr>
    </w:p>
    <w:p>
      <w:pPr>
        <w:ind w:left="640" w:right="379"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29,754 shares of Common Stock and (ii) 4,078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214 Stewart Street, Greenville, South Carolina 29605.</w:t>
      </w:r>
    </w:p>
    <w:p>
      <w:pPr>
        <w:spacing w:after="0" w:line="140" w:lineRule="exact"/>
        <w:rPr>
          <w:rFonts w:ascii="Times New Roman" w:cs="Times New Roman" w:eastAsia="Times New Roman" w:hAnsi="Times New Roman"/>
          <w:sz w:val="14"/>
          <w:szCs w:val="14"/>
          <w:color w:val="auto"/>
        </w:rPr>
      </w:pPr>
    </w:p>
    <w:p>
      <w:pPr>
        <w:ind w:left="640" w:right="399" w:hanging="348"/>
        <w:spacing w:after="0" w:line="233"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59,209 shares of Common Stock and (ii) 11,012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514 Adaliz Way, Greer, South Carolina 29651.</w:t>
      </w:r>
    </w:p>
    <w:p>
      <w:pPr>
        <w:spacing w:after="0" w:line="15" w:lineRule="exact"/>
        <w:rPr>
          <w:rFonts w:ascii="Times New Roman" w:cs="Times New Roman" w:eastAsia="Times New Roman" w:hAnsi="Times New Roman"/>
          <w:sz w:val="14"/>
          <w:szCs w:val="14"/>
          <w:color w:val="auto"/>
        </w:rPr>
      </w:pPr>
    </w:p>
    <w:p>
      <w:pPr>
        <w:ind w:left="640" w:right="339" w:hanging="348"/>
        <w:spacing w:after="0" w:line="233"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800 North Main Street, Greenville, South Carolina 29609.</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379"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89,354 shares of Common Stock and (ii) 61,192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18 Tuxedo Drive, Beaufort, South Carolina 29907.</w:t>
      </w:r>
    </w:p>
    <w:p>
      <w:pPr>
        <w:spacing w:after="0" w:line="140" w:lineRule="exact"/>
        <w:rPr>
          <w:rFonts w:ascii="Times New Roman" w:cs="Times New Roman" w:eastAsia="Times New Roman" w:hAnsi="Times New Roman"/>
          <w:sz w:val="14"/>
          <w:szCs w:val="14"/>
          <w:color w:val="auto"/>
        </w:rPr>
      </w:pPr>
    </w:p>
    <w:p>
      <w:pPr>
        <w:ind w:left="640" w:right="399" w:hanging="348"/>
        <w:spacing w:after="0" w:line="23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44,429 shares of Common Stock and (ii) 16,520 shares of Common Stock issuable upon conversion of shares of Series B Preferred Stock originally issued to the Selling Stockholder and issued to the Selling Stockholder as a paid-in-kind dividend to date.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Matthew Sellers and Holly Sellers share voting and investment power over the shares. The business address of the listed Selling Stockholders is 306 Crescent Avenue, Greenville, South Carolina 29605.</w:t>
      </w:r>
    </w:p>
    <w:p>
      <w:pPr>
        <w:spacing w:after="0" w:line="15" w:lineRule="exact"/>
        <w:rPr>
          <w:rFonts w:ascii="Times New Roman" w:cs="Times New Roman" w:eastAsia="Times New Roman" w:hAnsi="Times New Roman"/>
          <w:sz w:val="14"/>
          <w:szCs w:val="14"/>
          <w:color w:val="auto"/>
        </w:rPr>
      </w:pPr>
    </w:p>
    <w:p>
      <w:pPr>
        <w:ind w:left="640" w:right="339" w:hanging="348"/>
        <w:spacing w:after="0" w:line="233"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21 Belfrey Drive, Greenville, South Carolina 29650.</w:t>
      </w:r>
    </w:p>
    <w:p>
      <w:pPr>
        <w:spacing w:after="0" w:line="15" w:lineRule="exact"/>
        <w:rPr>
          <w:rFonts w:ascii="Times New Roman" w:cs="Times New Roman" w:eastAsia="Times New Roman" w:hAnsi="Times New Roman"/>
          <w:sz w:val="14"/>
          <w:szCs w:val="14"/>
          <w:color w:val="auto"/>
        </w:rPr>
      </w:pPr>
    </w:p>
    <w:p>
      <w:pPr>
        <w:ind w:left="640" w:right="339" w:hanging="348"/>
        <w:spacing w:after="0" w:line="228"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Adam Fisher is the Founder and Chief Investment Officer of Commonwealth Asset Management LP, which is the investment manager of the Selling Stockholder, and, accordingly, Mr. Fisher may be deemed to indirectly beneficially own and have voting and investment power over the shares. The business address of the listed Selling Stockholder is 11755 Wilshire Boulevard, Suite 2320, Los Angeles, California 90025. Mr. Fisher served on the board of directors of Learn CW and as Learn CW’s President.</w:t>
      </w:r>
    </w:p>
    <w:p>
      <w:pPr>
        <w:spacing w:after="0" w:line="18" w:lineRule="exact"/>
        <w:rPr>
          <w:rFonts w:ascii="Times New Roman" w:cs="Times New Roman" w:eastAsia="Times New Roman" w:hAnsi="Times New Roman"/>
          <w:sz w:val="14"/>
          <w:szCs w:val="14"/>
          <w:color w:val="auto"/>
        </w:rPr>
      </w:pPr>
    </w:p>
    <w:p>
      <w:pPr>
        <w:ind w:left="640" w:right="319" w:hanging="348"/>
        <w:spacing w:after="0" w:line="23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Javid Baksh serves as the trustee for the Selling Stockholder and, accordingly, may be deemed to have voting and investment power over the shares. The business address of the listed Selling Stockholder is 11 Promenade Drive, Greenville, South Carolina 29609.</w:t>
      </w:r>
    </w:p>
    <w:p>
      <w:pPr>
        <w:spacing w:after="0" w:line="15" w:lineRule="exact"/>
        <w:rPr>
          <w:rFonts w:ascii="Times New Roman" w:cs="Times New Roman" w:eastAsia="Times New Roman" w:hAnsi="Times New Roman"/>
          <w:sz w:val="14"/>
          <w:szCs w:val="14"/>
          <w:color w:val="auto"/>
        </w:rPr>
      </w:pPr>
    </w:p>
    <w:p>
      <w:pPr>
        <w:ind w:left="640" w:right="379" w:hanging="348"/>
        <w:spacing w:after="0" w:line="229"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148,925 shares of Common Stock and (ii) 20,396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Messrs. William Stephan, Vikash Patel, Phillip Mitchum and Mihir Patel are the owners of the listed Selling Stockholder and share voting and investment power over the shares. The business address of the listed Selling Stockholder is 300 Ryans Run Court, Greenville, South Carolina 29615.</w:t>
      </w:r>
    </w:p>
    <w:p>
      <w:pPr>
        <w:spacing w:after="0" w:line="18" w:lineRule="exact"/>
        <w:rPr>
          <w:rFonts w:ascii="Times New Roman" w:cs="Times New Roman" w:eastAsia="Times New Roman" w:hAnsi="Times New Roman"/>
          <w:sz w:val="14"/>
          <w:szCs w:val="14"/>
          <w:color w:val="auto"/>
        </w:rPr>
      </w:pPr>
    </w:p>
    <w:p>
      <w:pPr>
        <w:ind w:left="640" w:right="379" w:hanging="348"/>
        <w:spacing w:after="0" w:line="23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592,320 shares of Common Stock and (ii) 101,988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Todd Carlson is the President of the Selling Stockholder and may be deemed to have voting and investment power over the shares. The business address of the listed Selling Stockholder is 4581 Brynwood Drive, Naples, Florida 34119.</w:t>
      </w:r>
    </w:p>
    <w:p>
      <w:pPr>
        <w:spacing w:after="0" w:line="15" w:lineRule="exact"/>
        <w:rPr>
          <w:rFonts w:ascii="Times New Roman" w:cs="Times New Roman" w:eastAsia="Times New Roman" w:hAnsi="Times New Roman"/>
          <w:sz w:val="14"/>
          <w:szCs w:val="14"/>
          <w:color w:val="auto"/>
        </w:rPr>
      </w:pPr>
    </w:p>
    <w:p>
      <w:pPr>
        <w:ind w:left="640" w:right="359" w:hanging="348"/>
        <w:spacing w:after="0" w:line="229"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1,537,165 shares of Common Stock and (ii) 203,978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Ms. Marianne Hellauer serves as the trustee for the Selling Stockholder, and Mr. Jonathan Loeffler serves as the investment manager for the Selling Stockholder and, accordingly, may be deemed to share voting and investment power over the shares. The business address of the listed Selling Stockholder is 750 E. Pratt Street, Suite 900, Baltimore, Maryland 21202.</w:t>
      </w:r>
    </w:p>
    <w:p>
      <w:pPr>
        <w:spacing w:after="0" w:line="18" w:lineRule="exact"/>
        <w:rPr>
          <w:rFonts w:ascii="Times New Roman" w:cs="Times New Roman" w:eastAsia="Times New Roman" w:hAnsi="Times New Roman"/>
          <w:sz w:val="14"/>
          <w:szCs w:val="14"/>
          <w:color w:val="auto"/>
        </w:rPr>
      </w:pPr>
    </w:p>
    <w:p>
      <w:pPr>
        <w:ind w:left="640" w:right="339" w:hanging="348"/>
        <w:spacing w:after="0" w:line="23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that were issued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William Stephan serves as the trustee for the Selling Stockholder and, accordingly, may be deemed to have voting and investment power over the shares. The business address of the listed Selling Stockholder is 300 Ryans Run Court, Greenville, South Carolina 29615.</w:t>
      </w:r>
    </w:p>
    <w:p>
      <w:pPr>
        <w:spacing w:after="0" w:line="15" w:lineRule="exact"/>
        <w:rPr>
          <w:rFonts w:ascii="Times New Roman" w:cs="Times New Roman" w:eastAsia="Times New Roman" w:hAnsi="Times New Roman"/>
          <w:sz w:val="14"/>
          <w:szCs w:val="14"/>
          <w:color w:val="auto"/>
        </w:rPr>
      </w:pPr>
    </w:p>
    <w:p>
      <w:pPr>
        <w:ind w:left="640" w:right="399" w:hanging="348"/>
        <w:spacing w:after="0" w:line="233"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65,000 shares of Common Stock issued to Yorkville upon conversion of the Convertible Debentures issued to Yorkville pursuant to the Securities Purchase Agreement and beneficially owned as of March 16, 2026. Based on information provided to us, Yorkville acquired the shares being registered hereunder in the ordinary course of business, and at the time of the acquisition of the shares, Yorkville did not have any agreements or understandings with any person to distribute such shares. The business address of Yorkville is c/o Mark Angelo, 1012 Springfield Avenue, Mountainside, New Jersey, 07092.</w:t>
      </w:r>
    </w:p>
    <w:p>
      <w:pPr>
        <w:spacing w:after="0" w:line="15" w:lineRule="exact"/>
        <w:rPr>
          <w:rFonts w:ascii="Times New Roman" w:cs="Times New Roman" w:eastAsia="Times New Roman" w:hAnsi="Times New Roman"/>
          <w:sz w:val="14"/>
          <w:szCs w:val="14"/>
          <w:color w:val="auto"/>
        </w:rPr>
      </w:pPr>
    </w:p>
    <w:p>
      <w:pPr>
        <w:ind w:left="640" w:right="459" w:hanging="348"/>
        <w:spacing w:after="0" w:line="24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65,000 shares of Common Stock that were issued to Yorkville upon conversion of the Convertible Debentures issued to Yorkville pursuant to the Securities Purchase Agreement and beneficially owned as of March 16, 2026 and (ii) up to 16,244,741 shares of Common Stock that may be issued to Yorkville pursuant to the SEPA.</w:t>
      </w:r>
    </w:p>
    <w:p>
      <w:pPr>
        <w:spacing w:after="0" w:line="14" w:lineRule="exact"/>
        <w:rPr>
          <w:rFonts w:ascii="Times New Roman" w:cs="Times New Roman" w:eastAsia="Times New Roman" w:hAnsi="Times New Roman"/>
          <w:sz w:val="14"/>
          <w:szCs w:val="14"/>
          <w:color w:val="auto"/>
        </w:rPr>
      </w:pPr>
    </w:p>
    <w:p>
      <w:pPr>
        <w:ind w:left="640" w:right="379" w:hanging="348"/>
        <w:spacing w:after="0" w:line="233"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48 Heather Dr, Atherton, California 94027. Mr. Relan served as a director of Learn CW.</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379" w:hanging="348"/>
        <w:spacing w:after="0" w:line="233"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325 Sharon Park Drive #819, Menlo Park, California 94025. Ms. Levy served as a director of Learn CW.</w:t>
      </w:r>
    </w:p>
    <w:p>
      <w:pPr>
        <w:spacing w:after="0" w:line="15" w:lineRule="exact"/>
        <w:rPr>
          <w:rFonts w:ascii="Times New Roman" w:cs="Times New Roman" w:eastAsia="Times New Roman" w:hAnsi="Times New Roman"/>
          <w:sz w:val="14"/>
          <w:szCs w:val="14"/>
          <w:color w:val="auto"/>
        </w:rPr>
      </w:pPr>
    </w:p>
    <w:p>
      <w:pPr>
        <w:ind w:left="640" w:right="379" w:hanging="348"/>
        <w:spacing w:after="0" w:line="236"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738,790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6900 Tavistock Lakes Blvd, Suite 400, Orlando, Florida 32827.</w:t>
      </w:r>
    </w:p>
    <w:p>
      <w:pPr>
        <w:spacing w:after="0" w:line="14" w:lineRule="exact"/>
        <w:rPr>
          <w:rFonts w:ascii="Times New Roman" w:cs="Times New Roman" w:eastAsia="Times New Roman" w:hAnsi="Times New Roman"/>
          <w:sz w:val="14"/>
          <w:szCs w:val="14"/>
          <w:color w:val="auto"/>
        </w:rPr>
      </w:pPr>
    </w:p>
    <w:p>
      <w:pPr>
        <w:ind w:left="640" w:right="359" w:hanging="348"/>
        <w:spacing w:after="0" w:line="229"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249,572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Adam Fisher is the sole member of ABF Manager LLC, which is a non-member manager of the Selling Stockholder, and, accordingly, Mr. Fisher may be deemed to indirectly beneficially own and have voting and investment power over the shares. The business address of the listed Selling Stockholder is 11755 Wilshire Boulevard, Suite 2320, Los Angeles, California 90025. Mr. Fisher served on the board of directors of Learn CW and as Learn CW’s President.</w:t>
      </w:r>
    </w:p>
    <w:p>
      <w:pPr>
        <w:spacing w:after="0" w:line="18" w:lineRule="exact"/>
        <w:rPr>
          <w:rFonts w:ascii="Times New Roman" w:cs="Times New Roman" w:eastAsia="Times New Roman" w:hAnsi="Times New Roman"/>
          <w:sz w:val="14"/>
          <w:szCs w:val="14"/>
          <w:color w:val="auto"/>
        </w:rPr>
      </w:pPr>
    </w:p>
    <w:p>
      <w:pPr>
        <w:ind w:left="640" w:right="359" w:hanging="348"/>
        <w:spacing w:after="0" w:line="23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1,125,243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Robert Hutter is the ultimate controlling person of the Selling Stockholder and, accordingly, may be deemed to have voting and investment power over the shares. The business address of the listed Selling Stockholder is 27132 Paseo Espada #STE B1225, San Juan Capistrano, California 92675. Mr. Hutter served on the board of directors of Learn CW and as Learn CW’s Chief Executive Officer.</w:t>
      </w:r>
    </w:p>
    <w:p>
      <w:pPr>
        <w:spacing w:after="0" w:line="15" w:lineRule="exact"/>
        <w:rPr>
          <w:rFonts w:ascii="Times New Roman" w:cs="Times New Roman" w:eastAsia="Times New Roman" w:hAnsi="Times New Roman"/>
          <w:sz w:val="14"/>
          <w:szCs w:val="14"/>
          <w:color w:val="auto"/>
        </w:rPr>
      </w:pPr>
    </w:p>
    <w:p>
      <w:pPr>
        <w:ind w:left="640" w:right="379" w:hanging="348"/>
        <w:spacing w:after="0" w:line="233"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63,299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Michael J. Price is the Manager of the Selling Stockholder and, accordingly, may be deemed to have voting and investment power over the shares. The business address of the listed Selling Stockholder is 450 East 83rd St., PH1A, New York, New York 10028.</w:t>
      </w:r>
    </w:p>
    <w:p>
      <w:pPr>
        <w:spacing w:after="0" w:line="15" w:lineRule="exact"/>
        <w:rPr>
          <w:rFonts w:ascii="Times New Roman" w:cs="Times New Roman" w:eastAsia="Times New Roman" w:hAnsi="Times New Roman"/>
          <w:sz w:val="14"/>
          <w:szCs w:val="14"/>
          <w:color w:val="auto"/>
        </w:rPr>
      </w:pPr>
    </w:p>
    <w:p>
      <w:pPr>
        <w:ind w:left="640" w:right="439" w:hanging="348"/>
        <w:spacing w:after="0" w:line="225"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up to 2,500,000 shares of Common Stock that may be issued to WTI Fund X, LLC pursuant to the 2024 WTI Warrants and up to 750,000 shares of Common Stock that may be issued to WTI Fund X, LLC pursuant to the 2025 WTI Warrants, subject to certain limitations, adjustment, and certain other rights to possible future financings in accordance with terms of the 2024 WTI Warrants and the 2025 WTI Warrants, respectively.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w:t>
      </w:r>
    </w:p>
    <w:p>
      <w:pPr>
        <w:spacing w:after="0" w:line="1" w:lineRule="exact"/>
        <w:rPr>
          <w:rFonts w:ascii="Times New Roman" w:cs="Times New Roman" w:eastAsia="Times New Roman" w:hAnsi="Times New Roman"/>
          <w:sz w:val="14"/>
          <w:szCs w:val="14"/>
          <w:color w:val="auto"/>
        </w:rPr>
      </w:pP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104 La Mesa Drive, Suite 102, Portola Valley, California 94028.</w:t>
      </w:r>
    </w:p>
    <w:p>
      <w:pPr>
        <w:spacing w:after="0" w:line="25" w:lineRule="exact"/>
        <w:rPr>
          <w:rFonts w:ascii="Times New Roman" w:cs="Times New Roman" w:eastAsia="Times New Roman" w:hAnsi="Times New Roman"/>
          <w:sz w:val="14"/>
          <w:szCs w:val="14"/>
          <w:color w:val="auto"/>
        </w:rPr>
      </w:pPr>
    </w:p>
    <w:p>
      <w:pPr>
        <w:ind w:left="640" w:right="339" w:hanging="348"/>
        <w:spacing w:after="0" w:line="225"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up to 833,334 shares of Common Stock that may be issued to WTI Fund XI, LLC pursuant to the 2024 WTI Warrants and up to 250,000 shares of Common Stock that may be issued to WTI Fund XI, LLC pursuant to the 2025 WTI Warrants, subject to certain limitations, adjustment, and certain other rights to possible future financings in accordance with terms of the 2024 WTI Warrants and the 2025 WTI Warrants, respectively.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w:t>
      </w:r>
    </w:p>
    <w:p>
      <w:pPr>
        <w:spacing w:after="0" w:line="1" w:lineRule="exact"/>
        <w:rPr>
          <w:rFonts w:ascii="Times New Roman" w:cs="Times New Roman" w:eastAsia="Times New Roman" w:hAnsi="Times New Roman"/>
          <w:sz w:val="14"/>
          <w:szCs w:val="14"/>
          <w:color w:val="auto"/>
        </w:rPr>
      </w:pP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104 La Mesa Drive, Suite 102, Portola Valley, California 94028.</w:t>
      </w:r>
    </w:p>
    <w:p>
      <w:pPr>
        <w:spacing w:after="0" w:line="25" w:lineRule="exact"/>
        <w:rPr>
          <w:rFonts w:ascii="Times New Roman" w:cs="Times New Roman" w:eastAsia="Times New Roman" w:hAnsi="Times New Roman"/>
          <w:sz w:val="14"/>
          <w:szCs w:val="14"/>
          <w:color w:val="auto"/>
        </w:rPr>
      </w:pPr>
    </w:p>
    <w:p>
      <w:pPr>
        <w:ind w:left="640" w:right="519" w:hanging="348"/>
        <w:spacing w:after="0" w:line="229"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3,291,685 shares of Common Stock and (ii) up to 250,000 shares of Common Stock that were issued upon conversion of 125,000 shares of Series C Preferred Stock originally issued to the Selling Stockholder. The Selling Stockholder is a limited partnership. Voting and investment power over the shares held by the Selling Stockholder is exercised by Jonathan Loeffler and Mark Pomeroy Jr.</w:t>
      </w:r>
    </w:p>
    <w:p>
      <w:pPr>
        <w:ind w:left="640" w:right="459"/>
        <w:spacing w:after="0" w:line="23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5956 Sherry Lane, 20th Floor, Dallas, Texas 75225.</w:t>
      </w:r>
    </w:p>
    <w:p>
      <w:pPr>
        <w:spacing w:after="0" w:line="14" w:lineRule="exact"/>
        <w:rPr>
          <w:rFonts w:ascii="Times New Roman" w:cs="Times New Roman" w:eastAsia="Times New Roman" w:hAnsi="Times New Roman"/>
          <w:sz w:val="14"/>
          <w:szCs w:val="14"/>
          <w:color w:val="auto"/>
        </w:rPr>
      </w:pPr>
    </w:p>
    <w:p>
      <w:pPr>
        <w:ind w:left="640" w:right="519" w:hanging="348"/>
        <w:spacing w:after="0" w:line="227"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200,000 shares of Common Stock that were issued upon conversion of 100,000 shares of Series C Preferred Stock originally issued to the Selling Stockholder.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Stockholders is</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114 Old Orchard Road, Clarks Green, Pennsylvania 18411.</w:t>
      </w:r>
    </w:p>
    <w:p>
      <w:pPr>
        <w:spacing w:after="0" w:line="25" w:lineRule="exact"/>
        <w:rPr>
          <w:rFonts w:ascii="Times New Roman" w:cs="Times New Roman" w:eastAsia="Times New Roman" w:hAnsi="Times New Roman"/>
          <w:sz w:val="14"/>
          <w:szCs w:val="14"/>
          <w:color w:val="auto"/>
        </w:rPr>
      </w:pPr>
    </w:p>
    <w:p>
      <w:pPr>
        <w:ind w:left="640" w:right="299" w:hanging="348"/>
        <w:spacing w:after="0" w:line="225"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106,180 shares of Common Stock issuable upon conversion of 53,090 shares of Series C Preferred Stock originally issued to the Selling Stockholder and issued to the Selling Stockholder as a paid-in-kind dividend to date. Terria Godwin and Pauline McGettigan are the controlling persons of the Selling Stockholder and share voting and investment power equally such that voting and investment decisions require the affirmative agreement of both persons.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w:t>
      </w:r>
    </w:p>
    <w:p>
      <w:pPr>
        <w:spacing w:after="0" w:line="1" w:lineRule="exact"/>
        <w:rPr>
          <w:rFonts w:ascii="Times New Roman" w:cs="Times New Roman" w:eastAsia="Times New Roman" w:hAnsi="Times New Roman"/>
          <w:sz w:val="14"/>
          <w:szCs w:val="14"/>
          <w:color w:val="auto"/>
        </w:rPr>
      </w:pP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39 Market Street, P.O. Box 10467, Suite 3206A, 2nd Floor, Camana Bay, Grand Cayman, Cayman Islands KY1-1004.</w:t>
      </w:r>
    </w:p>
    <w:p>
      <w:pPr>
        <w:spacing w:after="0" w:line="25" w:lineRule="exact"/>
        <w:rPr>
          <w:rFonts w:ascii="Times New Roman" w:cs="Times New Roman" w:eastAsia="Times New Roman" w:hAnsi="Times New Roman"/>
          <w:sz w:val="14"/>
          <w:szCs w:val="14"/>
          <w:color w:val="auto"/>
        </w:rPr>
      </w:pPr>
    </w:p>
    <w:p>
      <w:pPr>
        <w:ind w:left="640" w:right="699" w:hanging="348"/>
        <w:spacing w:after="0" w:line="26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C Preferred Stock originally issued to the Selling Stockholder and shares of Common Stock issuable upon conversion of Series C Preferred Stock issued and to be issued as dividends.</w:t>
      </w:r>
    </w:p>
    <w:p>
      <w:pPr>
        <w:ind w:left="640" w:right="399" w:hanging="348"/>
        <w:spacing w:after="0" w:line="233"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739,566 shares of Common Stock and (ii) 3,940,706 shares of Common Stock that were issued upon conversion of 1,970,353 shares of Series C Preferred Stock originally issued to the Selling Stockholder.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111 2nd Avenue NE, Suite 528, Saint Petersburg, Florida 33701. James Donnally, one of the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399"/>
        <w:spacing w:after="0" w:line="236" w:lineRule="auto"/>
        <w:rPr>
          <w:sz w:val="20"/>
          <w:szCs w:val="20"/>
          <w:color w:val="auto"/>
        </w:rPr>
      </w:pPr>
      <w:r>
        <w:rPr>
          <w:rFonts w:ascii="Times New Roman" w:cs="Times New Roman" w:eastAsia="Times New Roman" w:hAnsi="Times New Roman"/>
          <w:sz w:val="14"/>
          <w:szCs w:val="14"/>
          <w:color w:val="auto"/>
        </w:rPr>
        <w:t>Company’s directors, is the Managing Member of Bellringer Consulting Group, LLC, the General Partner of the Selling Stockholder, is an equity holder of the Selling Stockholder, and previously served as the Vice President and Chief Financial Officer of Glockner Enterprises from 1996 to 2023. Mr. Donnally currently has no authority over the Selling Stockholder’s decision-making with respect to equity or debt investments in the Company.</w:t>
      </w:r>
    </w:p>
    <w:p>
      <w:pPr>
        <w:spacing w:after="0" w:line="15" w:lineRule="exact"/>
        <w:rPr>
          <w:sz w:val="20"/>
          <w:szCs w:val="20"/>
          <w:color w:val="auto"/>
        </w:rPr>
      </w:pPr>
    </w:p>
    <w:p>
      <w:pPr>
        <w:ind w:left="640" w:right="359" w:hanging="348"/>
        <w:spacing w:after="0" w:line="228"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326,112 shares of Common Stock that were issued upon conversion of shares of Series C Preferred Stock originally issued to the Selling Stockholder.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Donald H. Putnam is the managing partner of the Selling Stockholder and, accordingly, may be deemed to have sole voting and investment power over the shares. The Selling Stockholder served as an advisor to the Company in the Business Combination between October 2023 and October 2024. Following the Business Combination, the Selling Stockholder provided advisory services through July 2025. The business address of the listed Selling Stockholder is 2 Embarcadero Center, Floor 8, San Francisco, California 94111.</w:t>
      </w:r>
    </w:p>
    <w:p>
      <w:pPr>
        <w:spacing w:after="0" w:line="18"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3,264,275 shares of Common Stock and (ii) 228,332 shares of Common Stock that were issued upon conversion of</w:t>
      </w:r>
    </w:p>
    <w:p>
      <w:pPr>
        <w:spacing w:after="0" w:line="3" w:lineRule="exact"/>
        <w:rPr>
          <w:rFonts w:ascii="Times New Roman" w:cs="Times New Roman" w:eastAsia="Times New Roman" w:hAnsi="Times New Roman"/>
          <w:sz w:val="14"/>
          <w:szCs w:val="14"/>
          <w:color w:val="auto"/>
        </w:rPr>
      </w:pPr>
    </w:p>
    <w:p>
      <w:pPr>
        <w:ind w:left="640" w:right="519"/>
        <w:spacing w:after="0" w:line="22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114,161 shares of Series C Preferred Stock originally issued to the Selling Stockholder.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6900 Tavistock Lakes Blvd, Suite 400, Orlando, Florida 32827. Mr. Otworth serves as the Company’s Executive Chairman and as a director.</w:t>
      </w:r>
    </w:p>
    <w:p>
      <w:pPr>
        <w:spacing w:after="0" w:line="15" w:lineRule="exact"/>
        <w:rPr>
          <w:rFonts w:ascii="Times New Roman" w:cs="Times New Roman" w:eastAsia="Times New Roman" w:hAnsi="Times New Roman"/>
          <w:sz w:val="14"/>
          <w:szCs w:val="14"/>
          <w:color w:val="auto"/>
        </w:rPr>
      </w:pPr>
    </w:p>
    <w:p>
      <w:pPr>
        <w:jc w:val="both"/>
        <w:ind w:left="640" w:right="439" w:hanging="348"/>
        <w:spacing w:after="0" w:line="233"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212,360 shares of Common Stock issuable upon conversion of 106,180 shares of Series C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7 Country Road, Boynton Beach, Florida 33436.</w:t>
      </w:r>
    </w:p>
    <w:p>
      <w:pPr>
        <w:spacing w:after="0" w:line="15" w:lineRule="exact"/>
        <w:rPr>
          <w:rFonts w:ascii="Times New Roman" w:cs="Times New Roman" w:eastAsia="Times New Roman" w:hAnsi="Times New Roman"/>
          <w:sz w:val="14"/>
          <w:szCs w:val="14"/>
          <w:color w:val="auto"/>
        </w:rPr>
      </w:pPr>
    </w:p>
    <w:p>
      <w:pPr>
        <w:jc w:val="both"/>
        <w:ind w:left="640" w:right="459" w:hanging="348"/>
        <w:spacing w:after="0" w:line="24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25,000 shares of Common Stock issued pursuant to the Subscription Agreements and (ii) 25,000 shares of Common Stock that may be issued upon exercise of the Series A Warrants. The business address of the listed Selling Stockholder is 1985 Fagerness Point Road, Wayzata, Minnesota 55391.</w:t>
      </w:r>
    </w:p>
    <w:p>
      <w:pPr>
        <w:spacing w:after="0" w:line="14" w:lineRule="exact"/>
        <w:rPr>
          <w:rFonts w:ascii="Times New Roman" w:cs="Times New Roman" w:eastAsia="Times New Roman" w:hAnsi="Times New Roman"/>
          <w:sz w:val="14"/>
          <w:szCs w:val="14"/>
          <w:color w:val="auto"/>
        </w:rPr>
      </w:pPr>
    </w:p>
    <w:p>
      <w:pPr>
        <w:ind w:left="640" w:right="359" w:hanging="348"/>
        <w:spacing w:after="0" w:line="233"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1,200,000 shares of Common Stock issued pursuant to the Subscription Agreements and (ii) 1,200,000 shares of Common Stock that may be issued upon exercise of the Series A Warrants. Mr. Aaron Weitman is the Managing Member of CastleKnight Fund GP, LLC, which is the controlling entity of the listed Selling Stockholder, and accordingly Mr. Weitman may be deemed to have voting and investment power over the shares. The principal business address of the Selling Stockholder is 888 Seventh Avenue, 24th Floor, New York, New York 10019.</w:t>
      </w:r>
    </w:p>
    <w:p>
      <w:pPr>
        <w:spacing w:after="0" w:line="15" w:lineRule="exact"/>
        <w:rPr>
          <w:rFonts w:ascii="Times New Roman" w:cs="Times New Roman" w:eastAsia="Times New Roman" w:hAnsi="Times New Roman"/>
          <w:sz w:val="14"/>
          <w:szCs w:val="14"/>
          <w:color w:val="auto"/>
        </w:rPr>
      </w:pPr>
    </w:p>
    <w:p>
      <w:pPr>
        <w:ind w:left="640" w:right="479" w:hanging="348"/>
        <w:spacing w:after="0" w:line="236"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50,000 shares of Common Stock issued pursuant to the Subscription Agreements and (ii) 50,000 shares of Common Stock that may be issued upon exercise of the Series A Warrants. Mr. Joel Mermelstein is the ultimate controlling person of the listed Selling Stockholder and, accordingly, may be deemed to have voting and investment power over the shares. The business address of the listed Selling Stockholder is 6500 N. Hamlin Ave., Lincolnwood, Illinois 60712.</w:t>
      </w:r>
    </w:p>
    <w:p>
      <w:pPr>
        <w:spacing w:after="0" w:line="14" w:lineRule="exact"/>
        <w:rPr>
          <w:rFonts w:ascii="Times New Roman" w:cs="Times New Roman" w:eastAsia="Times New Roman" w:hAnsi="Times New Roman"/>
          <w:sz w:val="14"/>
          <w:szCs w:val="14"/>
          <w:color w:val="auto"/>
        </w:rPr>
      </w:pPr>
    </w:p>
    <w:p>
      <w:pPr>
        <w:ind w:left="640" w:right="339" w:hanging="348"/>
        <w:spacing w:after="0" w:line="233"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8,400 shares of Common Stock issued pursuant to the Subscription Agreements and (ii) 8,400 shares of Common Stock that may be issued upon exercise of the Series A Warrants. Based on the information provided to us, the Selling Stockholder acquired the shares being registered hereunder as a personal investment, and at the time of the acquisition of the shares, the Selling Stockholder did not have any agreements or understandings with any person to distribute such shares. The business address of the listed Selling Stockholder is 5950 Sherry Lane, Suite 470, Dallas, Texas 75225.</w:t>
      </w:r>
    </w:p>
    <w:p>
      <w:pPr>
        <w:spacing w:after="0" w:line="15" w:lineRule="exact"/>
        <w:rPr>
          <w:rFonts w:ascii="Times New Roman" w:cs="Times New Roman" w:eastAsia="Times New Roman" w:hAnsi="Times New Roman"/>
          <w:sz w:val="14"/>
          <w:szCs w:val="14"/>
          <w:color w:val="auto"/>
        </w:rPr>
      </w:pPr>
    </w:p>
    <w:p>
      <w:pPr>
        <w:ind w:left="640" w:right="419" w:hanging="348"/>
        <w:spacing w:after="0" w:line="24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16,000 shares of Common Stock issued pursuant to the Subscription Agreements and (ii) 16,000 shares of Common Stock that may be issued upon exercise of the Series A Warrants. The business address of the listed Selling Stockholder is 6500 N. Hamlin Ave., Lincolnwood, Illinois 60712.</w:t>
      </w:r>
    </w:p>
    <w:p>
      <w:pPr>
        <w:spacing w:after="0" w:line="14" w:lineRule="exact"/>
        <w:rPr>
          <w:rFonts w:ascii="Times New Roman" w:cs="Times New Roman" w:eastAsia="Times New Roman" w:hAnsi="Times New Roman"/>
          <w:sz w:val="14"/>
          <w:szCs w:val="14"/>
          <w:color w:val="auto"/>
        </w:rPr>
      </w:pPr>
    </w:p>
    <w:p>
      <w:pPr>
        <w:ind w:left="640" w:right="319"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8,334 shares of Common Stock issued pursuant to the Subscription Agreements and (ii) 8,334 shares of Common Stock that may be issued upon exercise of the Series A Warrants. Mr. Erick Kuebler and Mrs. Wendi Kuebler share voting and investment power over the shares. Based on the information provided to us, the Selling Stockholder acquired the shares being registered hereunder as a personal investment, and at the time of the acquisition of the shares, the Selling Stockholder did not have any agreements or understandings with any person to distribute such shares. The business address of the listed Selling Stockholder is 5950 Sherry Lane, Suite 470, Dallas, Texas 75225.</w:t>
      </w:r>
    </w:p>
    <w:p>
      <w:pPr>
        <w:spacing w:after="0" w:line="140" w:lineRule="exact"/>
        <w:rPr>
          <w:rFonts w:ascii="Times New Roman" w:cs="Times New Roman" w:eastAsia="Times New Roman" w:hAnsi="Times New Roman"/>
          <w:sz w:val="14"/>
          <w:szCs w:val="14"/>
          <w:color w:val="auto"/>
        </w:rPr>
      </w:pPr>
    </w:p>
    <w:p>
      <w:pPr>
        <w:ind w:left="640" w:right="379" w:hanging="348"/>
        <w:spacing w:after="0" w:line="233"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4,167 shares of Common Stock issued pursuant to the Subscription Agreements and (ii) 4,167 shares of Common Stock that may be issued upon exercise of the Series A Warrants. Based on information provided to us, the Selling Stockholder acquired the shares being registered hereunder as a personal investment, and at the time of the acquisition of the shares, the Selling Stockholder did not have any agreements or understandings with any person to distribute such shares. The business address of the listed Selling Stockholder is 767 3rd Avenue, New York, New York 10017.</w:t>
      </w:r>
    </w:p>
    <w:p>
      <w:pPr>
        <w:spacing w:after="0" w:line="15" w:lineRule="exact"/>
        <w:rPr>
          <w:rFonts w:ascii="Times New Roman" w:cs="Times New Roman" w:eastAsia="Times New Roman" w:hAnsi="Times New Roman"/>
          <w:sz w:val="14"/>
          <w:szCs w:val="14"/>
          <w:color w:val="auto"/>
        </w:rPr>
      </w:pPr>
    </w:p>
    <w:p>
      <w:pPr>
        <w:ind w:left="640" w:right="419" w:hanging="348"/>
        <w:spacing w:after="0" w:line="236"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50,000 shares of Common Stock issued pursuant to the Subscription Agreements and (ii) 50,000 shares of Common Stock that may be issued upon exercise of the Series A Warrants. Mr. Marvin Mermelstein serves as the trustee for the listed Selling Stockholder and, accordingly, may be deemed to have voting and investment power over the shares. The business address of the listed Selling Stockholder is 6500 N. Hamlin Ave., Lincolnwood, Illinois 60712.</w:t>
      </w:r>
    </w:p>
    <w:p>
      <w:pPr>
        <w:spacing w:after="0" w:line="14" w:lineRule="exact"/>
        <w:rPr>
          <w:rFonts w:ascii="Times New Roman" w:cs="Times New Roman" w:eastAsia="Times New Roman" w:hAnsi="Times New Roman"/>
          <w:sz w:val="14"/>
          <w:szCs w:val="14"/>
          <w:color w:val="auto"/>
        </w:rPr>
      </w:pPr>
    </w:p>
    <w:p>
      <w:pPr>
        <w:ind w:left="640" w:right="419" w:hanging="348"/>
        <w:spacing w:after="0" w:line="236"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35,000 shares of Common Stock issued pursuant to the Subscription Agreements and (ii) 35,000 shares of Common Stock that may be issued upon exercise of the Series A Warrants. Mr. Jay Rappaport and Mrs. Corrina Rappaport are the ultimate controlling persons of the listed Selling Stockholder and share voting and investment power over the shares. The business address of the listed Selling Stockholder is 135 S. Carmelina Ave., Los Angeles, CA 90049.</w:t>
      </w:r>
    </w:p>
    <w:p>
      <w:pPr>
        <w:spacing w:after="0" w:line="14" w:lineRule="exact"/>
        <w:rPr>
          <w:rFonts w:ascii="Times New Roman" w:cs="Times New Roman" w:eastAsia="Times New Roman" w:hAnsi="Times New Roman"/>
          <w:sz w:val="14"/>
          <w:szCs w:val="14"/>
          <w:color w:val="auto"/>
        </w:rPr>
      </w:pPr>
    </w:p>
    <w:p>
      <w:pPr>
        <w:ind w:left="640" w:right="339" w:hanging="348"/>
        <w:spacing w:after="0" w:line="24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166,667 shares of Common Stock issued pursuant to the Subscription Agreements and (ii) 166,667 shares of Common Stock that may be issued upon exercise of the Series A Warrants. The business address of the listed Selling Stockholder is 5510 West Dry Creek Road, Manhattan, Montana 59741.</w:t>
      </w:r>
    </w:p>
    <w:p>
      <w:pPr>
        <w:spacing w:after="0" w:line="14" w:lineRule="exact"/>
        <w:rPr>
          <w:rFonts w:ascii="Times New Roman" w:cs="Times New Roman" w:eastAsia="Times New Roman" w:hAnsi="Times New Roman"/>
          <w:sz w:val="14"/>
          <w:szCs w:val="14"/>
          <w:color w:val="auto"/>
        </w:rPr>
      </w:pPr>
    </w:p>
    <w:p>
      <w:pPr>
        <w:ind w:left="640" w:right="379" w:hanging="348"/>
        <w:spacing w:after="0" w:line="24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9,500 shares of Common Stock issued pursuant to the Subscription Agreements and (ii) 9,500 shares of Common Stock that may be issued upon exercise of the Series A Warrants. The business address of the listed Selling Stockholder is 654 Cypress Hills Drive, Encinitas, California 92024.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479" w:hanging="348"/>
        <w:spacing w:after="0" w:line="24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41,667 shares of Common Stock issued pursuant to the Subscription Agreements and (ii) 41,667 shares of Common Stock that may be issued upon exercise of the Series A Warrants. The business address of the listed Selling Stockholder is 647 Shore Drive, Boynton Beach, Florida 33435.</w:t>
      </w:r>
    </w:p>
    <w:p>
      <w:pPr>
        <w:spacing w:after="0" w:line="14" w:lineRule="exact"/>
        <w:rPr>
          <w:rFonts w:ascii="Times New Roman" w:cs="Times New Roman" w:eastAsia="Times New Roman" w:hAnsi="Times New Roman"/>
          <w:sz w:val="14"/>
          <w:szCs w:val="14"/>
          <w:color w:val="auto"/>
        </w:rPr>
      </w:pPr>
    </w:p>
    <w:p>
      <w:pPr>
        <w:ind w:left="640" w:right="479" w:hanging="348"/>
        <w:spacing w:after="0" w:line="236"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10,500 shares of Common Stock issued pursuant to the Subscription Agreements and (ii) 10,500 shares of Common Stock that may be issued upon exercise of the Series A Warrants. Mr. Joel Mermelstein is the ultimate controlling person of the listed Selling Stockholder and, accordingly, may be deemed to have voting and investment power over the shares. The business address of the listed Selling Stockholder is 6500 N. Hamlin Ave., Lincolnwood, Illinois 60712.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419" w:firstLine="360"/>
        <w:spacing w:after="0" w:line="269" w:lineRule="auto"/>
        <w:rPr>
          <w:sz w:val="20"/>
          <w:szCs w:val="20"/>
          <w:color w:val="auto"/>
        </w:rPr>
      </w:pPr>
      <w:r>
        <w:rPr>
          <w:rFonts w:ascii="Times New Roman" w:cs="Times New Roman" w:eastAsia="Times New Roman" w:hAnsi="Times New Roman"/>
          <w:sz w:val="17"/>
          <w:szCs w:val="17"/>
          <w:color w:val="auto"/>
        </w:rPr>
        <w:t>We are registering (A) the resale by the Selling Stockholders or their permitted transferees of up to 41,291,719 shares of Common Stock, which includes (i) up to 3,260,175 shares of Common Stock that were issued and may be issued upon conversion of the Series B Preferred Stock; (ii) up to 16,244,741 shares that we may issue and sell to Yorkville from time to time pursuant to the SEPA, subject to the ownership limitations described therein; (iii) 5,657,481 shares of Common Stock held by certain stockholders party to the A&amp;R Registration Rights Agreement;</w:t>
      </w:r>
    </w:p>
    <w:p>
      <w:pPr>
        <w:spacing w:after="0" w:line="3" w:lineRule="exact"/>
        <w:rPr>
          <w:sz w:val="20"/>
          <w:szCs w:val="20"/>
          <w:color w:val="auto"/>
        </w:rPr>
      </w:pPr>
    </w:p>
    <w:p>
      <w:pPr>
        <w:ind w:left="300" w:right="379" w:hanging="8"/>
        <w:spacing w:after="0" w:line="250" w:lineRule="auto"/>
        <w:tabs>
          <w:tab w:leader="none" w:pos="6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3,333,334 shares of Common Stock that may be issued upon exercise of the 2024 WTI Warrants held by the WTI Holders; (v) up to 8,480,518 shares of Common Stock that were issued and may be issued upon conversion of Series C Preferred Stock; (vi) up to 1,000,000 shares of Common Stock that may be issued upon exercise of the 2025 WTI Warrants held by the WTI Holders; (vii) up to 3,250,470 shares of Common Stock issued and issuable pursuant to the terms of the Subscription Agreements entered into with the Subscribers, consisting of (a) 1,625,235 shares of Common Stock issued to the Subscribers and (b) 1,625,235 shares that may be issued upon exercise of the Series A Warrants held by the Subscribers; and (viii) 65,000 shares of Common Stock that were issued upon conversion of the Convertible Debentures issued to Yorkville pursuant to the Securities Purchase Agreement; and</w:t>
      </w:r>
    </w:p>
    <w:p>
      <w:pPr>
        <w:spacing w:after="0" w:line="3" w:lineRule="exact"/>
        <w:rPr>
          <w:rFonts w:ascii="Times New Roman" w:cs="Times New Roman" w:eastAsia="Times New Roman" w:hAnsi="Times New Roman"/>
          <w:sz w:val="18"/>
          <w:szCs w:val="18"/>
          <w:color w:val="auto"/>
        </w:rPr>
      </w:pPr>
    </w:p>
    <w:p>
      <w:pPr>
        <w:ind w:left="300" w:right="10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issuance by us of 18,386,688 shares of Common Stock issuable upon the exercise of the Innventure Warrants.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NASDAQ under the symbol “INV.”</w:t>
      </w:r>
    </w:p>
    <w:p>
      <w:pPr>
        <w:spacing w:after="0" w:line="117"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Each Selling Stockholder of the securities and any of their pledgees, assignees and successors-in-interest may, from time to time, sell any or all of their securities covered hereby on the principal trading market for such securities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75"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17"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underwritten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members, limited partners or stockholders of Selling Stockholders;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or through market makers or into an existing market for the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jc w:val="both"/>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under the Securities Act, provided that the Selling Stockholders meet the criteria and conform to the requirements of that rule, or any other exemption from registration under the Securities Act, if available, rather than under this prospectus.</w:t>
      </w:r>
    </w:p>
    <w:p>
      <w:pPr>
        <w:spacing w:after="0" w:line="68"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subscriber of securities, from the subscriber) in amounts to be negotiated, but, except as set forth in a supplement to this Prospectus, in the case of an agency transaction not in excess of a customary brokerage commission in compliance with applicable FINRA rules.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its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80"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79"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incident to the registration of the shares of Common Stock to be offered and sold pursuant to this prospectus by the Selling Stockholders. The Company has also agreed to indemnify the Selling Stockholders against certain losses, claims, damages and liabilities, including liabilities under the Securities Act or the Exchange Act. The Selling Stockholders will bear all commissions and discounts, if any, attributable to its sale of securities. Additionally, in certain underwritten offerings, the Selling Stockholders and the Company shall bear the expenses of the underwriter pro rata in proportion to the respective amount of shares of Common Stock each is selling in such offering.</w:t>
      </w:r>
    </w:p>
    <w:p>
      <w:pPr>
        <w:spacing w:after="0" w:line="81" w:lineRule="exact"/>
        <w:rPr>
          <w:sz w:val="20"/>
          <w:szCs w:val="20"/>
          <w:color w:val="auto"/>
        </w:rPr>
      </w:pPr>
    </w:p>
    <w:p>
      <w:pPr>
        <w:ind w:left="300" w:right="459" w:firstLine="360"/>
        <w:spacing w:after="0" w:line="272" w:lineRule="auto"/>
        <w:rPr>
          <w:sz w:val="20"/>
          <w:szCs w:val="20"/>
          <w:color w:val="auto"/>
        </w:rPr>
      </w:pPr>
      <w:r>
        <w:rPr>
          <w:rFonts w:ascii="Times New Roman" w:cs="Times New Roman" w:eastAsia="Times New Roman" w:hAnsi="Times New Roman"/>
          <w:sz w:val="17"/>
          <w:szCs w:val="17"/>
          <w:color w:val="auto"/>
        </w:rPr>
        <w:t>With respect to the Selling Stockholders under each of the A&amp;R Registration Rights Agreement and the A&amp;R Registration Rights Agreement, dated October 22, 2024, by and among the Company and the WTI Holders, the Company has agreed to keep this prospectus effective and in compliance with the Securities Act until the earlier of</w:t>
      </w:r>
    </w:p>
    <w:p>
      <w:pPr>
        <w:spacing w:after="0" w:line="2" w:lineRule="exact"/>
        <w:rPr>
          <w:sz w:val="20"/>
          <w:szCs w:val="20"/>
          <w:color w:val="auto"/>
        </w:rPr>
      </w:pPr>
    </w:p>
    <w:p>
      <w:pPr>
        <w:ind w:left="300" w:right="319" w:hanging="8"/>
        <w:spacing w:after="0" w:line="265" w:lineRule="auto"/>
        <w:tabs>
          <w:tab w:leader="none" w:pos="5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time as there are no longer any registrable securities under such agreements or (ii) the tenth-year anniversary of such agreement. The Company has also agreed to keep this prospectus effective and in compliance with the Securities Act until the expiration of the SEPA. Further, with respect to the holders of Series B Preferred Stock and Series C Preferred Stock, the Company has agreed to keep this prospectus continuously effective until the earlier of</w:t>
      </w:r>
    </w:p>
    <w:p>
      <w:pPr>
        <w:ind w:left="300" w:right="379" w:hanging="8"/>
        <w:spacing w:after="0" w:line="250" w:lineRule="auto"/>
        <w:tabs>
          <w:tab w:leader="none" w:pos="5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all shares underlying the Series B Preferred Stock and Series C Preferred Stock have been sold thereunder; (ii) the date on which all shares underlying the Series B Preferred Stock and Series C Preferred Stock may be sold pursuant to Rule 144 without volume or manner-of-sale restrictions and without current public information (including pursuant to Rule 144(i)(2)), as reasonably determined by the counsel to the Company; or</w:t>
      </w:r>
    </w:p>
    <w:p>
      <w:pPr>
        <w:spacing w:after="0" w:line="1" w:lineRule="exact"/>
        <w:rPr>
          <w:rFonts w:ascii="Times New Roman" w:cs="Times New Roman" w:eastAsia="Times New Roman" w:hAnsi="Times New Roman"/>
          <w:sz w:val="18"/>
          <w:szCs w:val="18"/>
          <w:color w:val="auto"/>
        </w:rPr>
      </w:pPr>
    </w:p>
    <w:p>
      <w:pPr>
        <w:ind w:left="300" w:right="399" w:hanging="8"/>
        <w:spacing w:after="0" w:line="253" w:lineRule="auto"/>
        <w:tabs>
          <w:tab w:leader="none" w:pos="6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is the fifth anniversary of the effective date of the initial registration statement covering the resale of all shares of Common Stock to be issued upon conversion of shares of Series B Preferred Stock and Series C Preferred Stock. With respect to the Subscribers, the Company has agreed to keep this prospectus effective until the earlier of (i) two years from the effective date of the registration statement and (ii) the date on which all registrable securities under the Subscription Agreements have been sold.</w:t>
      </w:r>
    </w:p>
    <w:p>
      <w:pPr>
        <w:spacing w:after="0" w:line="7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subscriber at or prior to the time of the sale (including by compliance with Rule 172 under the Securities 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Jones Day will pass upon certain legal matters for us in connection with the securities offered hereby.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Innventure, Inc. and subsidiaries (the “Company”) as of and for the year ended December 31, 2025 have been audited by WithumSmith+Brown, PC, an independent registered public accounting firm, as set forth in their report thereon included in the Company’s Annual Report on Form 10-K for the year ended December 31, 2025 and incorporated by reference in this Prospectus and in the Registration Statement. Such consolidated financial statements are incorporated by reference herein in reliance upon such report, which includes an explanatory paragraph on the Company’s ability to continue as a going concern, given on the authority of such firm as experts in accounting and auditing.</w:t>
      </w:r>
    </w:p>
    <w:p>
      <w:pPr>
        <w:spacing w:after="0" w:line="81"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Innventure, Inc. (the “Company”) as of December 31, 2024 and for the period from October 2, 2024 to December 31, 2024 (“Successor”) and the period from January 1, 2024 to October 1, 2024 (“Predecessor”) incorporated by reference in this Prospectus and in the Registration Statement have been so incorporated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21"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website that contains reports, proxy and information statements and other information regarding issuers, including us, that file electronically with the SEC. The address for the SEC’s website is www.sec.gov.</w:t>
      </w:r>
    </w:p>
    <w:p>
      <w:pPr>
        <w:spacing w:after="0" w:line="72"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We make available, free of charge, on our website at www.innventure.com, our annual reports on Form 10-K, quarterly reports on Form 10-Q, current reports on Form 8-K and amendments to those reports and statements as soon as reasonably practicable after they are filed with the SEC. The contents of our website are not part of this prospectus, and the reference to our website does not constitute incorporation by reference into this prospectus of the information contained at that site, other than documents we file with the SEC that are incorporated by reference into this prospectus.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in documents we file with it, which means that we can disclose important information to you by referring you to those documents. The information incorporated by reference is considered to be a part of this prospectus, and information that we file later with the SEC will automatically update and supersede this information. Any statement contained in any document incorporated or deemed to be incorporated by reference herein shall be deemed to be modified or superseded for purposes of this prospectus to the extent that a statement contained in or omitted from this prospectus or any accompanying prospectus supplement,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We incorporate by reference the documents listed below and any future documents that we file with the SEC under Sections 13(a), 13(c), 14 or 15(d) of the Exchange Act (1) after the date of the initial filing of the registration statement of which this prospectus forms a part and prior to the effectiveness of the registration statement and</w:t>
      </w:r>
    </w:p>
    <w:p>
      <w:pPr>
        <w:spacing w:after="0" w:line="2" w:lineRule="exact"/>
        <w:rPr>
          <w:sz w:val="20"/>
          <w:szCs w:val="20"/>
          <w:color w:val="auto"/>
        </w:rPr>
      </w:pPr>
    </w:p>
    <w:p>
      <w:pPr>
        <w:ind w:left="540" w:hanging="248"/>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of effectiveness of this prospectus until the offering of the securities is terminated:</w:t>
      </w:r>
    </w:p>
    <w:p>
      <w:pPr>
        <w:spacing w:after="0" w:line="98"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w:t>
      </w:r>
      <w:hyperlink r:id="rId46">
        <w:r>
          <w:rPr>
            <w:rFonts w:ascii="Times New Roman" w:cs="Times New Roman" w:eastAsia="Times New Roman" w:hAnsi="Times New Roman"/>
            <w:sz w:val="18"/>
            <w:szCs w:val="18"/>
            <w:u w:val="single" w:color="auto"/>
            <w:color w:val="0000EE"/>
          </w:rPr>
          <w:t>December 31, 2025</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1"/>
          <w:numId w:val="19"/>
        </w:numPr>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12,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12,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14,</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8">
        <w:r>
          <w:rPr>
            <w:rFonts w:ascii="Times New Roman" w:cs="Times New Roman" w:eastAsia="Times New Roman" w:hAnsi="Times New Roman"/>
            <w:sz w:val="18"/>
            <w:szCs w:val="18"/>
            <w:u w:val="single" w:color="auto"/>
            <w:color w:val="0000EE"/>
          </w:rPr>
          <w:t>January 20, 2026</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9">
        <w:r>
          <w:rPr>
            <w:rFonts w:ascii="Times New Roman" w:cs="Times New Roman" w:eastAsia="Times New Roman" w:hAnsi="Times New Roman"/>
            <w:sz w:val="18"/>
            <w:szCs w:val="18"/>
            <w:u w:val="single" w:color="auto"/>
            <w:color w:val="0000EE"/>
          </w:rPr>
          <w:t>February 20, 2026</w:t>
        </w:r>
      </w:hyperlink>
      <w:hyperlink r:id="rId4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0">
        <w:r>
          <w:rPr>
            <w:rFonts w:ascii="Times New Roman" w:cs="Times New Roman" w:eastAsia="Times New Roman" w:hAnsi="Times New Roman"/>
            <w:sz w:val="18"/>
            <w:szCs w:val="18"/>
            <w:u w:val="single" w:color="auto"/>
            <w:color w:val="0000EE"/>
          </w:rPr>
          <w:t xml:space="preserve">March 3, 2026 </w:t>
        </w:r>
      </w:hyperlink>
      <w:hyperlink r:id="rId47">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1">
        <w:r>
          <w:rPr>
            <w:rFonts w:ascii="Times New Roman" w:cs="Times New Roman" w:eastAsia="Times New Roman" w:hAnsi="Times New Roman"/>
            <w:sz w:val="18"/>
            <w:szCs w:val="18"/>
            <w:u w:val="single" w:color="auto"/>
            <w:color w:val="0000EE"/>
          </w:rPr>
          <w:t>March 19, 2026</w:t>
        </w:r>
      </w:hyperlink>
      <w:hyperlink r:id="rId47">
        <w:r>
          <w:rPr>
            <w:rFonts w:ascii="Times New Roman" w:cs="Times New Roman" w:eastAsia="Times New Roman" w:hAnsi="Times New Roman"/>
            <w:sz w:val="18"/>
            <w:szCs w:val="18"/>
            <w:color w:val="000000"/>
          </w:rPr>
          <w:t>; and</w:t>
        </w:r>
      </w:hyperlink>
    </w:p>
    <w:p>
      <w:pPr>
        <w:spacing w:after="0" w:line="53" w:lineRule="exact"/>
        <w:rPr>
          <w:rFonts w:ascii="Times New Roman" w:cs="Times New Roman" w:eastAsia="Times New Roman" w:hAnsi="Times New Roman"/>
          <w:sz w:val="18"/>
          <w:szCs w:val="18"/>
          <w:color w:val="0000EE"/>
        </w:rPr>
      </w:pPr>
    </w:p>
    <w:p>
      <w:pPr>
        <w:ind w:left="1000" w:right="519" w:hanging="348"/>
        <w:spacing w:after="0" w:line="266" w:lineRule="auto"/>
        <w:tabs>
          <w:tab w:leader="none" w:pos="1000" w:val="left"/>
        </w:tabs>
        <w:numPr>
          <w:ilvl w:val="1"/>
          <w:numId w:val="19"/>
        </w:numPr>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auto"/>
          </w:rPr>
          <w:t xml:space="preserve">The description of our capital stock contained in </w:t>
        </w:r>
        <w:r>
          <w:rPr>
            <w:rFonts w:ascii="Times New Roman" w:cs="Times New Roman" w:eastAsia="Times New Roman" w:hAnsi="Times New Roman"/>
            <w:sz w:val="18"/>
            <w:szCs w:val="18"/>
            <w:u w:val="single" w:color="auto"/>
            <w:color w:val="0000EE"/>
          </w:rPr>
          <w:t>Exhibit 4.1 to our Annual Report on Form 10-K for the</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year ended December 31, 2025</w:t>
        </w:r>
        <w:r>
          <w:rPr>
            <w:rFonts w:ascii="Times New Roman" w:cs="Times New Roman" w:eastAsia="Times New Roman" w:hAnsi="Times New Roman"/>
            <w:sz w:val="18"/>
            <w:szCs w:val="18"/>
            <w:color w:val="000000"/>
          </w:rPr>
          <w:t>, as amended by any subsequent amendments and reports filed for the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purpose of updating that description.</w:t>
      </w:r>
    </w:p>
    <w:p>
      <w:pPr>
        <w:spacing w:after="0" w:line="68" w:lineRule="exact"/>
        <w:rPr>
          <w:rFonts w:ascii="Times New Roman" w:cs="Times New Roman" w:eastAsia="Times New Roman" w:hAnsi="Times New Roman"/>
          <w:sz w:val="18"/>
          <w:szCs w:val="18"/>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We do not, however, incorporate by reference in this prospectus any documents or portions thereof that are not deemed “filed” with the SEC, including any information furnished pursuant to item 2.02 or item 7.01 of our current reports on Form 8-K after the date of this prospectus unless, and except to the extent, specified in such current reports.</w:t>
      </w:r>
    </w:p>
    <w:p>
      <w:pPr>
        <w:spacing w:after="0" w:line="72" w:lineRule="exact"/>
        <w:rPr>
          <w:rFonts w:ascii="Times New Roman" w:cs="Times New Roman" w:eastAsia="Times New Roman" w:hAnsi="Times New Roman"/>
          <w:sz w:val="18"/>
          <w:szCs w:val="18"/>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You may obtain copies of these filings without charge by requesting the filings in writing or by telephone at the following address:</w:t>
      </w:r>
    </w:p>
    <w:p>
      <w:pPr>
        <w:spacing w:after="0" w:line="10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Innventure,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6900 Tavistock Lakes Boulevard, Suite 400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Orlando, Florida 32827</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(321) 209-6787</w:t>
      </w:r>
    </w:p>
    <w:p>
      <w:pPr>
        <w:spacing w:after="0" w:line="99" w:lineRule="exact"/>
        <w:rPr>
          <w:rFonts w:ascii="Times New Roman" w:cs="Times New Roman" w:eastAsia="Times New Roman" w:hAnsi="Times New Roman"/>
          <w:sz w:val="18"/>
          <w:szCs w:val="18"/>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covering the securities to be offered and sold by this prospectus and any applicable prospectus supplement. This prospectus does not contain all of the information included in the registration statement, some of which is contained in exhibits to the registration statement. The registration statement, including the exhibits, can be read at the SEC website or at the SEC offices referred to above. Any statement made in this prospectus or any applicable prospectus supplement concerning the contents of any contract, agreement or other document is only a summary of the actual contract, agreement or other document. If we have filed any contract, agreement or other document as an exhibit to the registration statement, you should read the exhibit for a more complete understanding of the document or matter involved. Each statement regarding a contract, agreement or other document is qualified in its entirety by reference to the actual document.</w:t>
      </w:r>
    </w:p>
    <w:p>
      <w:pPr>
        <w:spacing w:after="0" w:line="19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59,678,407 Shares of Common Stock</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PROSPECTUS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156845</wp:posOffset>
            </wp:positionV>
            <wp:extent cx="52120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217170</wp:posOffset>
            </wp:positionV>
            <wp:extent cx="52120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sectPr>
      <w:pgSz w:w="11900" w:h="16838" w:orient="portrait"/>
      <w:cols w:equalWidth="0" w:num="1">
        <w:col w:w="9019"/>
      </w:cols>
      <w:pgMar w:left="144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Roman"/>
      <w:start w:val="2"/>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1"/>
    </w:lvl>
  </w:abstractNum>
  <w:abstractNum w:abstractNumId="10">
    <w:nsid w:val="1BEFD79F"/>
    <w:multiLevelType w:val="hybridMultilevel"/>
    <w:lvl w:ilvl="0">
      <w:lvlJc w:val="left"/>
      <w:lvlText w:val="(%1)"/>
      <w:numFmt w:val="decimal"/>
      <w:start w:val="23"/>
    </w:lvl>
  </w:abstractNum>
  <w:abstractNum w:abstractNumId="11">
    <w:nsid w:val="41A7C4C9"/>
    <w:multiLevelType w:val="hybridMultilevel"/>
    <w:lvl w:ilvl="0">
      <w:lvlJc w:val="left"/>
      <w:lvlText w:val="(%1)"/>
      <w:numFmt w:val="decimal"/>
      <w:start w:val="35"/>
    </w:lvl>
  </w:abstractNum>
  <w:abstractNum w:abstractNumId="12">
    <w:nsid w:val="6B68079A"/>
    <w:multiLevelType w:val="hybridMultilevel"/>
    <w:lvl w:ilvl="0">
      <w:lvlJc w:val="left"/>
      <w:lvlText w:val="(%1)"/>
      <w:numFmt w:val="decimal"/>
      <w:start w:val="49"/>
    </w:lvl>
  </w:abstractNum>
  <w:abstractNum w:abstractNumId="13">
    <w:nsid w:val="4E6AFB66"/>
    <w:multiLevelType w:val="hybridMultilevel"/>
    <w:lvl w:ilvl="0">
      <w:lvlJc w:val="left"/>
      <w:lvlText w:val="(%1)"/>
      <w:numFmt w:val="lowerRoman"/>
      <w:start w:val="4"/>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lowerRoman"/>
      <w:start w:val="1"/>
    </w:lvl>
  </w:abstractNum>
  <w:abstractNum w:abstractNumId="16">
    <w:nsid w:val="431BD7B7"/>
    <w:multiLevelType w:val="hybridMultilevel"/>
    <w:lvl w:ilvl="0">
      <w:lvlJc w:val="left"/>
      <w:lvlText w:val="(%1)"/>
      <w:numFmt w:val="lowerRoman"/>
      <w:start w:val="1"/>
    </w:lvl>
  </w:abstractNum>
  <w:abstractNum w:abstractNumId="17">
    <w:nsid w:val="3F2DBA31"/>
    <w:multiLevelType w:val="hybridMultilevel"/>
    <w:lvl w:ilvl="0">
      <w:lvlJc w:val="left"/>
      <w:lvlText w:val="(%1)"/>
      <w:numFmt w:val="lowerRoman"/>
      <w:start w:val="3"/>
    </w:lvl>
  </w:abstractNum>
  <w:abstractNum w:abstractNumId="18">
    <w:nsid w:val="7C83E458"/>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46" Type="http://schemas.openxmlformats.org/officeDocument/2006/relationships/hyperlink" Target="https://www.sec.gov/ix?doc=/Archives/edgar/data/2001557/000200155726000060/innv-20251231.htm" TargetMode="External"/><Relationship Id="rId47" Type="http://schemas.openxmlformats.org/officeDocument/2006/relationships/hyperlink" Target="https://www.sec.gov/ix?doc=/Archives/edgar/data/2001557/000114036126001214/ef20063014_8k.htm" TargetMode="External"/><Relationship Id="rId48" Type="http://schemas.openxmlformats.org/officeDocument/2006/relationships/hyperlink" Target="https://www.sec.gov/ix?doc=/Archives/edgar/data/0002001557/000114036126001545/ef20063380_8k.htm" TargetMode="External"/><Relationship Id="rId49" Type="http://schemas.openxmlformats.org/officeDocument/2006/relationships/hyperlink" Target="https://www.sec.gov/ix?doc=/Archives/edgar/data/2001557/000200155726000026/innv-20260216.htm" TargetMode="External"/><Relationship Id="rId50" Type="http://schemas.openxmlformats.org/officeDocument/2006/relationships/hyperlink" Target="https://www.sec.gov/ix?doc=/Archives/edgar/data/2001557/000200155726000047/innv-20260303.htm" TargetMode="External"/><Relationship Id="rId51" Type="http://schemas.openxmlformats.org/officeDocument/2006/relationships/hyperlink" Target="https://www.sec.gov/ix?doc=/Archives/edgar/data/2001557/000200155726000052/innv-20260318.htm" TargetMode="External"/><Relationship Id="rId52" Type="http://schemas.openxmlformats.org/officeDocument/2006/relationships/hyperlink" Target="https://www.sec.gov/Archives/edgar/data/2001557/000162828025017614/exhibit41to2024descrip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2026-04-09T06:02:46Z</dcterms:created>
  <dcterms:modified xsi:type="dcterms:W3CDTF">2026-04-09T06:02:46Z</dcterms:modified>
</cp:coreProperties>
</file>