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14,126,970 Shares of Common Stock</w:t>
      </w:r>
    </w:p>
    <w:p>
      <w:pPr>
        <w:spacing w:after="0" w:line="187" w:lineRule="exact"/>
        <w:rPr>
          <w:sz w:val="24"/>
          <w:szCs w:val="24"/>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prospectus relates to offer and sale from time to time by the selling securityholders named in this prospectus (each a “Selling Stockholder” and collectively, the “Selling Stockholders”), or their permitted transferees, of up to 14,126,970 shares of common stock, par value $0.0001 per share (“Common Stock”), of Innventure, Inc., a Delaware corporation, which includes (i) up to 3,260,175 shares of Common Stock that may be issued upon conversion of Series B Preferred Stock (as defined below), (ii) up to 4,209,314 shares of Common Stock that we may issue and sell to YA II PN, Ltd., a Cayman Islands exempted company (“Yorkville”), from time to time pursuant to the Standby Equity Purchase Agreement (the “SEPA”), dated October 24, 2023, entered into with Yorkville without exceeding the Exchange Cap (as defined herein), (iii) 5,657,481 shares of Common Stock held by certain stockholders party to that certain Amended and Restated Registration Rights Agreement, dated October 2, 2024 (the “A&amp;R Registration Rights Agreement”), and (iv) 1,000,000 shares of Common Stock that may be issued upon exercise of warrants (the “WTI Warrants”) to purchase Common Stock held by WTI Fund X, LLC and WTI Fund XI, LLC (together, the “WTI Lenders”). For more information on the Selling Stockholders, see the section entitled “</w:t>
      </w:r>
      <w:r>
        <w:rPr>
          <w:rFonts w:ascii="Times New Roman" w:cs="Times New Roman" w:eastAsia="Times New Roman" w:hAnsi="Times New Roman"/>
          <w:sz w:val="18"/>
          <w:szCs w:val="18"/>
          <w:i w:val="1"/>
          <w:iCs w:val="1"/>
          <w:u w:val="single" w:color="auto"/>
          <w:color w:val="0000FF"/>
        </w:rPr>
        <w:t>Selling Stockholders</w:t>
      </w:r>
      <w:r>
        <w:rPr>
          <w:rFonts w:ascii="Times New Roman" w:cs="Times New Roman" w:eastAsia="Times New Roman" w:hAnsi="Times New Roman"/>
          <w:sz w:val="18"/>
          <w:szCs w:val="18"/>
          <w:color w:val="auto"/>
        </w:rPr>
        <w:t>.”</w:t>
      </w:r>
    </w:p>
    <w:p>
      <w:pPr>
        <w:spacing w:after="0" w:line="140"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To the extent the WTI Warrants are exercised on a cashless basis, we will not receive any proceeds in connection with such exercise. The Selling Stockholders will bear all commissions, discounts and certain other limited expenses, if any, attributable to their respective sales of our Common Stock.</w:t>
      </w:r>
    </w:p>
    <w:p>
      <w:pPr>
        <w:spacing w:after="0" w:line="138"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the Selling Stockholders will offer or sell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w:t>
      </w:r>
    </w:p>
    <w:p>
      <w:pPr>
        <w:spacing w:after="0" w:line="122"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“INV.” On April 22, 2025, the last reported sales price of our Common Stock was $4.37 per share.</w:t>
      </w:r>
    </w:p>
    <w:p>
      <w:pPr>
        <w:spacing w:after="0" w:line="104"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have elected to comply with certain reduced public company reporting requirements.</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is highly speculative and involves a high degree of risk.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14</w:t>
      </w:r>
      <w:r>
        <w:rPr>
          <w:rFonts w:ascii="Times New Roman" w:cs="Times New Roman" w:eastAsia="Times New Roman" w:hAnsi="Times New Roman"/>
          <w:sz w:val="18"/>
          <w:szCs w:val="18"/>
          <w:b w:val="1"/>
          <w:bCs w:val="1"/>
          <w:color w:val="auto"/>
        </w:rPr>
        <w:t>.</w:t>
      </w:r>
    </w:p>
    <w:p>
      <w:pPr>
        <w:spacing w:after="0" w:line="171"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23, 2025.</w:t>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ABOUT THIS PROSPECTUS</w:t>
            </w:r>
          </w:p>
        </w:tc>
        <w:tc>
          <w:tcPr>
            <w:tcW w:w="8120" w:type="dxa"/>
            <w:vAlign w:val="bottom"/>
            <w:gridSpan w:val="12"/>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9"/>
            <w:vMerge w:val="continue"/>
          </w:tcPr>
          <w:p>
            <w:pPr>
              <w:spacing w:after="0"/>
              <w:rPr>
                <w:sz w:val="15"/>
                <w:szCs w:val="15"/>
                <w:color w:val="auto"/>
              </w:rPr>
            </w:pPr>
          </w:p>
        </w:tc>
        <w:tc>
          <w:tcPr>
            <w:tcW w:w="8120" w:type="dxa"/>
            <w:vAlign w:val="bottom"/>
            <w:gridSpan w:val="12"/>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4280" w:type="dxa"/>
            <w:vAlign w:val="bottom"/>
            <w:gridSpan w:val="8"/>
          </w:tcPr>
          <w:p>
            <w:pPr>
              <w:spacing w:after="0"/>
              <w:rPr>
                <w:sz w:val="18"/>
                <w:szCs w:val="18"/>
                <w:color w:val="auto"/>
              </w:rPr>
            </w:pPr>
          </w:p>
        </w:tc>
        <w:tc>
          <w:tcPr>
            <w:tcW w:w="4020" w:type="dxa"/>
            <w:vAlign w:val="bottom"/>
            <w:gridSpan w:val="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3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18"/>
                <w:szCs w:val="18"/>
                <w:color w:val="auto"/>
              </w:rPr>
            </w:pPr>
          </w:p>
        </w:tc>
        <w:tc>
          <w:tcPr>
            <w:tcW w:w="9080" w:type="dxa"/>
            <w:vAlign w:val="bottom"/>
            <w:gridSpan w:val="17"/>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6640" w:type="dxa"/>
            <w:vAlign w:val="bottom"/>
            <w:tcBorders>
              <w:top w:val="single" w:sz="8" w:color="0000FF"/>
            </w:tcBorders>
            <w:gridSpan w:val="16"/>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AND DIRECTOR COMPENSATION OF INNVENTURE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784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62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SELLING STOCKHOLDERS</w:t>
            </w:r>
          </w:p>
        </w:tc>
        <w:tc>
          <w:tcPr>
            <w:tcW w:w="812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1120" w:type="dxa"/>
            <w:vAlign w:val="bottom"/>
            <w:gridSpan w:val="4"/>
          </w:tcPr>
          <w:p>
            <w:pPr>
              <w:spacing w:after="0"/>
              <w:rPr>
                <w:sz w:val="18"/>
                <w:szCs w:val="18"/>
                <w:color w:val="auto"/>
              </w:rPr>
            </w:pPr>
          </w:p>
        </w:tc>
        <w:tc>
          <w:tcPr>
            <w:tcW w:w="7180" w:type="dxa"/>
            <w:vAlign w:val="bottom"/>
            <w:gridSpan w:val="9"/>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1280" w:type="dxa"/>
            <w:vAlign w:val="bottom"/>
            <w:gridSpan w:val="7"/>
          </w:tcPr>
          <w:p>
            <w:pPr>
              <w:spacing w:after="0"/>
              <w:rPr>
                <w:sz w:val="18"/>
                <w:szCs w:val="18"/>
                <w:color w:val="auto"/>
              </w:rPr>
            </w:pPr>
          </w:p>
        </w:tc>
        <w:tc>
          <w:tcPr>
            <w:tcW w:w="83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3040" w:type="dxa"/>
            <w:vAlign w:val="bottom"/>
            <w:gridSpan w:val="11"/>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INDEX TO FINANCIAL STATEMENTS</w:t>
            </w:r>
          </w:p>
        </w:tc>
        <w:tc>
          <w:tcPr>
            <w:tcW w:w="654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The Selling Stockholders may use the shelf registration statement to sell up to an aggregate of up to 14,126,970 shares of Common Stock from time to time through any means described in the section entitled “</w:t>
      </w:r>
      <w:r>
        <w:rPr>
          <w:rFonts w:ascii="Times New Roman" w:cs="Times New Roman" w:eastAsia="Times New Roman" w:hAnsi="Times New Roman"/>
          <w:sz w:val="18"/>
          <w:szCs w:val="18"/>
          <w:i w:val="1"/>
          <w:iCs w:val="1"/>
          <w:u w:val="single" w:color="auto"/>
          <w:color w:val="0000FF"/>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Distribution</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More specific terms of any securities that the Selling Stockholders offer and sell may be provided in a prospectus supplement that describes,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among other things, the specific amounts and prices of the shares of Common Stock being offered and the terms of the offering. We will not receive any proceeds from the sale by the Selling Stockholders of the securities offered by them described in this prospectus, except with respect to amounts received by us upon exercise of the WTI Warrants to the extent such warrants are exercised for cash.</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w:t>
      </w:r>
    </w:p>
    <w:p>
      <w:pPr>
        <w:spacing w:after="0" w:line="13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of the Business Combination, each of Learn CW and Innventure LLC are subsidiaries of Holdco, and Holdco became a publicly traded company. At the closing of the Business Combination, Holdco changed its name to “Innventure, Inc.” Innventure, Inc.’s Common Stock is listed on NASDAQ under the symbol “INV”.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prospectus includes trademarks, service marks and trade names owned by us or other companies. All trademarks, service marks and trade names included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1440" w:right="49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133" w:lineRule="exact"/>
        <w:rPr>
          <w:sz w:val="20"/>
          <w:szCs w:val="20"/>
          <w:color w:val="auto"/>
        </w:rPr>
      </w:pPr>
    </w:p>
    <w:p>
      <w:pPr>
        <w:ind w:left="660" w:right="3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including the available cash and performance targets and issuance of warrant instruments to the WTI Lenders (as defined below), and access any additional installments draws, if available, under the WTI Facility (as defined below);</w:t>
      </w:r>
    </w:p>
    <w:p>
      <w:pPr>
        <w:spacing w:after="0" w:line="10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SEPA (as defined herein) with Yorkville, including exchange caps, issuances and subscriptions based on trading volumes, to continue to access the funds available under the SEPA or the Securities Purchase Agreement (as defined below) and related Convertible Debentures (as defined below) due to certain conditions, restrictions and limitations set forth therein;</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obtain funding for its operations and future growth and to continue as a going concern;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5" w:name="page6"/>
    <w:bookmarkEnd w:id="5"/>
    <w:p>
      <w:pPr>
        <w:spacing w:after="0" w:line="14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MNCs (as defined below)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its Operating Companies, which have limited or no operating history;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6" w:right="1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14</w:t>
      </w:r>
      <w:r>
        <w:rPr>
          <w:rFonts w:ascii="Times New Roman" w:cs="Times New Roman" w:eastAsia="Times New Roman" w:hAnsi="Times New Roman"/>
          <w:sz w:val="18"/>
          <w:szCs w:val="18"/>
          <w:i w:val="1"/>
          <w:iCs w:val="1"/>
          <w:color w:val="auto"/>
        </w:rPr>
        <w:t xml:space="preserve"> and the financial statements and related notes included in this prospectus.</w:t>
      </w:r>
    </w:p>
    <w:p>
      <w:pPr>
        <w:spacing w:after="0" w:line="1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left="6" w:right="160"/>
        <w:spacing w:after="0" w:line="272" w:lineRule="auto"/>
        <w:rPr>
          <w:sz w:val="20"/>
          <w:szCs w:val="20"/>
          <w:color w:val="auto"/>
        </w:rPr>
      </w:pPr>
      <w:r>
        <w:rPr>
          <w:rFonts w:ascii="Times New Roman" w:cs="Times New Roman" w:eastAsia="Times New Roman" w:hAnsi="Times New Roman"/>
          <w:sz w:val="17"/>
          <w:szCs w:val="17"/>
          <w:color w:val="auto"/>
        </w:rPr>
        <w:t>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w:t>
      </w:r>
    </w:p>
    <w:p>
      <w:pPr>
        <w:spacing w:after="0" w:line="2" w:lineRule="exact"/>
        <w:rPr>
          <w:sz w:val="20"/>
          <w:szCs w:val="20"/>
          <w:color w:val="auto"/>
        </w:rPr>
      </w:pPr>
    </w:p>
    <w:p>
      <w:pPr>
        <w:ind w:left="6" w:right="80" w:hanging="6"/>
        <w:spacing w:after="0" w:line="252" w:lineRule="auto"/>
        <w:tabs>
          <w:tab w:leader="none" w:pos="2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34" w:lineRule="exact"/>
        <w:rPr>
          <w:sz w:val="20"/>
          <w:szCs w:val="20"/>
          <w:color w:val="auto"/>
        </w:rPr>
      </w:pPr>
    </w:p>
    <w:p>
      <w:pPr>
        <w:ind w:left="6" w:right="20"/>
        <w:spacing w:after="0" w:line="254" w:lineRule="auto"/>
        <w:rPr>
          <w:sz w:val="20"/>
          <w:szCs w:val="20"/>
          <w:color w:val="auto"/>
        </w:rPr>
      </w:pPr>
      <w:r>
        <w:rPr>
          <w:rFonts w:ascii="Times New Roman" w:cs="Times New Roman" w:eastAsia="Times New Roman" w:hAnsi="Times New Roman"/>
          <w:sz w:val="18"/>
          <w:szCs w:val="18"/>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ind w:left="6" w:right="20"/>
        <w:spacing w:after="0" w:line="254" w:lineRule="auto"/>
        <w:rPr>
          <w:sz w:val="20"/>
          <w:szCs w:val="20"/>
          <w:color w:val="auto"/>
        </w:rPr>
      </w:pPr>
      <w:r>
        <w:rPr>
          <w:rFonts w:ascii="Times New Roman" w:cs="Times New Roman" w:eastAsia="Times New Roman" w:hAnsi="Times New Roman"/>
          <w:sz w:val="18"/>
          <w:szCs w:val="18"/>
          <w:color w:val="auto"/>
        </w:rPr>
        <w:t>On October 24, 2023, Learn CW and Innventure LLC, a Delaware limited liability company (“Innventure LLC”), entered into a business combination agreement (the “Business Combination Agreement”) with Holdco, LCW Merger Sub, Inc., a direct, wholly-owned subsidiary of Holdco (“Innventure Merger Sub”). On September 30, 2024, the stockholders of Learn CW approved the Business Combination, and the Business Combination closed on the Closing Date. 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the Company entered into the SEPA with Yorkville. Pursuant to the SEPA and subject to certain conditions and limitations, the Company has the option, but not the obligation, to sell to Yorkville, and Yorkville must subscribe for, an aggregate amount of up to $75.0 million of Common Stock, at the Company’s request any time during the commitment period commencing on the Closing Date and continuing for a term of three years.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6"/>
          </w:cols>
          <w:pgMar w:left="994"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advance the Company issues in writing to Yorkville under the SEPA (each, an “Advance,” and notice of such request, an “Advance Notice”) may be in an amount of Common Stock up to the greater of (i) $10.0 million or (ii) 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w:t>
      </w:r>
    </w:p>
    <w:p>
      <w:pPr>
        <w:spacing w:after="0" w:line="13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106" w:lineRule="exact"/>
        <w:rPr>
          <w:sz w:val="20"/>
          <w:szCs w:val="20"/>
          <w:color w:val="auto"/>
        </w:rPr>
      </w:pPr>
    </w:p>
    <w:p>
      <w:pPr>
        <w:ind w:left="640" w:right="20" w:hanging="322"/>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Cap</w:t>
      </w:r>
      <w:r>
        <w:rPr>
          <w:rFonts w:ascii="Times New Roman" w:cs="Times New Roman" w:eastAsia="Times New Roman" w:hAnsi="Times New Roman"/>
          <w:sz w:val="18"/>
          <w:szCs w:val="18"/>
          <w:color w:val="auto"/>
        </w:rPr>
        <w:t>: Yorkville shall not purchase or acquire any shares of Common Stock pursuant to the SEPA that would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and its affiliates (on an aggregated basis) beneficially owning more than 9.99% of the then outstanding voting power or number of shares of Common Stock or any shares of Common Stock that, aggregated with shares issued under all other earlier Advances, would exceed 19.99% of all shares of Common Stock outstanding on the Closing Date (which number shall be reduced, on a share-for-share basis, by the number of shares of Common Stock issued or issuable pursuant to any transaction or series of transactions that may be aggregated with the transactions contemplated by the SEPA under applicable NASDAQ rules) (the “Exchange Cap”), unless the Company obtains stockholder approval to issue shares of Common Stock in excess of the Exchange Cap in accordance with applicable NASDAQ rules or certain other requirements are met;</w:t>
      </w:r>
    </w:p>
    <w:p>
      <w:pPr>
        <w:spacing w:after="0" w:line="130" w:lineRule="exact"/>
        <w:rPr>
          <w:rFonts w:ascii="Times New Roman" w:cs="Times New Roman" w:eastAsia="Times New Roman" w:hAnsi="Times New Roman"/>
          <w:sz w:val="18"/>
          <w:szCs w:val="18"/>
          <w:color w:val="auto"/>
        </w:rPr>
      </w:pPr>
    </w:p>
    <w:p>
      <w:pPr>
        <w:ind w:left="640" w:right="140" w:hanging="322"/>
        <w:spacing w:after="0" w:line="26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Limitation</w:t>
      </w:r>
      <w:r>
        <w:rPr>
          <w:rFonts w:ascii="Times New Roman" w:cs="Times New Roman" w:eastAsia="Times New Roman" w:hAnsi="Times New Roman"/>
          <w:sz w:val="18"/>
          <w:szCs w:val="18"/>
          <w:color w:val="auto"/>
        </w:rPr>
        <w:t>: In no event shall an Advance exceed the amount of shares of Common Stock registered under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that provides for the resale from time to time of the shares of Common Stock sold pursuant the SEPA;</w:t>
      </w:r>
    </w:p>
    <w:p>
      <w:pPr>
        <w:spacing w:after="0" w:line="119" w:lineRule="exact"/>
        <w:rPr>
          <w:rFonts w:ascii="Times New Roman" w:cs="Times New Roman" w:eastAsia="Times New Roman" w:hAnsi="Times New Roman"/>
          <w:sz w:val="18"/>
          <w:szCs w:val="18"/>
          <w:color w:val="auto"/>
        </w:rPr>
      </w:pPr>
    </w:p>
    <w:p>
      <w:pPr>
        <w:ind w:left="640" w:right="60" w:hanging="32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Limitation</w:t>
      </w:r>
      <w:r>
        <w:rPr>
          <w:rFonts w:ascii="Times New Roman" w:cs="Times New Roman" w:eastAsia="Times New Roman" w:hAnsi="Times New Roman"/>
          <w:sz w:val="18"/>
          <w:szCs w:val="18"/>
          <w:color w:val="auto"/>
        </w:rPr>
        <w:t>: In certain instances, if the total number of Common Stock traded on NASDAQ during the applicable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129" w:lineRule="exact"/>
        <w:rPr>
          <w:rFonts w:ascii="Times New Roman" w:cs="Times New Roman" w:eastAsia="Times New Roman" w:hAnsi="Times New Roman"/>
          <w:sz w:val="18"/>
          <w:szCs w:val="18"/>
          <w:color w:val="auto"/>
        </w:rPr>
      </w:pPr>
    </w:p>
    <w:p>
      <w:pPr>
        <w:ind w:left="640" w:right="20" w:hanging="322"/>
        <w:spacing w:after="0" w:line="23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Acceptable Price</w:t>
      </w:r>
      <w:r>
        <w:rPr>
          <w:rFonts w:ascii="Times New Roman" w:cs="Times New Roman" w:eastAsia="Times New Roman" w:hAnsi="Times New Roman"/>
          <w:sz w:val="18"/>
          <w:szCs w:val="18"/>
          <w:color w:val="auto"/>
        </w:rPr>
        <w:t>: If the Company notifies Yorkville of a minimum acceptable price (“MAP” as defined in the SEPA),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if during the applicable period the VWAP of the Common Stock is below the specified MAP or there is no VWAP, the amount of Common Stock set forth in the Advance will be reduced by one third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provided, however, that this lower amount may be increased if certain conditions are met.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payment of Advances equal to $75.0 million. On December 24, 2024, the Company issued Yorkville 60,000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at an effective price of $12.83 per share; on December 30, 2024, the Company issued Yorkville 75,000 shares of Common Stock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effective price of $12.86 per share; on January 8, 2025, the Company issued Yorkville 50,000 shares of Common Stock at an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$12.85 per share; on January 23, 2025, the Company issued Yorkville 4,617 shares of Common Stock at an effective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$12.37 per share; and on January 31, 2025, the Company issued Yorkville 19,376 shares of Common Stock at an effective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$11.93 per share, each pursuant to the terms of the SEPA. The Company has the right to terminate the SEPA at no cost or penalty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trading days’ prior written notice to Yorkville, provided that there are no outstanding Advance Notices for which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must be issued and the Company has paid all amounts owed to Yorkville pursuant to the SEPA.</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 addition, for so long as any amounts remain outstanding under the Convertible Debentures (as defined below), if the Company submits an Advance Notice then, unless otherwise agreed by Yorkville, (1) the Company may only request an Option 2 Pricing Period (as defined in the SEPA) in such Advance Notice, and (2) all of the proceeds from such Advance Notice shall be used as an Advance Payment (as defined in the Convertible Debentures), provided that, if certain conditions have been satisfied under the Convertible Debentures, with respect to any Advance Notice, then the proceeds of such Advance Notice shall be paid to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13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 parties, including certain indemnification obligations of the Series B Investors. The representations, warranties, and 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Commission under the Securities Act of 1933, as amended (the “Securities Act”), covering the resale of the shares of Common Stock issuable upon conversion of Series B Preferred Stock within 120 days from the original issuance date.</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Pursuant to the Series B Preferred Certificate of Designation,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(as defined below),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0"/>
          </w:cols>
          <w:pgMar w:left="1000" w:top="1440" w:right="9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Closing, the Company, CWAM LC Sponsor LLC, Learn CW’s former Sponsor (the “Sponsor”) and certain other holders of shares of Common Stock entered into the A&amp;R Registration Rights Agreement. The A&amp;R Registration Rights Agreement provides these holders (and their permitted transferees) with the right to require the Company, at the Company’s expense, to register the Common Stock that they hold, on customary terms, including customary demand and piggyback registration rights. The A&amp;R Registration Rights Agreement also provides that the Company pay certain expenses of the electing holders relating to such registration and indemnify them against liabilities that may arise under the Securities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was made available after the WTI Closing Date and through November 15, 2024 (the “First Tranche”); (ii) up to $15 million was made available after November 1, 2024 and through November 30, 2024 (the “Second Tranche”); and (iii) up to $15 million was made available after December 31, 2024 and through January 31, 2025 (the “Third Tranche”) (provided that up to $7.5 million of the Third Tranche was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received all $20 million of the First Tranche on November 15, 2024. The First Tranche, principal and interest, shall be repaid over a period of 30 months in equal, monthly installments, commencing after an initial 12-month period of interest-only monthly payments, resulting in a total term of 42 months. Borrowings under the First Tranche accrue interest at a rate per annum equal to the greater of (i) the “prime rate” of interest, as published by The Wall Street Journal on the date that the WTI Lenders prepare the promissory notes for the borrowings under such tranche, plus 5.00% and (ii) 13.50%. As of the date of this prospectus, the funds under each of the Second Tranche and Third Tranche are no longer available to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1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2035.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60"/>
          </w:cols>
          <w:pgMar w:left="1000" w:top="1440" w:right="10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exercised, in lieu of exercise upon a change of control, at any time from and after the four-year anniversary of the Closing (as defined below).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Additionally, on April 14, 2025 the Company issued two warrants to purchase up to an aggregate total of 300,000 shares of Common Stock (the “2025 WTI Warrants”) to WTI Fund X, LLC and WTI Fund XI, LLC, respectively, as consideration for the WTI Lenders and WTI Fund X, LLC and WTI Fund XI, LLC entering into a consent with the Company and Innventure LLC, dated March 21, 2025, pursuant to which, among other things, the WTI Lenders and WTI Fund X, LLC and WTI Fund XI, LLC consented to (i) the Company entering into the Securities Purchase Agreement and the transactions contemplated thereby and (ii) the Company’s issuance of its Series C Preferred Stock (as defined below) and the payoffs of certain related party loans. Please see the section titled “Shares Eligible for Future Sale” elsewhere in this prospectus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Debentures</w:t>
      </w:r>
    </w:p>
    <w:p>
      <w:pPr>
        <w:spacing w:after="0" w:line="17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with Yorkville, in connection with the issuance and sale by the Company of Convertible Debentures issuable in an aggregate principal amount of up to $30,000,000, which Convertible Debentures will be convertible into shares of the Company’s Common Stock (as converted, the “Conversion Shares”). Pursuant to the Securities Purchase Agreement, Yorkville purchased, and the Company issued, $20,000,000 in aggregate principal amount of Convertible Debentures (the “First Convertible Debenture”) on April 14, 2025 (the “First Closing”). Yorkville will purchase and the Company will issue an additional $10,000,000 in aggregate principal amount of Convertible Debentures (the “Second Convertible Debenture”) after both (i) a registration statement is filed with the SEC registering the resale of the Conversion Shares and is declared effective by the SEC and (ii) the Company has received stockholder approval either through affirmative votes in the Company’s annual meeting or irrevocable proxies to do the same by a majority of the voting power of the Company of the issuance of Conversion Shares and shares issuable pursuant to the SEPA in excess of the Exchange Cap.</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Convertible Debentures will not bear interest unless an event of default occurs and remains uncured, upon which the Convertible Debentures will bear interest at an annual rate of 18.0%. The Convertible Debentures will mature on July 14, 2026 (the “Maturity Date”). The First Convertible Debenture resulted in gross proceeds to the Company of approximately $18,000,000, representing an original issue discount of 10%. Upon issuance and sale, the Second Convertible Debenture is expected to result in gross proceeds to the Company of approximately $9,000,000, representing an original issue discount of 10%. The Company will be required to make monthly cash payments of principal in amounts between $1,000,000 and $3,000,000 (as per the schedule set forth in the First Convertible Debenture and to be set in a schedule set forth in the Second Convertible Debenture) plus a payment premium of 5% and all accrued and unpaid interest as of the date of such installment. Such payments will commence 30 days following the date of issuance of the applicable Convertible Debenture and will continue on a monthly basis thereafter until the applicable Convertible Debenture is repaid in full.</w:t>
      </w:r>
    </w:p>
    <w:p>
      <w:pPr>
        <w:spacing w:after="0" w:line="13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Convertible Debentures are and will be convertible at the option of the holder into Common Stock equal to the applicable Conversion Amount (as defined below) divided by the Conversion Price (as defined below). The conversion price for the Convertible Debentures will initially be $10.00, and will be adjusted on the six-month anniversary of the first business day after certain closing conditions are satisfied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SPA Exchange Cap (as defined below). The Conversion Amount with respect to any requested conversion will equal the principal amount requested to be converted plus all accrued and unpaid interest on the applicable Convertible Debenture as of such conversion, with fractional shares rounded up (the “Conversion Amount”). In addition, no conversion will be permitted to the extent that, after giving effect to such conversion,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02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holder together with the certain related parties would beneficially own in excess of 4.99% of the Common Stock outstanding immediately after giving effect to such conversion, subject to certain adjustments.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(the “SPA Exchange Cap”). The SPA Exchange Cap will not apply under certain circumstances, including if the Company obtains the approval of its stockholders as required by the applicable rules of the NASDAQ for issuances of Common Stock in excess of such amount or if the Company obtains a written opinion from outside counsel to the Company that such stockholder approval is not required.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Convertible Debentures provide the Company, subject to certain conditions, with an optional redemption right pursuant to which the Company, upon 10 trading days’ prior written notice to Yorkville (the “Redemption Notice”), may redeem in cash, in whole or in part, all amounts outstanding under the Convertible Debentures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that represent challenges that we face in connection with the successful implementation of our strategy and growth of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80"/>
          </w:cols>
          <w:pgMar w:left="1000" w:top="1440" w:right="10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39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460"/>
          </w:cols>
          <w:pgMar w:left="1020" w:top="1440" w:right="141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that may be offered and sold</w:t>
      </w:r>
    </w:p>
    <w:p>
      <w:pPr>
        <w:spacing w:after="0" w:line="2" w:lineRule="exact"/>
        <w:rPr>
          <w:sz w:val="20"/>
          <w:szCs w:val="20"/>
          <w:color w:val="auto"/>
        </w:rPr>
      </w:pPr>
    </w:p>
    <w:p>
      <w:pPr>
        <w:ind w:left="160"/>
        <w:spacing w:after="0" w:line="226" w:lineRule="auto"/>
        <w:rPr>
          <w:sz w:val="20"/>
          <w:szCs w:val="20"/>
          <w:color w:val="auto"/>
        </w:rPr>
      </w:pPr>
      <w:r>
        <w:rPr>
          <w:rFonts w:ascii="Times New Roman" w:cs="Times New Roman" w:eastAsia="Times New Roman" w:hAnsi="Times New Roman"/>
          <w:sz w:val="18"/>
          <w:szCs w:val="18"/>
          <w:color w:val="auto"/>
        </w:rPr>
        <w:t>from time to time by the Selling Stockholders named herein or their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60"/>
        <w:spacing w:after="0" w:line="360" w:lineRule="auto"/>
        <w:rPr>
          <w:sz w:val="20"/>
          <w:szCs w:val="20"/>
          <w:color w:val="auto"/>
        </w:rPr>
      </w:pPr>
      <w:r>
        <w:rPr>
          <w:rFonts w:ascii="Times New Roman" w:cs="Times New Roman" w:eastAsia="Times New Roman" w:hAnsi="Times New Roman"/>
          <w:sz w:val="18"/>
          <w:szCs w:val="18"/>
          <w:color w:val="auto"/>
        </w:rPr>
        <w:t>Shares of Common Stock outstanding Use of proceeds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 to 14,126,970 shares of Common Stock, which includes (i) up to 3,260,175 shares of Common Stock that may be issued upon conversion of Series B Preferred Stock, (ii) up to 4,209,314 shares of Common Stock that we may issue and sell to Yorkville, from time to time pursuant to the SEPA (without exceeding the Exchange Cap), (iii) 5,657,481 shares of Common Stock held by certain stockholders party to the A&amp;R Registration Rights Agreement, and (iv) 1,000,000 shares of Common Stock that may be issued upon exercise of the WTI Warrants.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47,106,300 (as of April 11, 2025)</w:t>
      </w:r>
    </w:p>
    <w:p>
      <w:pPr>
        <w:spacing w:after="0" w:line="9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will not receive any of the proceeds from such sales of the shares of our Common Stock by the Selling Stockholders. However, we may receive</w:t>
      </w:r>
    </w:p>
    <w:p>
      <w:pPr>
        <w:spacing w:after="0" w:line="1" w:lineRule="exact"/>
        <w:rPr>
          <w:sz w:val="20"/>
          <w:szCs w:val="20"/>
          <w:color w:val="auto"/>
        </w:rPr>
      </w:pPr>
    </w:p>
    <w:p>
      <w:pPr>
        <w:ind w:right="40" w:firstLine="9"/>
        <w:spacing w:after="0" w:line="265" w:lineRule="auto"/>
        <w:tabs>
          <w:tab w:leader="none" w:pos="2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w:t>
      </w:r>
    </w:p>
    <w:p>
      <w:pPr>
        <w:ind w:right="140" w:firstLine="9"/>
        <w:spacing w:after="0" w:line="26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minimis gross proceeds upon exercise of the WTI Warrants, to the extent such warrants are exercised for cash.</w:t>
      </w:r>
    </w:p>
    <w:p>
      <w:pPr>
        <w:spacing w:after="0" w:line="1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2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Unless we inform you otherwise in a prospectus supplement or free writing prospectus, we intend to use the net proceeds from the issuance of shares to Yorkville pursuant to the SEPA and from the exercise of the WTI Warrants for general corporate purposes, which may include acquisitions or other strategic investments or repayment of outstanding indebtedness.</w:t>
      </w:r>
    </w:p>
    <w:p>
      <w:pPr>
        <w:spacing w:after="0" w:line="200" w:lineRule="exact"/>
        <w:rPr>
          <w:sz w:val="20"/>
          <w:szCs w:val="20"/>
          <w:color w:val="auto"/>
        </w:rPr>
      </w:pPr>
    </w:p>
    <w:p>
      <w:pPr>
        <w:sectPr>
          <w:pgSz w:w="11900" w:h="16838" w:orient="portrait"/>
          <w:cols w:equalWidth="0" w:num="2">
            <w:col w:w="3980" w:space="80"/>
            <w:col w:w="5400"/>
          </w:cols>
          <w:pgMar w:left="1020" w:top="1440" w:right="141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of WTI Warrants</w:t>
            </w: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$0.01 per share of Common Stock</w:t>
            </w:r>
          </w:p>
        </w:tc>
      </w:tr>
      <w:tr>
        <w:trPr>
          <w:trHeight w:val="28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w:t>
            </w:r>
          </w:p>
        </w:tc>
      </w:tr>
      <w:tr>
        <w:trPr>
          <w:trHeight w:val="25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Investing in our Common Stock involves a high degree of risk. See “</w:t>
            </w:r>
            <w:r>
              <w:rPr>
                <w:rFonts w:ascii="Times New Roman" w:cs="Times New Roman" w:eastAsia="Times New Roman" w:hAnsi="Times New Roman"/>
                <w:sz w:val="18"/>
                <w:szCs w:val="18"/>
                <w:i w:val="1"/>
                <w:iCs w:val="1"/>
                <w:color w:val="0000FF"/>
                <w:w w:val="99"/>
              </w:rPr>
              <w:t>Risk</w:t>
            </w:r>
          </w:p>
        </w:tc>
      </w:tr>
      <w:tr>
        <w:trPr>
          <w:trHeight w:val="196"/>
        </w:trPr>
        <w:tc>
          <w:tcPr>
            <w:tcW w:w="4060" w:type="dxa"/>
            <w:vAlign w:val="bottom"/>
          </w:tcPr>
          <w:p>
            <w:pPr>
              <w:spacing w:after="0"/>
              <w:rPr>
                <w:sz w:val="17"/>
                <w:szCs w:val="17"/>
                <w:color w:val="auto"/>
              </w:rPr>
            </w:pPr>
          </w:p>
        </w:tc>
        <w:tc>
          <w:tcPr>
            <w:tcW w:w="4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Factors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the other information in this</w:t>
            </w:r>
          </w:p>
        </w:tc>
        <w:tc>
          <w:tcPr>
            <w:tcW w:w="300" w:type="dxa"/>
            <w:vAlign w:val="bottom"/>
            <w:tcBorders>
              <w:top w:val="single" w:sz="8" w:color="0000FF"/>
            </w:tcBorders>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18"/>
        </w:trPr>
        <w:tc>
          <w:tcPr>
            <w:tcW w:w="4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prospectus for a discussion of the factors you should consider carefully</w:t>
            </w:r>
          </w:p>
        </w:tc>
      </w:tr>
      <w:tr>
        <w:trPr>
          <w:trHeight w:val="234"/>
        </w:trPr>
        <w:tc>
          <w:tcPr>
            <w:tcW w:w="4060" w:type="dxa"/>
            <w:vAlign w:val="bottom"/>
          </w:tcPr>
          <w:p>
            <w:pPr>
              <w:spacing w:after="0"/>
              <w:rPr>
                <w:sz w:val="20"/>
                <w:szCs w:val="20"/>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you decide to invest in our Common 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460"/>
          </w:cols>
          <w:pgMar w:left="1020" w:top="1440" w:right="14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immediately following this summary. Some of these principal risks include the following:</w:t>
      </w:r>
    </w:p>
    <w:p>
      <w:pPr>
        <w:spacing w:after="0" w:line="106" w:lineRule="exact"/>
        <w:rPr>
          <w:sz w:val="20"/>
          <w:szCs w:val="20"/>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171" w:lineRule="exact"/>
        <w:rPr>
          <w:rFonts w:ascii="Times New Roman" w:cs="Times New Roman" w:eastAsia="Times New Roman" w:hAnsi="Times New Roman"/>
          <w:sz w:val="18"/>
          <w:szCs w:val="18"/>
          <w:color w:val="auto"/>
        </w:rPr>
      </w:pPr>
    </w:p>
    <w:p>
      <w:pPr>
        <w:ind w:left="640" w:right="42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107" w:lineRule="exact"/>
        <w:rPr>
          <w:rFonts w:ascii="Times New Roman" w:cs="Times New Roman" w:eastAsia="Times New Roman" w:hAnsi="Times New Roman"/>
          <w:sz w:val="18"/>
          <w:szCs w:val="18"/>
          <w:color w:val="auto"/>
        </w:rPr>
      </w:pPr>
    </w:p>
    <w:p>
      <w:pPr>
        <w:ind w:left="640" w:right="360" w:hanging="322"/>
        <w:spacing w:after="0" w:line="312"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Innventure’s principal revenues are expected to be earned in the future through its Operating Companies, including through AeroFlexx, Accelsius and Refinity, and Innventure depends on its Operating Companies (as defined below) for cash.</w:t>
      </w:r>
    </w:p>
    <w:p>
      <w:pPr>
        <w:spacing w:after="0" w:line="85" w:lineRule="exact"/>
        <w:rPr>
          <w:rFonts w:ascii="Times New Roman" w:cs="Times New Roman" w:eastAsia="Times New Roman" w:hAnsi="Times New Roman"/>
          <w:sz w:val="17"/>
          <w:szCs w:val="17"/>
          <w:color w:val="auto"/>
        </w:rPr>
      </w:pPr>
    </w:p>
    <w:p>
      <w:pPr>
        <w:ind w:left="640" w:right="18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Technology Solutions Providers.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171" w:lineRule="exact"/>
        <w:rPr>
          <w:rFonts w:ascii="Times New Roman" w:cs="Times New Roman" w:eastAsia="Times New Roman" w:hAnsi="Times New Roman"/>
          <w:sz w:val="18"/>
          <w:szCs w:val="18"/>
          <w:color w:val="auto"/>
        </w:rPr>
      </w:pPr>
    </w:p>
    <w:p>
      <w:pPr>
        <w:jc w:val="both"/>
        <w:ind w:left="640" w:right="30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WTI Facility may impair Innventure LLC’s, Innventure’s and the Operating Companies’ financial and operating flexibility.</w:t>
      </w:r>
    </w:p>
    <w:p>
      <w:pPr>
        <w:spacing w:after="0" w:line="171" w:lineRule="exact"/>
        <w:rPr>
          <w:rFonts w:ascii="Times New Roman" w:cs="Times New Roman" w:eastAsia="Times New Roman" w:hAnsi="Times New Roman"/>
          <w:sz w:val="18"/>
          <w:szCs w:val="18"/>
          <w:color w:val="auto"/>
        </w:rPr>
      </w:pPr>
    </w:p>
    <w:p>
      <w:pPr>
        <w:ind w:left="640" w:right="50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extent to which Innventure will, intends to, or may rely on Yorkville and the SEPA and the Convertible Debentures as a source of funding.</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Innventure will sell under the SEPA or under the Convertible Debentures to Yorkville, or the actual gross proceeds resulting from those sales.</w:t>
      </w:r>
    </w:p>
    <w:p>
      <w:pPr>
        <w:spacing w:after="0" w:line="107" w:lineRule="exact"/>
        <w:rPr>
          <w:rFonts w:ascii="Times New Roman" w:cs="Times New Roman" w:eastAsia="Times New Roman" w:hAnsi="Times New Roman"/>
          <w:sz w:val="18"/>
          <w:szCs w:val="18"/>
          <w:color w:val="auto"/>
        </w:rPr>
      </w:pPr>
    </w:p>
    <w:p>
      <w:pPr>
        <w:ind w:left="640" w:right="16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likely to be highly volatile, and you may lose some or all of your investment.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or other equity may depress its stock price.</w:t>
      </w:r>
    </w:p>
    <w:p>
      <w:pPr>
        <w:spacing w:after="0" w:line="171" w:lineRule="exact"/>
        <w:rPr>
          <w:rFonts w:ascii="Times New Roman" w:cs="Times New Roman" w:eastAsia="Times New Roman" w:hAnsi="Times New Roman"/>
          <w:sz w:val="18"/>
          <w:szCs w:val="18"/>
          <w:color w:val="auto"/>
        </w:rPr>
      </w:pPr>
    </w:p>
    <w:p>
      <w:pPr>
        <w:ind w:left="640" w:right="52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121" w:lineRule="exact"/>
        <w:rPr>
          <w:rFonts w:ascii="Times New Roman" w:cs="Times New Roman" w:eastAsia="Times New Roman" w:hAnsi="Times New Roman"/>
          <w:sz w:val="18"/>
          <w:szCs w:val="18"/>
          <w:color w:val="auto"/>
        </w:rPr>
      </w:pPr>
    </w:p>
    <w:p>
      <w:pPr>
        <w:jc w:val="both"/>
        <w:ind w:left="640" w:right="34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121"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99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 w:right="26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7" w:lineRule="exact"/>
        <w:rPr>
          <w:rFonts w:ascii="Times New Roman" w:cs="Times New Roman" w:eastAsia="Times New Roman" w:hAnsi="Times New Roman"/>
          <w:sz w:val="18"/>
          <w:szCs w:val="18"/>
          <w:color w:val="auto"/>
        </w:rPr>
      </w:pPr>
    </w:p>
    <w:p>
      <w:pPr>
        <w:jc w:val="both"/>
        <w:ind w:left="322" w:right="180" w:hanging="322"/>
        <w:spacing w:after="0" w:line="289" w:lineRule="auto"/>
        <w:tabs>
          <w:tab w:leader="none" w:pos="3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03" w:lineRule="exact"/>
        <w:rPr>
          <w:rFonts w:ascii="Times New Roman" w:cs="Times New Roman" w:eastAsia="Times New Roman" w:hAnsi="Times New Roman"/>
          <w:sz w:val="17"/>
          <w:szCs w:val="17"/>
          <w:color w:val="auto"/>
        </w:rPr>
      </w:pPr>
    </w:p>
    <w:p>
      <w:pPr>
        <w:ind w:left="322" w:right="160" w:hanging="322"/>
        <w:spacing w:after="0" w:line="266"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21" w:lineRule="exact"/>
        <w:rPr>
          <w:rFonts w:ascii="Times New Roman" w:cs="Times New Roman" w:eastAsia="Times New Roman" w:hAnsi="Times New Roman"/>
          <w:sz w:val="18"/>
          <w:szCs w:val="18"/>
          <w:color w:val="auto"/>
        </w:rPr>
      </w:pPr>
    </w:p>
    <w:p>
      <w:pPr>
        <w:ind w:left="322" w:right="8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Accelsius and Refinity are early-stage companies, and their limited operating histories makes it difficult to evaluate their future prospects and the risks and challenges they may encounter.</w:t>
      </w:r>
    </w:p>
    <w:p>
      <w:pPr>
        <w:spacing w:after="0" w:line="107" w:lineRule="exact"/>
        <w:rPr>
          <w:rFonts w:ascii="Times New Roman" w:cs="Times New Roman" w:eastAsia="Times New Roman" w:hAnsi="Times New Roman"/>
          <w:sz w:val="18"/>
          <w:szCs w:val="18"/>
          <w:color w:val="auto"/>
        </w:rPr>
      </w:pPr>
    </w:p>
    <w:p>
      <w:pPr>
        <w:ind w:left="322" w:right="20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107" w:lineRule="exact"/>
        <w:rPr>
          <w:rFonts w:ascii="Times New Roman" w:cs="Times New Roman" w:eastAsia="Times New Roman" w:hAnsi="Times New Roman"/>
          <w:sz w:val="18"/>
          <w:szCs w:val="18"/>
          <w:color w:val="auto"/>
        </w:rPr>
      </w:pPr>
    </w:p>
    <w:p>
      <w:pPr>
        <w:ind w:left="322" w:right="280" w:hanging="322"/>
        <w:spacing w:after="0" w:line="312" w:lineRule="auto"/>
        <w:tabs>
          <w:tab w:leader="none" w:pos="3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including customers and potential investors, may be skeptical of the viability and benefits of Accelsius’ cooling products and Refinity’s plastic waste recycling process because they are based on relatively novel and complex technology.</w:t>
      </w:r>
    </w:p>
    <w:p>
      <w:pPr>
        <w:spacing w:after="0" w:line="85" w:lineRule="exact"/>
        <w:rPr>
          <w:rFonts w:ascii="Times New Roman" w:cs="Times New Roman" w:eastAsia="Times New Roman" w:hAnsi="Times New Roman"/>
          <w:sz w:val="17"/>
          <w:szCs w:val="17"/>
          <w:color w:val="auto"/>
        </w:rPr>
      </w:pPr>
    </w:p>
    <w:p>
      <w:pPr>
        <w:ind w:left="322" w:right="140" w:hanging="322"/>
        <w:spacing w:after="0" w:line="266"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rFonts w:ascii="Times New Roman" w:cs="Times New Roman" w:eastAsia="Times New Roman" w:hAnsi="Times New Roman"/>
          <w:sz w:val="18"/>
          <w:szCs w:val="18"/>
          <w:color w:val="auto"/>
        </w:rPr>
      </w:pPr>
    </w:p>
    <w:p>
      <w:pPr>
        <w:ind w:left="322" w:right="40" w:hanging="322"/>
        <w:spacing w:after="0" w:line="266"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rFonts w:ascii="Times New Roman" w:cs="Times New Roman" w:eastAsia="Times New Roman" w:hAnsi="Times New Roman"/>
          <w:sz w:val="18"/>
          <w:szCs w:val="18"/>
          <w:color w:val="auto"/>
        </w:rPr>
      </w:pPr>
    </w:p>
    <w:p>
      <w:pPr>
        <w:ind w:left="322" w:right="58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be unable to sufficiently protect the IP rights of itself and the Innventure Companies and may encounter disputes from time to time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2" w:hanging="322"/>
        <w:spacing w:after="0" w:line="261"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25" w:lineRule="exact"/>
        <w:rPr>
          <w:rFonts w:ascii="Times New Roman" w:cs="Times New Roman" w:eastAsia="Times New Roman" w:hAnsi="Times New Roman"/>
          <w:sz w:val="18"/>
          <w:szCs w:val="18"/>
          <w:color w:val="auto"/>
        </w:rPr>
      </w:pPr>
    </w:p>
    <w:p>
      <w:pPr>
        <w:ind w:left="322" w:right="56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foreign trade policies, including additional tariffs or global trade conflicts, may adversely impact our business and operating results.</w:t>
      </w:r>
    </w:p>
    <w:p>
      <w:pPr>
        <w:spacing w:after="0" w:line="107" w:lineRule="exact"/>
        <w:rPr>
          <w:rFonts w:ascii="Times New Roman" w:cs="Times New Roman" w:eastAsia="Times New Roman" w:hAnsi="Times New Roman"/>
          <w:sz w:val="18"/>
          <w:szCs w:val="18"/>
          <w:color w:val="auto"/>
        </w:rPr>
      </w:pPr>
    </w:p>
    <w:p>
      <w:pPr>
        <w:ind w:left="322" w:right="62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542"/>
          </w:cols>
          <w:pgMar w:left="1318" w:top="1440" w:right="1039" w:bottom="1440" w:gutter="0" w:footer="0" w:header="0"/>
        </w:sectPr>
      </w:pPr>
    </w:p>
    <w:bookmarkStart w:id="15" w:name="page16"/>
    <w:bookmarkEnd w:id="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Innventure and the accompanying notes. Innventure’s business, financial condition or results of operations could be affected materially and adversely by any of the risks discussed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13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statements for the years ended December 31, 2024 and December 31, 2023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w:t>
      </w:r>
    </w:p>
    <w:p>
      <w:pPr>
        <w:spacing w:after="0" w:line="13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Operating Companies, including through AeroFlexx, Accelsius and Refinity, and Innventure depends on its Operating Companies for cash.</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(as defined below).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Operating Companies from making distributions, paying dividends or making loans to Innventure.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Innventure’s business model is to launch Operating Companies, which are not guaranteed to succeed and could be very costly.</w:t>
      </w:r>
    </w:p>
    <w:p>
      <w:pPr>
        <w:spacing w:after="0" w:line="17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Operating Companies that Innventure has launched and may launch in the future will succeed, and the Operating Companies’ future financial performance is uncertain. The Operating Companies could be very costly for Innventure and could distract Innventure’s management from its other operations.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Technology Solutions Providers.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Technology Solutions Providers to create and operate new entities that generate future revenues. If Innventure is unable to reach agreements with Technology Solutions Providers on acceptable terms for license or acquisition of IP related to certain technology solutions, Innventure may have to curtail the founding and operating of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1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including costs associated with tariffs,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incur liabilities to their 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the First Tranche was made available after October 22, 2024 and through November 15, 2024; (ii) the Second Tranche was made available after November 1, 2024 and through November 30, 2024; and (iii) the Third Tranche was made available after December 31, 2024 and through January 31, 2025 (provided that up to $7.5 million of the Third Tranche will be made available until March 31, 2025).</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15, 2024, Innventure made an initial draw under the WTI Facility in the amount of $20 million. The receipt of any additional funds under the WTI Facility was subject to the satisfaction of certain conditions by certain deadlines, including, without limitation, with respect to the Third Tranche, satisfaction of certain financial conditions and the WTI Lenders’ satisfaction with the Company’s forward-looking plan at such time. As of the date of this prospectus, the funds under each of the Second Tranche and the Third Tranche are no longer available to the Company.</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the WTI Lenders on a timely basis, or at all.</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restrictions imposed by the WTI Facility on Innventure LLC, the Company and the Operating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and the Convertible Debentures as a source of funding.</w:t>
      </w:r>
    </w:p>
    <w:p>
      <w:pPr>
        <w:spacing w:after="0" w:line="1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February 28, 2025, Innventure has drawn $2.67 million under the SEPA. Subject to the terms and conditions of the SEPA, Innventure may, at its discretion, issue and sell to Yorkville up to $75.0 million of shares of Common Stock under the SEPA from time to time. The purchase price per share for the shares of Common Stock that Innventure may elect to sell to Yorkville under the SEPA will fluctuate based on the market prices of Common Stock for each purchase made pursuant to the SEPA, if any. Accordingly, it is not currently possible to predict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number of shares that will be issued and sold to Yorkville, the actual purchase price per share to be paid by Yorkville for those shares, if any, or the actual gross proceeds to be raised in connection with those sales.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extent to which Innventure will rely on the Convertible Debentures to be issued to Yorkville pursuant to the Securities Purchase Agreement as a source of funding will depend on certain conditions, restrictions, and limitations set forth therein, which could impact the aggregate principal amount of Convertible Debentures issued by Innventure and purchased by Yorkville, whether the Convertible Debentures will bear interest, and the portion of Convertible Debentures that is convertible into Common Stock.</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or the Convertible Debentures to Yorkville, or the actual gross proceeds resulting from those sales.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 Additionally, the Conversion Price applicable to the Convertible Debentures will be adjusted on the First Reset Date and the Second Reset Date, and, accordingly, it is not currently possible to predict how many shares will be sold in total under the Convertible Debentures.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February 28, 2025, Innventure has drawn $2.67 million under the SEPA. Moreover, although the SEPA provides that Innventure may sell up to an aggregate of $75.0 million of its Common Stock to Yorkville, Innventure registered the resale by Yorkville of up to 4,418,307 shares of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w:t>
      </w:r>
    </w:p>
    <w:p>
      <w:pPr>
        <w:spacing w:after="0" w:line="13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Any issuance and sale by Innventure under the SEPA or the Convertible Debentures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 and the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0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R&amp;D (as defined below),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 will and may end at any point in time. In addition, all of Innventure and the Innventure Companies’ employees are at will, which means that either they or the employee may terminate their employment at any time.</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Innventure Companies are early-stage companies, and their limited operating history makes it difficult to evaluate their future prospects and the risks and challenges they may encounter.</w:t>
      </w:r>
    </w:p>
    <w:p>
      <w:pPr>
        <w:spacing w:after="0" w:line="1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Innventure Companies are early in the development of their commercial production capacity. Their limited operating history makes it difficult to evaluate the Innventure Companies’ future prospects and the risks and challenges they may encounter. Risks and challenges the Innventure Companies have faced or expect to face include, but are not limited to, their ability to:</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their products and processes;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products and processes of acceptable performance that function as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20" w:name="page21"/>
    <w:bookmarkEnd w:id="20"/>
    <w:p>
      <w:pPr>
        <w:spacing w:after="0" w:line="14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their revenue and budget for and manage their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in the industry in which they operate;</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their current and future products and manage their supply chain and supplier relationships related to their current and future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quickly enough due to capital and other resource constraints;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contract with, and retain reliable and commercially reasonable materials, components, manufacturers and inventory vendors;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their business in and outside the United States, including compliance requirements of U.S. customs and export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they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regulatory and/or environmental policies that impact the Innventure Companies’ plant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their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their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themselves in any legal proceeding that may arise and enforce their rights in any legal proceedings they may initiate;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 in rapidly changing industries. If the Innventure Companies’ assumptions regarding these risks and uncertainties, which they use to plan and operate their business, are incorrect or change, or if they do not address these risks successfully, their results of operations could differ materially from their expectations and their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and Refinity’s products and processes because they are based on relatively novel and complex technology.</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w:t>
      </w:r>
    </w:p>
    <w:p>
      <w:pPr>
        <w:spacing w:after="0" w:line="13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end of the second quarter of 2025.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1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“Guidance for Industry - Use of Recycled Plastics in Food Packaging: Chemistry Considerations (August 2006).” In order for AFX’s products to be used in food grade applications, AFX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2" w:name="page23"/>
    <w:bookmarkEnd w:id="2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partner with customers or third-party co-manufacturers that possess the required food certifications to do the filling of AFX’s package.</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section and many others, such as:</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Innventure’s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Innventure’s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4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Common Stock or preferred stock by Innventure or its stockholders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shareholder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or other equity may depress its stock price.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completion of the Business Combination and the other transactions contemplated (the “Transactions”) by the Business Combination Agreement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4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of Directors (the “Board”) of the Company. The provisions in Innventure’s charter documents include the following:</w:t>
      </w:r>
    </w:p>
    <w:p>
      <w:pPr>
        <w:spacing w:after="0" w:line="122" w:lineRule="exact"/>
        <w:rPr>
          <w:sz w:val="20"/>
          <w:szCs w:val="20"/>
          <w:color w:val="auto"/>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w:t>
      </w:r>
    </w:p>
    <w:p>
      <w:pPr>
        <w:spacing w:after="0" w:line="171"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(the “Delaware Court”) will be the exclusive forum for certain actions and proceedings;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which will prevent Innventure from engaging in a business combination with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of 15% or more of its capital stock unless the holder has held the stock for three years or, among other exceptions, the Board has approved the transaction.</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Securities Exchange Act of 1934, as amended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“Warrant Agreement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Warrant Agreement Foreign Action as agent for such warrant holder.</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2026, (2) the last day of the fiscal year (a) in which we have total annual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2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0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Innventure may adversely affect the market price of the Common Stock or otherwise dilute all other stockholders.</w:t>
      </w:r>
    </w:p>
    <w:p>
      <w:pPr>
        <w:spacing w:after="0" w:line="10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14"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w:t>
      </w:r>
    </w:p>
    <w:p>
      <w:pPr>
        <w:spacing w:after="0" w:line="129"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requires management to make estimates and assumptions that affect the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reported in the financial statements and accompanying notes. Innventure will base its estimates on historical experience, known trends and events, and various other factors that it believes to be reasonable under the circumstances, as provided in the section entitled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13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and may adversely affect Innventure’s business and stock price.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certain material weaknesses were identified in the Company’s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 the SEC, and other regulatory authorities, and become subject to litigation from investors and stockholders, which could harm its reputation and its financial condition, or divert financial and management resources from its core business.</w:t>
      </w:r>
    </w:p>
    <w:p>
      <w:pPr>
        <w:spacing w:after="0" w:line="1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its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its ability to borrow;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1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29" w:name="page30"/>
    <w:bookmarkEnd w:id="29"/>
    <w:p>
      <w:pPr>
        <w:spacing w:after="0" w:line="13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financing transactions by the Operating Companies could impact your rights as a stockholder of Innventure.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Common Stock with respect to that Operating Companies’ assets and will also have priority as to liquidation and dividend and other rights more favorable than Common Stock with respect to that Operating Company. This priority, or any reduction in Innventure’s ownership interest in any Operating Companies, may reduce the value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IP rights of itself and the Innventure Companies and may encounter disputes from time to time relating to its use of the IP of third parties.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Innventure’s and the Innventure Companies’ efforts to protect these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its IP rights against them. In addition, Innventure’s and the Innventure Companies’ contractual arrangements may not effectively prevent disclosure of its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its IP and proprietary information from misappropriation or infringement by others, which is expensive, could cause a diversion of resources and may not be successful.</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or the Innventure Companies also may encounter disputes from time to time concerning IP rights of others, and it may not prevail in these disputes. Third parties may raise claims against Innventure alleging that Innventure, the Innventure Companies, their employees, consultants or other third parties retained or indemnified by Innventure or the Innventure Companies, infringe, dilute, misappropriate or otherwise violate their IP rights. Some third-party IP rights may be extremely broad, and it may not be possible for Innventure to conduct its operations in such a way as to avoid all alleged violations of such IP rights and thus, Innventure and the Innventure Companies cannot be certain that its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it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high interest rates, and a period of sustained inflation, which could have an adverse impact on Innventure’s and the Innventure Companies’ business, financial condition, results of operations and prospects.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12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trade policies, including additional tariffs or global trade conflicts, may adversely impact our business and operating results.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 goods and services across international borders. Changes in foreign trade policies, such as the imposition of new tariffs, duties, or other trade barriers, can increase the cost of our products and materials, disrupt our supply 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13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face particular data protection and privacy risks in connection with the European Union’s Global Data Protection Regulation, the California Consumer Privacy Act and other privacy laws and regulations.</w:t>
      </w:r>
    </w:p>
    <w:p>
      <w:pPr>
        <w:spacing w:after="0" w:line="1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artificial intelligence (“AI”) systems. The changes introduced by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technologies could present business, compliance and reputational risks.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ESG considerations expose Innventure to potential liabilities, increased costs, reputational harm and other adverse effects on Innventure’s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(“ESG”) and sustainability considerations relating to businesses, including climate change and greenhouse gas (“GHG”) emissions, data privacy, AI, human capital and diversity, equity and inclusion. Innventure makes statements about its ESG targets, goals and initiatives through information provided on its website, press statements and other communications. Responding to these ESG considerations and implementation of these goals and initiatives involves risks and uncertainties, requires investments, and are impacted by factors that may be outside Innventure’s control. In addition, some stakeholders may disagree with Innventure’s goals and initiatives and the focus of stakeholders may change and evolve over time. Innventure may also amend, abandon or replace its targets, goals and initiatives due to a change in strategy, reduced relevance of such targets, goals and initiatives or changing market conditions, and Innventure may take certain actions that stakeholders or regulators view as contrary to such targets, goals and initiatives. Stakeholders also may have very different views on where Innventure’s focus on ESG and sustainability issues should be placed, including differing views of regulators in various jurisdictions in which we operate. Any failure, or perceived failure, by Innventure to achieve its targets or goals, further its initiatives, adhere to its public statements, comply with federal, state or international ESG laws and regulations, or meet evolving and varied stakeholder expectations and standards could result in legal and regulatory proceedings against Innventure and materially adversely affect Innventure’s business, reputation, results of operations, financial condition and stock price.</w:t>
      </w:r>
    </w:p>
    <w:p>
      <w:pPr>
        <w:spacing w:after="0" w:line="1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Numerous countries have now enacted, or are in the process of enacting, new legislation consistent with this approach, which took effect for the first time in 2024. More countries have committed to introduce similar legislation, at different times and in different ways, through their individual agreement to tax treaty changes and through changes to their own domestic tax laws.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first of the OECD’s “pillars” establishes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second pillar establishes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 In an initial transition period from 2024 to 2026, enterprises are exempt from this additional tax if certain “Safe Harbour” tests are met.</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and future evolution of the OECD’s “Two Pillar” approach, Innventure and the Innventure Companies could be adversely affected due to its income being taxed at higher effective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 To the extent the WTI Warrants are exercised on a cashless basis, we will not receive any proceeds in connection with such exercise.</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WTI Warrants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with the intent to maximize values for investors and other stakeholders through positive cash flow generated through holding long term positions in our Operating Companies. Refer to the section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elsewhere in this prospectus for a detailed discussion of our business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(“CEO”) (who has been determined to be our Chief Operating Decision Maker), we have identified one reportable segment: Technology (the “Technology segment”).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2024 includes the following highlights: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Technology segment began generating revenue related to its cooling systems for data centers.</w:t>
      </w:r>
    </w:p>
    <w:p>
      <w:pPr>
        <w:spacing w:after="0" w:line="171" w:lineRule="exact"/>
        <w:rPr>
          <w:sz w:val="20"/>
          <w:szCs w:val="20"/>
          <w:color w:val="auto"/>
        </w:rPr>
      </w:pPr>
    </w:p>
    <w:p>
      <w:pPr>
        <w:ind w:left="660" w:right="60" w:hanging="323"/>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tab/>
        <w:t>Total operational expenses of approximately $10,506 and $12,517, respectively, relate to increased costs associated with public readiness activities connected with the Business Combination and the subsequent reporting requirements related to being a public entity for the Successor (as defined below) period from October 2, 2024 through December 31, 2024 and the Predecessor (as defined below) period from January 1, 2024 through October 1, 2024.</w:t>
      </w:r>
    </w:p>
    <w:p>
      <w:pPr>
        <w:spacing w:after="0" w:line="126" w:lineRule="exact"/>
        <w:rPr>
          <w:sz w:val="20"/>
          <w:szCs w:val="20"/>
          <w:color w:val="auto"/>
        </w:rPr>
      </w:pPr>
    </w:p>
    <w:p>
      <w:pPr>
        <w:ind w:left="660" w:right="2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from equity raises were approximately $19,552 and $26,981, respectively, for the Successor period from October 2, 2024 through December 31, 2024 and the Predecessor period from January 1, 2024 through October 1, 2024. These cash inflows from equity raises are compared to net cash outflows related to operating, investing and remaining financing activity of $8,478 and $13,345, respectively, for the Successor period from October 2, 2024 through December 31, 2024 and the Predecessor period from January 1, 2024 through October 1, 2024.</w:t>
      </w:r>
    </w:p>
    <w:p>
      <w:pPr>
        <w:spacing w:after="0" w:line="1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Business Combination, $187,500 of intangible assets and $667,936 of goodwill were recognized. Overall, $147,515 of net identifiable assets were acquired.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 (in thousands, except as otherwise noted)</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S/P Combined (Non-</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80" w:type="dxa"/>
            <w:vAlign w:val="bottom"/>
          </w:tcPr>
          <w:p>
            <w:pPr>
              <w:spacing w:after="0"/>
              <w:rPr>
                <w:sz w:val="15"/>
                <w:szCs w:val="15"/>
                <w:color w:val="auto"/>
              </w:rPr>
            </w:pPr>
          </w:p>
        </w:tc>
        <w:tc>
          <w:tcPr>
            <w:tcW w:w="17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Non-GAAP</w:t>
            </w: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Period from October</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Period from January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Year ended</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Year ended</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320" w:type="dxa"/>
            <w:vAlign w:val="bottom"/>
            <w:tcBorders>
              <w:right w:val="single" w:sz="8" w:color="auto"/>
            </w:tcBorders>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2, 2024 through</w:t>
            </w:r>
          </w:p>
        </w:tc>
        <w:tc>
          <w:tcPr>
            <w:tcW w:w="60" w:type="dxa"/>
            <w:vAlign w:val="bottom"/>
          </w:tcPr>
          <w:p>
            <w:pPr>
              <w:spacing w:after="0"/>
              <w:rPr>
                <w:sz w:val="10"/>
                <w:szCs w:val="10"/>
                <w:color w:val="auto"/>
              </w:rPr>
            </w:pPr>
          </w:p>
        </w:tc>
        <w:tc>
          <w:tcPr>
            <w:tcW w:w="12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1, 2024 through</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6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October 1, 2024</w:t>
            </w: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440" w:type="dxa"/>
            <w:vAlign w:val="bottom"/>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 vs 2023 Changes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Cost of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56,260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Sales and marketing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11,318</w:t>
            </w:r>
          </w:p>
        </w:tc>
        <w:tc>
          <w:tcPr>
            <w:tcW w:w="10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4,001</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40,753</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37,541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78,294</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24,795</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53,499</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215.8 %</w:t>
            </w: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from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(40,297)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(36,777)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(77,074)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(23,678)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(53,396)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225.5 %</w:t>
            </w:r>
          </w:p>
        </w:tc>
        <w:tc>
          <w:tcPr>
            <w:tcW w:w="0" w:type="dxa"/>
            <w:vAlign w:val="bottom"/>
          </w:tcPr>
          <w:p>
            <w:pPr>
              <w:spacing w:after="0"/>
              <w:rPr>
                <w:sz w:val="1"/>
                <w:szCs w:val="1"/>
                <w:color w:val="auto"/>
              </w:rPr>
            </w:pPr>
          </w:p>
        </w:tc>
      </w:tr>
      <w:tr>
        <w:trPr>
          <w:trHeight w:val="221"/>
        </w:trPr>
        <w:tc>
          <w:tcPr>
            <w:tcW w:w="3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Non-operating (Expense) and Income</w:t>
            </w: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expense,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gain (loss) from investments</w:t>
            </w: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(loss) gain on investments - due to related parties</w:t>
            </w: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(301.7) %</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financial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(20,946)</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(2,896.9) %</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method investment (loss) income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 %</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conversion of promissory notes</w:t>
            </w: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Write-off of loan commitment fee asset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Miscellaneous other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Non-operating (Expense)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(33,078)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(24,067)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(7,306)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(16,761)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229.4 %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(70,093)</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(98,291)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(30,984)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(67,307)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217.2 %</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w:t>
            </w: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Non-redeemable non-controlling interest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4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Net Loss Attributable to Innventure, Inc. Stockholders /</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(61,754)</w:t>
            </w: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(78,190)</w:t>
            </w:r>
          </w:p>
        </w:tc>
        <w:tc>
          <w:tcPr>
            <w:tcW w:w="10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(30,845)</w:t>
            </w:r>
          </w:p>
        </w:tc>
        <w:tc>
          <w:tcPr>
            <w:tcW w:w="8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(47,345)</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153.5 %</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Innventure LLC Unitholders</w:t>
            </w: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taxes:</w:t>
            </w: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40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w w:val="98"/>
              </w:rPr>
              <w:t>Unrealized gain on available-for-sale debt securities - related</w:t>
            </w:r>
          </w:p>
        </w:tc>
        <w:tc>
          <w:tcPr>
            <w:tcW w:w="1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party</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75"/>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comprehensive loss, net of taxes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909</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971</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971</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82"/>
              </w:rPr>
              <w:t>nil</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 net of taxes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(69,184)</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(97,320)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(30,984)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(66,336)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214.1 %</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comprehensive income attributable to</w:t>
            </w: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Non-redeemable non-controlling interest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4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Net Comprehensive Loss Attributable to Innventure, Inc.</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(60,845)</w:t>
            </w: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(16,374)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(77,219)</w:t>
            </w:r>
          </w:p>
        </w:tc>
        <w:tc>
          <w:tcPr>
            <w:tcW w:w="10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(30,845)</w:t>
            </w:r>
          </w:p>
        </w:tc>
        <w:tc>
          <w:tcPr>
            <w:tcW w:w="8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(46,374)</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150.3 %</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 Innventure LLC Unitholders</w:t>
            </w: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was $456 for the Successor period from October 2, 2024 through December 31, 2024, $764 for Predecessor period from January 1, 2024 through October 1, 2024 and $1,117 for the Predecessor year ended December 31, 2023. Revenue for the combined twelve months ended December 31, 2024 was $1,220, an increase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$103, or 9.2%, over the comparable period for the Predecessor year ended December 31, 2023. The increase was primarily due to new product sales within the Technology segment during the combined twelve months ended December 31, 2024. The increase was partially offset by non-recurring consulting revenue provided to certain third parties for the Predecessor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Cost of sales was $3,752 for the Successor period from October 2, 2024 through December 31, 2024, $777 for Predecessor period from January 1, 2024 through October 1, 2024 and nil for the Predecessor year ended December 31, 2023. Cost of sales for the combined twelve months ended December 31, 2024 was $4,529, an increase of $4,529, over the comparable period for the Predecessor year ended December 31, 2023. The increase was due to the fact that the Technology segment was pre-revenue for the Predecessor year ended December 31, 2023 and started generating revenue from product sales during the combined twelve months ended December 31, 2024. Cost of sales relate to those costs incurred to generate the new product sale revenue as well as the amortization expense of $2,065 associated with the recognition of intangibles of the Technology segment as part of the Business Combination.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was $29,652 for the Successor period from October 2, 2024 through December 31, 2024, $26,608 for Predecessor period from January 1, 2024 through October 1, 2024 and $17,589 for the Predecessor year ended December 31, 2023. General and administrative expense for the combined twelve months ended December 31, 2024 was $56,260, an increase of $38,671, or 219.9%, over the comparable period for the Predecessor year ended December 31, 2023. The increase in expenditure was primarily attributed to an increase in professional services, legal fees and consulting fees related to the Business Combination of $17,600. The remaining increase in expenditure was due to increased employee costs associated with increased bonuses and stock based compensation grants.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and marketing expense was $2,009 for the Successor period from October 2, 2024 through December 31, 2024, $4,178 for Predecessor period from January 1, 2024 through October 1, 2024 and $3,205 for the Predecessor year ended December 31, 2023. Sales and marketing expense for the combined twelve months ended December 31, 2024 was $6,187, an increase of $2,982, or 93.0%, over the comparable period for the Predecessor year ended December 31, 2023. The increase was primarily due to increased compensation costs as a result of increased headcount across the business and increases in advertising and marketing related events and expenses associated with the commercialization phase of the Technology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 was $5,340 for the Successor period from October 2, 2024 through December 31, 2024, $5,978 for Predecessor period from January 1, 2024 through October 1, 2024 and $4,001 for the Predecessor year ended December 31, 2023. R&amp;D expense for the combined twelve months ended December 31, 2024 was $11,318, an increase of $7,317, or 182.9%, over the comparable period for the Predecessor year ended December 31, 2023. The increase was primarily due to an increase in employee-related costs in the Technology segment and an increase in new product development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Interest expense, net was $1,132 for the Successor period from October 2, 2024 through December 31, 2024, $1,300 for Predecessor period from January 1, 2024 through October 1, 2024 and $1,224 for the Predecessor year ended December 31, 2023. Interest expense, net for the combined twelve months ended December 31, 2024 was $2,432, an increase of $1,208, or 98.7%, over the comparable period for the Predecessor year ended December 31, 2023. The increase was primarily due to an increase in facilities and borrowings between the periods as well as the increased cost of borrowing experienced during the Successor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from investments</w:t>
      </w:r>
    </w:p>
    <w:p>
      <w:pPr>
        <w:spacing w:after="0" w:line="17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Net gain on investments was nil for the Successor period from October 2, 2024 through December 31, 2024, $11,547 for Predecessor period from January 1, 2024 through October 1, 2024 and net loss on investments was $6,448 for the Predecessor year ended December 31, 2023. Net gain on investments for the combined twelve months ended December 31, 2024 was $11,547, an increase of $17,995, or 279.1%, over the comparable period for the Predecessor year ended December 31, 2023. The increase was due to the unrealized gain on investment in PCT owned stock via Class PCTA Units (as defined below) for the year ended December 31, 2024. The PCTA associated assets were not recognized as part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investments - due to related parties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loss on investments – due to related parties was nil for the Successor period from October 2, 2024 through December 31, 2024, $468 for Predecessor period from January 1, 2024 through October 1, 2024 and net gain on investments was $232 for the Predecessor year ended December 31, 2023. Net loss on investments – due to related parties for the combined twelve months ended December 31, 2024 was $468, a decrease of $700, or 301.7%, over the comparable period for the Predecessor year ended December 31, 2023. The decrease was primarily due to an increase in fair value of liability - PCT stock owed to others. The PCTA associated liabilities were not recognized as part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financial liabilities increased by $20,946 for the Successor period from October 2, 2024 through December 31, 2024, increased by $478 for Predecessor period from January 1, 2024 through October 1, 2024, and decreased by $766 for the Predecessor year ended December 31, 2023. The fair value of financial liabilities for the combined twelve months ended December 31, 2024 increased by $21,424, an increase of $22,190, or 2,896.9%, over the comparable period for the Predecessor year ended December 31, 2023. The increase was primarily due to increases in fair value adjustments for warrants and earnout liabilities, which were offset by adjustments in the fair value of embedded derivative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income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Equity method investment loss was $902 for the Successor period from October 2, 2024 through December 31, 2024, equity method investment gain was $893 for Predecessor period from January 1, 2024 through October 1, 2024 and equity method investment loss was $632 for the Predecessor year ended December 31, 2023. Equity method investment loss for the combined twelve months ended December 31, 2024 was $9, a decrease of $623, or 98.6%, over the comparable period for the Predecessor year ended December 31, 2023. The loss in 2023 of $632 recognized represented nonrecurring allocated losses from the ESG Fund and AeroFlexx. The gain in 2024 was primarily due to a non-recurring allocated gain from the ESG Fund offset by a non-recurring allocated loss from investment of AeroFlexx.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Loss on conversion of promissory notes was nil for the Successor period from October 2, 2024 through December 31, 2024, $1,119 for Predecessor period from January 1, 2024 through October 1, 2024 and nil for the Predecessor year ended December 31, 2023. Loss on conversion of promissory notes for the combined twelve months ended December 31, 2024 was $1,119, an increase of $1,119, over the comparable period for the Predecessor year ended December 31, 2023. This was due to the automatic conversion of promissory notes in the first quarter of 2024 into equity instruments which was treated as an extinguishment thereby generating a loss. There was no equivalent transaction in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Write-off of loan commitment fee asset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Write-off of loan commitment fee asset was $10,041 for the Successor period from October 2, 2024 through December 31, 2024, nil for Predecessor period from January 1, 2024 through October 1, 2024 and nil for the Predecessor year ended December 31, 2023. Write-off of loan commitment fee asset for the combined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months ended December 31, 2024 was $10,041, an increase of $10,041, over the comparable period for the Predecessor year ended December 31, 2023. The increase was due to a one-time write-off of loan commitment fees related to the WTI Fund loan and security agreement where the Company was unable to draw down subsequent loan tranches because it had not met certain revenue and net loss targets set by the lender. These fees included warrants and fees incurred in securing the WTI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attributable to non-redeemable non-controlling interests was $8,339 for the Successor period from October 2, 2024 through December 31, 2024,</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$11,762 for Predecessor period January 1, 2024 through October 1, 2024 and $139 for the Predecessor year ended December 31, 2023. Loss attributable to non-redeemable non-controlling interests for the combined twelve months ended December 31, 2024 was $20,101, an increase of $19,962, or 14,361.2%, over the comparable period for the Predecessor year ended December 31, 2023. This was due to the increase in Accelsius loss subject to allocable percentage during the year ended December 31, 2024 as compared to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on available-for-sale debt securities - related party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Unrealized gain on available-for-sale debt securities - related party, was a gain of $909 for the Successor period from October 2, 2024 through December 31, 2024, a loss of $62 for Predecessor period January 1, 2024 through October 1, 2024 and nil for the Predecessor year ended December 31, 2023. Unrealized gain (loss) on available-for-sale debt securities - related party for the combined twelve months ended December 31, 2024 was $971, an increase of $971, over the comparable period for the Predecessor year ended December 31, 2023. The increase was due to the conversion of working capital advances to investments in debt securities which are classified as available-for-sale.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S/P Combined (Non-</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620" w:type="dxa"/>
            <w:vAlign w:val="bottom"/>
          </w:tcPr>
          <w:p>
            <w:pPr>
              <w:spacing w:after="0"/>
              <w:rPr>
                <w:sz w:val="11"/>
                <w:szCs w:val="11"/>
                <w:color w:val="auto"/>
              </w:rPr>
            </w:pPr>
          </w:p>
        </w:tc>
        <w:tc>
          <w:tcPr>
            <w:tcW w:w="15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80" w:type="dxa"/>
            <w:vAlign w:val="bottom"/>
          </w:tcPr>
          <w:p>
            <w:pPr>
              <w:spacing w:after="0"/>
              <w:rPr>
                <w:sz w:val="12"/>
                <w:szCs w:val="12"/>
                <w:color w:val="auto"/>
              </w:rPr>
            </w:pPr>
          </w:p>
        </w:tc>
        <w:tc>
          <w:tcPr>
            <w:tcW w:w="16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166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(77,367)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(29,752)</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based compensation</w:t>
            </w:r>
            <w:r>
              <w:rPr>
                <w:rFonts w:ascii="Times New Roman" w:cs="Times New Roman" w:eastAsia="Times New Roman" w:hAnsi="Times New Roman"/>
                <w:sz w:val="23"/>
                <w:szCs w:val="23"/>
                <w:color w:val="auto"/>
                <w:vertAlign w:val="superscript"/>
              </w:rPr>
              <w:t>(4)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0" w:hanging="332"/>
        <w:spacing w:after="0" w:line="257"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w:t>
      </w:r>
    </w:p>
    <w:p>
      <w:pPr>
        <w:spacing w:after="0" w:line="2" w:lineRule="exact"/>
        <w:rPr>
          <w:rFonts w:ascii="Times New Roman" w:cs="Times New Roman" w:eastAsia="Times New Roman" w:hAnsi="Times New Roman"/>
          <w:sz w:val="14"/>
          <w:szCs w:val="14"/>
          <w:color w:val="auto"/>
        </w:rPr>
      </w:pPr>
    </w:p>
    <w:p>
      <w:pPr>
        <w:ind w:left="340" w:right="480" w:hanging="332"/>
        <w:spacing w:after="0" w:line="259"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combined twelve months ended December 31, 2024 and for the Predecessor year ended December 31, 2023 this is comprised entirely of consulting, legal, and other professional fees related to the Business Combination.</w:t>
      </w:r>
    </w:p>
    <w:p>
      <w:pPr>
        <w:ind w:left="340" w:right="120" w:hanging="332"/>
        <w:spacing w:after="0" w:line="256"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ind w:left="340" w:right="200" w:hanging="332"/>
        <w:spacing w:after="0" w:line="267"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(in thousands, except as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23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expectations, we estimate we will require at least $50,000 to meet our liquidity requirements for the next 12 months.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cash generated from the operations of our Operating Companies, the SEPA with Yorkville (maximum remaining availability of approximately $72,000), the Convertible Debentures to be issued to Yorkville, as well as proceeds from additional financings completed by us or our Operating Companies. During the year ended December 31, 2024, the Technology segment raised approximately $18,898 of additional equity financing, in comparison to approximately $250 during the year ended December 31, 2023. In connection with our current business strategy, we intend to conduct additional fundraising of up to $25,000 to fund capital expenditures and other expenses to support the growth of the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20, 2025, the Company entered into agreements to convert and repay the aggregate principal amount of these unsecured promissory notes with the two related parties and, on March 24, 2025, issued shares of the Company’s Series C preferred stock, par value $0.0001 per share (the “Series C Preferred Stock”) and paid cash to settle these unsecured promissory notes with the two unrelated parties.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for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 of which, 3,000,000 of the shares of preferred stock are designated as Series B Preferred Stock.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following the Business Combination, Innventure issued 1,102,000 of Series B Preferred Stock at a purchase price of $10.00 per share (the “Original Issue Price”) for a total amount of $11,020. See further discussion of the Series B Preferred Stock in </w:t>
      </w:r>
      <w:r>
        <w:rPr>
          <w:rFonts w:ascii="Times New Roman" w:cs="Times New Roman" w:eastAsia="Times New Roman" w:hAnsi="Times New Roman"/>
          <w:sz w:val="18"/>
          <w:szCs w:val="18"/>
          <w:b w:val="1"/>
          <w:bCs w:val="1"/>
          <w:color w:val="auto"/>
        </w:rPr>
        <w:t>Note 13. Stockholders' Equity within the notes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 Stock</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5,000,000 shares of preferred stock are designated as Series C Preferred Stock. On March 24, 2025, the Company agreed to issue an aggregate of up to 275,000 shares of the Series C Preferred Stock in a private placement, at a price of $10.00 per share of Series C Preferred Stock, resulting in an aggregate purchase price of approximately $2,750 before deducting fees and other estimated offering expenses. In connection with the preferred stock purchase agreements, the Company received an aggregate amount of $1,500 in advanced funds. In consideration of these funds, the Company issued 150,000 shares of Series C Preferred Stock to the respective parties.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on March 24, 2025, the Company issued 578,294 shares of Series C Preferred Stock in exchange for the termination of a related party loan with Glockner Family Venture Fund, LP and issued 1,392,059 shares of Common Stock in exchange for the termination of another related party loan between AeroFlexx Packaging Company, LLC and Auto Now Acceptance Co., LLC. Further, on March 24, 2025, the Company issued an aggregate of 300,000 shares of Series C Preferred Stock for financial advisory and merchant banking services rendered. See further discussion of the Series C Preferred Stock in the sub-section titled “Bridge Financing” above and in Note 21. Subsequent Events within the 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Debentures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(the “Securities Purchase Agreement”) to the issuance and sale of the Convertible Debentures with an aggregate principal amount of up to $30,000. These Convertible Debentures will be convertible into Conversion Shares. On April 14, 2025, the Company issued $20,000 in aggregate principal amount of Convertible Debentures.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 Convertible Debentures will bear interest at an annual rate of 18%. The Convertible Debentures will mature 15 months after the First Closing Date and can be converted into shares of Common Stock at a conversion price to be determined. The Convertible Debentures were and will be issued at an original issue discount of 10%. In connection with the Securities Purchase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 See further discussion of the Convertible Debentures in Note 21. Subsequent Events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60"/>
          </w:cols>
          <w:pgMar w:left="320" w:top="1440" w:right="419" w:bottom="1440" w:gutter="0" w:footer="0" w:header="0"/>
        </w:sectPr>
      </w:pPr>
    </w:p>
    <w:bookmarkStart w:id="45" w:name="page46"/>
    <w:bookmarkEnd w:id="4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years ended December 31, 2024 and 2023 are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 Combined</w:t>
            </w:r>
          </w:p>
        </w:tc>
        <w:tc>
          <w:tcPr>
            <w:tcW w:w="180" w:type="dxa"/>
            <w:vAlign w:val="bottom"/>
          </w:tcPr>
          <w:p>
            <w:pPr>
              <w:spacing w:after="0"/>
              <w:rPr>
                <w:sz w:val="13"/>
                <w:szCs w:val="13"/>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38"/>
              <w:spacing w:after="0" w:line="136" w:lineRule="exact"/>
              <w:rPr>
                <w:sz w:val="20"/>
                <w:szCs w:val="20"/>
                <w:color w:val="auto"/>
              </w:rPr>
            </w:pPr>
            <w:r>
              <w:rPr>
                <w:rFonts w:ascii="Times New Roman" w:cs="Times New Roman" w:eastAsia="Times New Roman" w:hAnsi="Times New Roman"/>
                <w:sz w:val="14"/>
                <w:szCs w:val="14"/>
                <w:b w:val="1"/>
                <w:bCs w:val="1"/>
                <w:color w:val="auto"/>
              </w:rPr>
              <w:t>October 2, 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18"/>
              <w:spacing w:after="0" w:line="136"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0"/>
              <w:spacing w:after="0" w:line="136"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through December</w:t>
            </w:r>
          </w:p>
        </w:tc>
        <w:tc>
          <w:tcPr>
            <w:tcW w:w="13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through October</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1, 2024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146.8 %</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118.5 %</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275.0 %</w:t>
            </w: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24,710</w:t>
            </w:r>
          </w:p>
        </w:tc>
        <w:tc>
          <w:tcPr>
            <w:tcW w:w="8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-848360</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were $48,062 for the combined twelve months ended December 31, 2024, as compared to $19,476 for the year ended December 31, 2023, an increase of $28,586, or 146.8%. The increase is primarily related to change additional costs incurred in connection with the Business Combination, increased employee compensation costs associated with increased headcount. In addition, there was an increase in R&amp;D costs at the Technology segment.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(Used in) by Investing Activities</w:t>
      </w:r>
    </w:p>
    <w:p>
      <w:pPr>
        <w:spacing w:after="0" w:line="17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Cash flows provided by in investing activities were $865 for the combined twelve months ended December 31, 2024, as compared to cash flows used in investing activities of $4,667 for the year ended December 31, 2023, an increase of $5,532 or 118.5%. The increase is primarily related cash withdrawn from the trust as a result of the Business Combination offset by to loans to an equity method investee and acquisitions of property, plant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$71,907 for the year ended December 31, 2024, as compared to $19,174 for the year ended December 31, 2023, an increase of $52,733 or 275.0%. The increase is primarily related to proceeds from issuance of equity and debt financing, partially offset by increased repayment of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1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consolidated financial statements for the years ended December 31, 2024 and 2023 included in the consolidated financial statements included elsewhere in this prospectus for a discussion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w:t>
            </w: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-487680</wp:posOffset>
            </wp:positionV>
            <wp:extent cx="59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-487680</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-487680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-487680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Concern</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 cost structure. In connection with our assessment of going concern considerations in accordance with Financial Accounting Standard Board’s Accounting Standards Update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these conditions raise substantial doubt about our ability to continue as a going concern within one year after the date of the consolidated financial statements included elsewhere in this prospectus. If we are unable to realize our assets, obtain adequate capital from the SEPA or otherwise generate sufficient revenues to support our cost structure within the normal operating cycle of a twelve (12) month period, we may have to consider supplementing our available sources of funds through the following sources:</w:t>
      </w:r>
    </w:p>
    <w:p>
      <w:pPr>
        <w:spacing w:after="0" w:line="13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financing;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Innventure’s Business </w:t>
      </w:r>
      <w:r>
        <w:rPr>
          <w:rFonts w:ascii="Times New Roman" w:cs="Times New Roman" w:eastAsia="Times New Roman" w:hAnsi="Times New Roman"/>
          <w:sz w:val="18"/>
          <w:szCs w:val="18"/>
          <w:color w:val="auto"/>
        </w:rPr>
        <w:t>– There is uncertainty regarding Innventure’s ability to maintain liquidity sufficient to operate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effectively, which raises substantial doubt about its ability to continue as a going concern.”</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Refer to Note 2. Accounting Policies to our consolidated financial statements for the years ended December 31, 2024 and 2023 included elsewhere in this prospectus for a discussion of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These technology innovators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in late 2015 (technology initially sourced from P&amp;G), AeroFlexx in 2018 (technology sourced from P&amp;G), and Accelsius in 2022 (technology initially sourced from the Nokia), and Refinity in 2024 (technology initially sourced from the VTT; collaboration agreement with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(as defined below)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analytics to assess each opportunity and seeks opportunities for the MNC to help accelerate early market adoption by becoming early customers or offering channel access.</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DownSelect process consists of four separate phases, with successive phases building on work done in the previous phases and deepening the level of analyses done as opportunities progress through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80010</wp:posOffset>
            </wp:positionV>
            <wp:extent cx="5134610" cy="1525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3461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Phase 1 – Opportunity Screen</w:t>
      </w:r>
      <w:r>
        <w:rPr>
          <w:rFonts w:ascii="Times New Roman" w:cs="Times New Roman" w:eastAsia="Times New Roman" w:hAnsi="Times New Roman"/>
          <w:sz w:val="18"/>
          <w:szCs w:val="18"/>
          <w:color w:val="auto"/>
        </w:rPr>
        <w:t>: Innventure’s team screens opportunities that are reflective of the four dimensions of the DownSelect Process; (1)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an MNC or other technology innovator, (2) significant market need, (3) transformative solution and (4) strategic execution. We analyze high level business, financial, and technology issues to determine if the opportunity meets our key success criteria.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Phase 2 – Critical Factor Assessment</w:t>
      </w:r>
      <w:r>
        <w:rPr>
          <w:rFonts w:ascii="Times New Roman" w:cs="Times New Roman" w:eastAsia="Times New Roman" w:hAnsi="Times New Roman"/>
          <w:sz w:val="18"/>
          <w:szCs w:val="18"/>
          <w:color w:val="auto"/>
        </w:rPr>
        <w:t>: We identify, assess, and prioritize an opportunity’s critical success and risk factors and develop a plan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Phase 3 – Comprehensive Quantification</w:t>
      </w:r>
      <w:r>
        <w:rPr>
          <w:rFonts w:ascii="Times New Roman" w:cs="Times New Roman" w:eastAsia="Times New Roman" w:hAnsi="Times New Roman"/>
          <w:sz w:val="18"/>
          <w:szCs w:val="18"/>
          <w:color w:val="auto"/>
        </w:rPr>
        <w:t>: The Innventure team conducts a comprehensive review across all DownSelect dimensions. A core focus 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quantitative analysis and strategy of the 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w:t>
      </w:r>
    </w:p>
    <w:p>
      <w:pPr>
        <w:spacing w:after="0" w:line="13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an opportunity that successfully passes through Phase 3, the DownSelect team, in collaboration with Innventure senior leadership, recommends to the Board that the opportunity move to Phase 4 and proceed to create a new Innventure Company.</w:t>
      </w:r>
    </w:p>
    <w:p>
      <w:pPr>
        <w:spacing w:after="0" w:line="10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Phase 4 – Strategy &amp; Formation</w:t>
      </w:r>
      <w:r>
        <w:rPr>
          <w:rFonts w:ascii="Times New Roman" w:cs="Times New Roman" w:eastAsia="Times New Roman" w:hAnsi="Times New Roman"/>
          <w:sz w:val="18"/>
          <w:szCs w:val="18"/>
          <w:color w:val="auto"/>
        </w:rPr>
        <w:t>: We set the initial strategy, including go-to-market strategies and initial business plan, for the Innventure Company,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technology via licensing or ownership, and create the new company.</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majority (or sole) ownership.</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targeted exits for our new companies at 5-7 years after inception through a sale, initial public offering or merger, including a merger with a special purpose acquisition company. In 2024, we determined that this approach could result in exiting companies prior to creating their maximum shareholder value.</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we continue to advance the Innventure model, we have moved to an approach designed to allow us to build and hold companies, with goals of generating positive cash flows of one or more majority-owned new Innventure companies and maximizing value for investors and other stakeholders. As part of our recently adopted “Disruptive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Conglomerate Model,” Innventure intends to retain majority (or sole) ownership. We believe that holding majority stakes in companies allows those companies to mature further and gives us the opportunity to derive greater value from those companies as we operate them over the long term. We are currently deploying this model for Accelsius and Refinity. While an opportunistic sale or other disposition of one or more of our majority-held companies could occur in the future, exit transactions are not expected to be a factor in the business plans for Accelsius or Refinity or for future Operating Companies.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was founded in 2015 and currently operates its business under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prospectus and should not be considered a part of this prospectus.</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led by Gregory W. (Bill) Haskell, our CEO, who also serves as a Class I Director; David Yablunosky, our Chief Financial Officer (“CFO”), who also serves as a Class II Director; our Founders, Mike Otworth, who also serves as our Executive Chairman, and Dr. John Scott, who also serves as our Chief Strategy Officer; and Roland Austrup, our Chief Growth Officer; and a strong team of senior leaders that bring experience and expertise in scaling start-ups, capital markets, operations, marketing, and technology evaluation.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As of March 7, 2025, Innventure LLC owns 37.9% of AeroFlexx, and the remainder of AeroFlexx is collectively owned by Innventure and AeroFlexx directors, officers and employees (9.0%); Innventus ESG Fund I, L.P. (the “ESG Fund”) (34.7%); and investors external to Innventure and AeroFlexx</w:t>
      </w:r>
    </w:p>
    <w:p>
      <w:pPr>
        <w:ind w:right="100"/>
        <w:spacing w:after="0" w:line="252" w:lineRule="auto"/>
        <w:rPr>
          <w:sz w:val="20"/>
          <w:szCs w:val="20"/>
          <w:color w:val="auto"/>
        </w:rPr>
      </w:pPr>
      <w:r>
        <w:rPr>
          <w:rFonts w:ascii="Times New Roman" w:cs="Times New Roman" w:eastAsia="Times New Roman" w:hAnsi="Times New Roman"/>
          <w:sz w:val="18"/>
          <w:szCs w:val="18"/>
          <w:color w:val="auto"/>
        </w:rPr>
        <w:t>(18.4%). Further, as of March 7, 2025, Innventure LLC owns 52.7% of Accelsius, and the remainder of Accelsius is collectively owned by Innventure and Accelsius directors, officers, and employees (25.5%), the ESG Fund (4.1%), and investors external to Innventure and Accelsius (17.7%). As of March 7, 2025, Innventure LLC owns 71.8% of Refinity Holdings, LLC (“Refinity Holdings”), an affiliate of Dow is expected to own 5.0%, and the remainder of Refinity Holdings is collectively owned by Innventure and Refinity Holdings directors, officers, and employees (28.2%). Refinity Holdings owns 100% of Refinity. Innventure, through Innventure LLC as its subsidiary, owns 37.9%, 52.7% and 71.8% of AeroFlexx, Accelsius and Refinity Holdings, respectively.</w:t>
      </w:r>
    </w:p>
    <w:p>
      <w:pPr>
        <w:spacing w:after="0" w:line="1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the Business Combination, the Class PCTA Units and Class I Units (as defined below) remain outstanding and their holders retain the limited voting rights attendant thereto with respect to matters concerning Class PCTA and Class I business. Innventure otherwise owns all of the membership interests in Innventure LLC.</w:t>
      </w:r>
    </w:p>
    <w:p>
      <w:pPr>
        <w:spacing w:after="0" w:line="12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Following the Business Combination, the ESG Fund owns 32.5% of AeroFlexx and 4.3% of Accelsius.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2022 alone, the top 100 companies by R&amp;D expenditure spent over $700 billion on R&amp;D. Many patents fail to be commercialized for various reasons, including misalignment with core business strategies, lack of commercialization resources, and poor timing in the market. While MNCs excel at developing well-protected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technologies for their existing businesses, we believe that many MNCs invent additional technologies with significant potential value that may best be realized by a different approach. Our goal is to collaborate with MNCs to 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Closed Loop Partnership Model</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operating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MNC or technology innovator.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MNC itself is an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that will serve as a channel partner that can enable market adoption of the technology that Innventure seeks to commercialize.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to Innventure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Innventure, the Closed Loop partnership model seeks to provide access to disruptive, developed technology solutions from MNCs and other technology innovators that satisfy well-understood and unmet market needs along with the proprietary market and customer data to help Innventure advance the development and commercialization approach. Some of the potential benefits to Innventure include the following:</w:t>
      </w:r>
    </w:p>
    <w:p>
      <w:pPr>
        <w:spacing w:after="0" w:line="120" w:lineRule="exact"/>
        <w:rPr>
          <w:sz w:val="20"/>
          <w:szCs w:val="20"/>
          <w:color w:val="auto"/>
        </w:rPr>
      </w:pPr>
    </w:p>
    <w:p>
      <w:pPr>
        <w:ind w:left="660" w:right="10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Advantage</w:t>
      </w:r>
      <w:r>
        <w:rPr>
          <w:rFonts w:ascii="Times New Roman" w:cs="Times New Roman" w:eastAsia="Times New Roman" w:hAnsi="Times New Roman"/>
          <w:sz w:val="18"/>
          <w:szCs w:val="18"/>
          <w:color w:val="auto"/>
        </w:rPr>
        <w:t>: The relationship with an MNC provides unique access to MNC technologies and/or the information needed to help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 disruptive technology solution in the context of specific unmet market needs. Using both data from the MNC and its own evaluations, Innventure determines if the opportunity should progress to a new Innventure Company.</w:t>
      </w:r>
    </w:p>
    <w:p>
      <w:pPr>
        <w:spacing w:after="0" w:line="119" w:lineRule="exact"/>
        <w:rPr>
          <w:rFonts w:ascii="Times New Roman" w:cs="Times New Roman" w:eastAsia="Times New Roman" w:hAnsi="Times New Roman"/>
          <w:sz w:val="18"/>
          <w:szCs w:val="18"/>
          <w:color w:val="auto"/>
        </w:rPr>
      </w:pPr>
    </w:p>
    <w:p>
      <w:pPr>
        <w:ind w:left="660" w:right="60" w:hanging="328"/>
        <w:spacing w:after="0" w:line="277"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Developed Technology Solutions</w:t>
      </w:r>
      <w:r>
        <w:rPr>
          <w:rFonts w:ascii="Times New Roman" w:cs="Times New Roman" w:eastAsia="Times New Roman" w:hAnsi="Times New Roman"/>
          <w:sz w:val="17"/>
          <w:szCs w:val="17"/>
          <w:color w:val="auto"/>
        </w:rPr>
        <w:t>: MNCs invest significant time, money, and technical expertise in developing and protecting innovative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solutions that satisfy unmet market needs for them and their customers. This all occurs well before Innventure acquires the technology solution. A new Innventure Company that sources the technology solution from an MNC—including IP such as patents and trade secrets, product prototypes, manufacturing equipment, and other assets—has access to the MNC’s technical expertise for transfer and early industrialization of the technology, all of which helps reduce commercialization time, save money, and mitigate common risks inherent to start-ups.</w:t>
      </w:r>
    </w:p>
    <w:p>
      <w:pPr>
        <w:spacing w:after="0" w:line="113" w:lineRule="exact"/>
        <w:rPr>
          <w:rFonts w:ascii="Times New Roman" w:cs="Times New Roman" w:eastAsia="Times New Roman" w:hAnsi="Times New Roman"/>
          <w:sz w:val="17"/>
          <w:szCs w:val="17"/>
          <w:color w:val="auto"/>
        </w:rPr>
      </w:pPr>
    </w:p>
    <w:p>
      <w:pPr>
        <w:ind w:left="660" w:right="10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 Data Set</w:t>
      </w:r>
      <w:r>
        <w:rPr>
          <w:rFonts w:ascii="Times New Roman" w:cs="Times New Roman" w:eastAsia="Times New Roman" w:hAnsi="Times New Roman"/>
          <w:sz w:val="18"/>
          <w:szCs w:val="18"/>
          <w:color w:val="auto"/>
        </w:rPr>
        <w:t>: MNCs also spend significant time and money developing deep, proprietary market knowledge, which is very difficult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new venture to replicate. MNCs are in a position to provide Innventure with highly robust data, including market insights and customer testing, to understand unmet market needs and to assess the technology solution and potential business models.</w:t>
      </w:r>
    </w:p>
    <w:p>
      <w:pPr>
        <w:spacing w:after="0" w:line="119"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Customer Adoption</w:t>
      </w:r>
      <w:r>
        <w:rPr>
          <w:rFonts w:ascii="Times New Roman" w:cs="Times New Roman" w:eastAsia="Times New Roman" w:hAnsi="Times New Roman"/>
          <w:sz w:val="18"/>
          <w:szCs w:val="18"/>
          <w:color w:val="auto"/>
        </w:rPr>
        <w:t>: We believe MNCs with which we collaborate will be motivated to catalyze market adoption of a technology solution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becoming early customers and/or providing channel access to facilitate the initial customer base to drive financial and strategic value. When Innventure sources technology from an entity that is not expected to be a channel partner, it seeks to establish a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Today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Innventure’s business model is the culmination of lessons learned over the past three decades. In 1993, when the first version of what is now Innventure was created, we studied both failed and successful startups to understand how to identify and manage risks to achieve a higher success rate for early-stage companies. We believe we have built a repeatable, systematic, risk managed approach to business building that is substantially different from traditional VC models. Innventure is not a venture capital company. VCs typically make many minority investments, assuming that only a small percentage will succeed and do not operate the underlying companies. In contrast to this approach, Innventure maintains controlling stakes in a limited number of operating companies that we vet, launch, build, fund and operate, with the goal of operating these companies over a long-term period. The Innventure model is designed to help mitigate the significant risks inherent to establishing and building disruptive businesses.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Using our proprietary DownSelect approach, we focus on assessing and mitigating risk well before the new Innventure Company is formed. When we do launch, we believe new Operating Companies are more mature than typical startups, due to the extensive investment by the MNC or other technology innovators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as a Value Driver</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Innventure Companies not only have the potential to create economic value but have also progressed products that have potential for significant positive impact on the environment.</w:t>
      </w:r>
    </w:p>
    <w:p>
      <w:pPr>
        <w:spacing w:after="0" w:line="133" w:lineRule="exact"/>
        <w:rPr>
          <w:sz w:val="20"/>
          <w:szCs w:val="20"/>
          <w:color w:val="auto"/>
        </w:rPr>
      </w:pPr>
    </w:p>
    <w:p>
      <w:pPr>
        <w:ind w:left="66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PureCycle</w:t>
      </w:r>
      <w:r>
        <w:rPr>
          <w:rFonts w:ascii="Times New Roman" w:cs="Times New Roman" w:eastAsia="Times New Roman" w:hAnsi="Times New Roman"/>
          <w:sz w:val="18"/>
          <w:szCs w:val="18"/>
          <w:color w:val="auto"/>
        </w:rPr>
        <w:t>: Purifies and recycles post-industrial and post-consumer polypropylene waste back to a like virgin grade polymer, usable across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applications and markets. PureCycle became a publicly traded company in 2021 and, as of the date of this prospectus, Innventure no longer has an economic interest in PureCycle.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38" w:lineRule="exact"/>
        <w:rPr>
          <w:sz w:val="20"/>
          <w:szCs w:val="20"/>
          <w:color w:val="auto"/>
        </w:rPr>
      </w:pPr>
    </w:p>
    <w:p>
      <w:pPr>
        <w:ind w:left="660" w:right="34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AeroFlexx</w:t>
      </w:r>
      <w:r>
        <w:rPr>
          <w:rFonts w:ascii="Times New Roman" w:cs="Times New Roman" w:eastAsia="Times New Roman" w:hAnsi="Times New Roman"/>
          <w:sz w:val="18"/>
          <w:szCs w:val="18"/>
          <w:color w:val="auto"/>
        </w:rPr>
        <w:t>: Combines the best attributes of flexible pouches and rigid bottles to provide consumer packaged goods (“CPG”) companies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novel, curbside recyclable primarily liquid package that uses up to 85% less virgin plastic than standard rigid bottles, significantly simplifies packaging supply 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mid-2025.</w:t>
      </w:r>
    </w:p>
    <w:p>
      <w:pPr>
        <w:spacing w:after="0" w:line="129"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Accelsius</w:t>
      </w:r>
      <w:r>
        <w:rPr>
          <w:rFonts w:ascii="Times New Roman" w:cs="Times New Roman" w:eastAsia="Times New Roman" w:hAnsi="Times New Roman"/>
          <w:sz w:val="18"/>
          <w:szCs w:val="18"/>
          <w:color w:val="auto"/>
        </w:rPr>
        <w:t>: Delivers a transformative industry solution to thermal management to central processing units (“CPUs”) and graphics processing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(“GPUs”) in datacenter and telecommunications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delivered customer proof-of-concept pilots in Q2 2024.</w:t>
      </w:r>
    </w:p>
    <w:p>
      <w:pPr>
        <w:spacing w:after="0" w:line="12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Refinity</w:t>
      </w:r>
      <w:r>
        <w:rPr>
          <w:rFonts w:ascii="Times New Roman" w:cs="Times New Roman" w:eastAsia="Times New Roman" w:hAnsi="Times New Roman"/>
          <w:sz w:val="18"/>
          <w:szCs w:val="18"/>
          <w:color w:val="auto"/>
        </w:rPr>
        <w:t>: Intends to commercialize process technologies for converting low cost, abundant plastic waste to drop-in chemicals directly useful 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consumable by the existing petrochemical supply chain.</w:t>
      </w:r>
    </w:p>
    <w:p>
      <w:pPr>
        <w:spacing w:after="0" w:line="1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Innventure is committed to long-term sustainability and making the planet a better place to live for all, while simultaneously creating significant enterprise value for our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view our competition through two frameworks: competition to acquire technologies from MNCs and other technology innovators and competition faced by our Operating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Technology Acquirers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and other potential acquirer need to spend significant time and effort building an initial team and starting the business, then transferring and often further incubating technology, developing products, and defining business plans. We don’t believe any VCs and other potential acquirers have a business model that is as comprehensive, vertical agnostic and focused on creating new companies that can achieve a target enterprise value of at least $1 billion as Innventure.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w:t>
      </w:r>
    </w:p>
    <w:p>
      <w:pPr>
        <w:spacing w:after="0" w:line="3"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Company Competition</w:t>
      </w:r>
    </w:p>
    <w:p>
      <w:pPr>
        <w:spacing w:after="0" w:line="175"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Accelsius and Refinity are provided below in the business sections related to each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has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w:t>
      </w:r>
    </w:p>
    <w:p>
      <w:pPr>
        <w:spacing w:after="0" w:line="1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server rack power density and meet the rising demand for efficient cooling systems in datacenters and telecommunication systems.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Compensation and Rewards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Culture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focus on building a workforce that is responsive to customer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 number of employees employed by us and contractors engaged across Innventure, AeroFlexx, Accelsius and Refinity as of March 14, 2025 was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provides a direct-to-chip liquid cooling solution for servers (and other computing devices) in data centers and edge computing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aims to exploit three powerful industry trends that it believes are converging:</w:t>
      </w:r>
    </w:p>
    <w:p>
      <w:pPr>
        <w:spacing w:after="0" w:line="153"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exponential predicted increase in the thermal footprint, or thermal design power (“TDP”), of server and GPU chipsets which are now beginning to exceed the capability of the incumbent refrigerated-air cooling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unpredictable global energy costs;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level of commitment to environmental sustainability, including from C-suites and corporate management teams.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Reducing data center power usage is a significant opportunity to meet public ESG commitments, but the predicted increase in TDP of future servers will make this extremely challenging.</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w:t>
      </w:r>
    </w:p>
    <w:p>
      <w:pPr>
        <w:spacing w:after="0" w:line="12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Increased software stack (including AI) require higher performance processors which increase heat dissipation.</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More powerful servers, routers, switches, cell tower base stations, and other computing equipment require improved system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cooling.</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w:t>
      </w:r>
      <w:r>
        <w:rPr>
          <w:rFonts w:ascii="Times New Roman" w:cs="Times New Roman" w:eastAsia="Times New Roman" w:hAnsi="Times New Roman"/>
          <w:sz w:val="18"/>
          <w:szCs w:val="18"/>
          <w:color w:val="auto"/>
        </w:rPr>
        <w:t>: Denser racks of equipment are dissipating more heat per unit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3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Heat management capacity of data center and telecom facilities are pushing the limits of current air cooling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There are currently 4.1 GW of new data centers planned.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spacing w:after="0" w:line="12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Cost of Ownership Savings</w:t>
      </w:r>
      <w:r>
        <w:rPr>
          <w:rFonts w:ascii="Times New Roman" w:cs="Times New Roman" w:eastAsia="Times New Roman" w:hAnsi="Times New Roman"/>
          <w:sz w:val="18"/>
          <w:szCs w:val="18"/>
          <w:color w:val="auto"/>
        </w:rPr>
        <w:t>: Cooling accounts for approximately 40% of a data center’s energy consumption.</w:t>
      </w:r>
    </w:p>
    <w:p>
      <w:pPr>
        <w:spacing w:after="0" w:line="171" w:lineRule="exact"/>
        <w:rPr>
          <w:rFonts w:ascii="Times New Roman" w:cs="Times New Roman" w:eastAsia="Times New Roman" w:hAnsi="Times New Roman"/>
          <w:sz w:val="18"/>
          <w:szCs w:val="18"/>
          <w:color w:val="auto"/>
        </w:rPr>
      </w:pPr>
    </w:p>
    <w:p>
      <w:pPr>
        <w:ind w:left="660" w:right="8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Space Savings</w:t>
      </w:r>
      <w:r>
        <w:rPr>
          <w:rFonts w:ascii="Times New Roman" w:cs="Times New Roman" w:eastAsia="Times New Roman" w:hAnsi="Times New Roman"/>
          <w:sz w:val="18"/>
          <w:szCs w:val="18"/>
          <w:color w:val="auto"/>
        </w:rPr>
        <w:t>: Accelsius allows data centers to densify, increasing the number of servers per rack, increasing the number of racks per unit area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and increasing revenue for a given data center footprint and reducing costs as less space is used.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Savings</w:t>
      </w:r>
      <w:r>
        <w:rPr>
          <w:rFonts w:ascii="Times New Roman" w:cs="Times New Roman" w:eastAsia="Times New Roman" w:hAnsi="Times New Roman"/>
          <w:sz w:val="18"/>
          <w:szCs w:val="18"/>
          <w:color w:val="auto"/>
        </w:rPr>
        <w:t>: Eliminates air conditioning needs and costs associated with legacy air-cooling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Savings</w:t>
      </w:r>
      <w:r>
        <w:rPr>
          <w:rFonts w:ascii="Times New Roman" w:cs="Times New Roman" w:eastAsia="Times New Roman" w:hAnsi="Times New Roman"/>
          <w:sz w:val="18"/>
          <w:szCs w:val="18"/>
          <w:color w:val="auto"/>
        </w:rPr>
        <w:t>: Potential to eliminate water use in cooling system.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Accelsius solution allows clients to align data center operations with sustainability goals and increasingly competitive commercial requirements:</w:t>
      </w:r>
    </w:p>
    <w:p>
      <w:pPr>
        <w:spacing w:after="0" w:line="169" w:lineRule="exact"/>
        <w:rPr>
          <w:sz w:val="20"/>
          <w:szCs w:val="20"/>
          <w:color w:val="auto"/>
        </w:rPr>
      </w:pPr>
    </w:p>
    <w:p>
      <w:pPr>
        <w:ind w:left="660" w:right="12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Enables the adoption of high wattage processors</w:t>
      </w:r>
      <w:r>
        <w:rPr>
          <w:rFonts w:ascii="Times New Roman" w:cs="Times New Roman" w:eastAsia="Times New Roman" w:hAnsi="Times New Roman"/>
          <w:sz w:val="18"/>
          <w:szCs w:val="18"/>
          <w:color w:val="auto"/>
        </w:rPr>
        <w:t>. The American Society of Heating, Refrigerating and Air-Conditioning Engineers has suggested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exponential increase of CPU and GPU wattages is expected to soon exceed the capacity of most existing air cooling systems.</w:t>
      </w:r>
    </w:p>
    <w:p>
      <w:pPr>
        <w:spacing w:after="0" w:line="104"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Dramatically improves density in the data center</w:t>
      </w:r>
      <w:r>
        <w:rPr>
          <w:rFonts w:ascii="Times New Roman" w:cs="Times New Roman" w:eastAsia="Times New Roman" w:hAnsi="Times New Roman"/>
          <w:sz w:val="18"/>
          <w:szCs w:val="18"/>
          <w:color w:val="auto"/>
        </w:rPr>
        <w:t>. With Accelsius’ technology, air heat syncs are not required, allowing more processing power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server. Racks no longer must be depopulated to allow air flow, nor are cold and hot aisles needed.</w:t>
      </w:r>
    </w:p>
    <w:p>
      <w:pPr>
        <w:spacing w:after="0" w:line="104"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Allows more power to be allocated to computing rather than cooling</w:t>
      </w:r>
      <w:r>
        <w:rPr>
          <w:rFonts w:ascii="Times New Roman" w:cs="Times New Roman" w:eastAsia="Times New Roman" w:hAnsi="Times New Roman"/>
          <w:sz w:val="18"/>
          <w:szCs w:val="18"/>
          <w:color w:val="auto"/>
        </w:rPr>
        <w:t>. An average data center allocates around 40% of their power to cooling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overhead. When power used for cooling is reduced, more incoming power for data centers can be used for computing tasks, and data center capacity can be increased dramatically. We estimate that we can reduce the power allocated to cooling by around 49%.</w:t>
      </w:r>
    </w:p>
    <w:p>
      <w:pPr>
        <w:spacing w:after="0" w:line="11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 compatible with legacy infrastructure</w:t>
      </w:r>
      <w:r>
        <w:rPr>
          <w:rFonts w:ascii="Times New Roman" w:cs="Times New Roman" w:eastAsia="Times New Roman" w:hAnsi="Times New Roman"/>
          <w:sz w:val="18"/>
          <w:szCs w:val="18"/>
          <w:color w:val="auto"/>
        </w:rPr>
        <w:t>. Although new data center builds will prioritize liquid cooling, brownfield sites are still actively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introducing AI / machine learning and other dense workloads. Accelsius technology can fit in a standard rack and connect to existing facility water loops.</w:t>
      </w:r>
    </w:p>
    <w:p>
      <w:pPr>
        <w:spacing w:after="0" w:line="11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Heat removal head room</w:t>
      </w:r>
      <w:r>
        <w:rPr>
          <w:rFonts w:ascii="Times New Roman" w:cs="Times New Roman" w:eastAsia="Times New Roman" w:hAnsi="Times New Roman"/>
          <w:sz w:val="18"/>
          <w:szCs w:val="18"/>
          <w:color w:val="auto"/>
        </w:rPr>
        <w:t>. We believe Accelsius technology will be designed to support not just this generation of processors, but many more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come. Standard CPU power consumption is expected to exceed 500 W and standard GPU power consumption is expected to exceed 700 W by the end of 2025, with high performance GPUs reaching 2000 watts in 2026. Based on the recent trajectory of increasing CPU and GPU power consumption, we believe there is a high likelihood that chips may reach temperatures of up to 2500 watts in the near future. The ability to cool these power processors helps protect the investment in Accelsius’ NeuCool technology.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basic two-phase cooling technology underpinning NeuCool was developed at Nokia Bell Labs over a three-year period from 2019 to 2022. Innventure formed Accelsius in May 2022. Accelsius and Nokia executed a Patent Purchase Agreement dated May 27, 2022, and a Technology License and Know-How Agreement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May 27, 2022, to transfer the passive, two-phase, direct-to-chip cooling technology from Nokia to Accelsius. Subsequently, Accelsius has significantly improved the technology to enhance its thermal cooling effectiveness and productized an active, pumped solution to make it more suitable for high volume production.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Accelsius is an early-stage company that has recently begun revenue-generating operations, including initial shipments of product. Accelsius has been focused on developing and commercializing data center cooling products since its inception in 2022 and delivered its first products to market in Q3 2024. Accelsius has implemented development and applications testing capabilities at its headquarters in Austin, Texas. Accelsius has also built in-house fabrication capabilities for key heat transfer components and set up manufacturing and supply chain infrastructure.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Current manufacturing assets and supply chain infrastructure are anticipated to support market demand through mid- to late-2025, and additional capacity expansions and/or collaboration with selected contract manufacturers will be staged to meet customer needs as demand is expected to grow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 and Growth Strategy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potential size and high growth of the liquid cooling market has attracted several startup competitors across different liquid cooling technologies. This market has seen an influx of single-phase water cooling DLC competitors; however, we believe Accelsius and Zutacore are currently the only two companies that have sold two-phase refrigerant-based solutions in the market. With two-phase DLC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liquid cooling solution that Accelsius offers is well positioned compared to many other liquid cooling solutions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80"/>
          </w:cols>
          <w:pgMar w:left="320" w:top="1440" w:right="399" w:bottom="1440" w:gutter="0" w:footer="0" w:header="0"/>
        </w:sectPr>
      </w:pPr>
    </w:p>
    <w:bookmarkStart w:id="57" w:name="page58"/>
    <w:bookmarkEnd w:id="57"/>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Accelsius’ two phase direct-to-chip liquid cooling technology is an effective alternative to the limitations posed by other liquid cooling technologies. We summarize below some of the operational issues faced by competitive liquid cooling technologies based on that user feedback: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Single-Phase Immersion:</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Expensive (~$100,000 per tank) and with limited thermal headroom (&lt; 50 KW);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modification (re-layout) of server internals for liquid flow and server warranty is usually void;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requires removal of servers from sealed liquid cooling baths and is time consuming and expensive;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Forklift upgrade of existing rack infrastructure and inefficient use of real estate;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Green Revolution Cooling, and TMGCore.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Two-Phase Immersion: In addition to the issues outlined above, two-phase immersion is also:</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expensive (~$175,000 per tank);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Vapor can get trapped in the servers causing localized hot spots;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few pilot implementations are expanded on because “no one wants tanks full of perfluoroalkyl and polyfluoroalkyl substances coolant in the data center;”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TMGCore and Submer.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Single-Phase Direct-to-Chip (e.g., water):</w:t>
      </w:r>
    </w:p>
    <w:p>
      <w:pPr>
        <w:spacing w:after="0" w:line="171" w:lineRule="exact"/>
        <w:rPr>
          <w:sz w:val="20"/>
          <w:szCs w:val="20"/>
          <w:color w:val="auto"/>
        </w:rPr>
      </w:pPr>
    </w:p>
    <w:p>
      <w:pPr>
        <w:ind w:left="660" w:right="8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leaks that can cause catastrophic failure in servers and are the most significant risk. Users state that water leaks around electronic components have occurred and destroyed the servers: “Not a question of ‘if’ it will leak, but ‘when’ it will leak”;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Bio-fouling (biofilm build up) within pipes and cold plates is a concern;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higher thermal densities requires large pumps and high pressure/flow rate of water (increasing chance of leaks &amp; electricity use);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CoolIT Systems and STULZ.</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AeroFlexx and Refinity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320" w:top="1440" w:right="379" w:bottom="1440" w:gutter="0" w:footer="0" w:header="0"/>
        </w:sectPr>
      </w:pPr>
    </w:p>
    <w:bookmarkStart w:id="58" w:name="page59"/>
    <w:bookmarkEnd w:id="58"/>
    <w:p>
      <w:pPr>
        <w:spacing w:after="0" w:line="136"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recycled content and can be curbside recyclable where all plastic bottles are accepted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Prior to filling, the package is shipped in a freight efficient flat pak format that reduces supply chain cost and complexity.</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w:t>
      </w:r>
    </w:p>
    <w:p>
      <w:pPr>
        <w:spacing w:after="0" w:line="12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AeroFlexx is headquartered in West Chester, Ohio. The firm’s 27,082 square foot facility currently has the initial commercial line installed with a nameplate design capacity of over 50 million units per year. We expect that two additional lines will be launched by the end of the second quarter of 2025.</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yields that Refinity believes its fluidized bed process will convert plastic waste to drop-in chemicals, 240 million tonnes per year of plastic waste could be converted to hydrocarbon liquids and olefin gases valued at $150-200 billion annually. Further, with increasing consumer demand for more sustainable packaging; regulatory focus on restricting plastic waste exports, landfill, and incineration; and minimum recycled plastic content requirements, all of which could enable premiums for sustainable plastics (including sustainable feedstocks, such as naphtha or light olefins, for polymer and plastic production), the market for plastic recycling is strengthening.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26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27" w:lineRule="exact"/>
        <w:rPr>
          <w:sz w:val="20"/>
          <w:szCs w:val="20"/>
          <w:color w:val="auto"/>
        </w:rPr>
      </w:pPr>
    </w:p>
    <w:p>
      <w:pPr>
        <w:ind w:left="100" w:hanging="92"/>
        <w:spacing w:after="0"/>
        <w:tabs>
          <w:tab w:leader="none" w:pos="10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Not recyclable in all communities. Check locally.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global recycled plastics market size was valued at $51 billion in 2023 and is projected to grow to $107 billion by 2032. Current market prices for naphtha substitutes (e.g., hydrotreated pyrolysis oils and sustainable/circular naphtha) frequently indicate a significant premium over fossil naphtha.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w:t>
      </w:r>
    </w:p>
    <w:p>
      <w:pPr>
        <w:spacing w:after="0" w:line="12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Package Circularity</w:t>
      </w:r>
      <w:r>
        <w:rPr>
          <w:rFonts w:ascii="Times New Roman" w:cs="Times New Roman" w:eastAsia="Times New Roman" w:hAnsi="Times New Roman"/>
          <w:sz w:val="18"/>
          <w:szCs w:val="18"/>
          <w:color w:val="auto"/>
        </w:rPr>
        <w:t>: AeroFlexx packaging can incorporate up to 50% recycled content without compromise.</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 Cycle Analysis</w:t>
      </w:r>
      <w:r>
        <w:rPr>
          <w:rFonts w:ascii="Times New Roman" w:cs="Times New Roman" w:eastAsia="Times New Roman" w:hAnsi="Times New Roman"/>
          <w:sz w:val="18"/>
          <w:szCs w:val="18"/>
          <w:color w:val="auto"/>
        </w:rPr>
        <w:t>: By considering source reduction, recycled content, recyclability and eliminating excess packaging material in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AeroFlexx can deliver up to 83% less waste to landfills, 69% GHG reduction, and 73% less water use.</w:t>
      </w:r>
    </w:p>
    <w:p>
      <w:pPr>
        <w:spacing w:after="0" w:line="104" w:lineRule="exact"/>
        <w:rPr>
          <w:rFonts w:ascii="Times New Roman" w:cs="Times New Roman" w:eastAsia="Times New Roman" w:hAnsi="Times New Roman"/>
          <w:sz w:val="18"/>
          <w:szCs w:val="18"/>
          <w:color w:val="auto"/>
        </w:rPr>
      </w:pPr>
    </w:p>
    <w:p>
      <w:pPr>
        <w:ind w:left="660" w:right="500" w:hanging="328"/>
        <w:spacing w:after="0" w:line="315"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UN Sustainable Goals Alignment</w:t>
      </w:r>
      <w:r>
        <w:rPr>
          <w:rFonts w:ascii="Times New Roman" w:cs="Times New Roman" w:eastAsia="Times New Roman" w:hAnsi="Times New Roman"/>
          <w:sz w:val="17"/>
          <w:szCs w:val="17"/>
          <w:color w:val="auto"/>
        </w:rPr>
        <w:t>: AeroFlexx can contribute to meeting several of the sustainable development goals outlined by the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Nations, including industry, innovation, and infrastructure; responsible consumption and production; climate action; and life below water.</w:t>
      </w:r>
    </w:p>
    <w:p>
      <w:pPr>
        <w:spacing w:after="0" w:line="80" w:lineRule="exact"/>
        <w:rPr>
          <w:rFonts w:ascii="Times New Roman" w:cs="Times New Roman" w:eastAsia="Times New Roman" w:hAnsi="Times New Roman"/>
          <w:sz w:val="17"/>
          <w:szCs w:val="17"/>
          <w:color w:val="auto"/>
        </w:rPr>
      </w:pPr>
    </w:p>
    <w:p>
      <w:pPr>
        <w:ind w:left="660" w:right="10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GHG emissions reduction relative to plastic waste incineration or pyrolysis</w:t>
      </w:r>
      <w:r>
        <w:rPr>
          <w:rFonts w:ascii="Times New Roman" w:cs="Times New Roman" w:eastAsia="Times New Roman" w:hAnsi="Times New Roman"/>
          <w:sz w:val="18"/>
          <w:szCs w:val="18"/>
          <w:color w:val="auto"/>
        </w:rPr>
        <w:t>: Internal LCA analysis indicated about -400 kg CO2-eq/tonne plastic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for the Refinity fluidized bed conversion process compared to 1777 kg CO2-eq/tonne plastic waste for incineration and 739 kg CO2-eq/tonne plastic waste for pyrolysis, so Refinity believes that its process will reduce GHG emissions.</w:t>
      </w:r>
    </w:p>
    <w:p>
      <w:pPr>
        <w:spacing w:after="0" w:line="11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Fossil source reduction</w:t>
      </w:r>
      <w:r>
        <w:rPr>
          <w:rFonts w:ascii="Times New Roman" w:cs="Times New Roman" w:eastAsia="Times New Roman" w:hAnsi="Times New Roman"/>
          <w:sz w:val="18"/>
          <w:szCs w:val="18"/>
          <w:color w:val="auto"/>
        </w:rPr>
        <w:t>: If all plastic waste from landfill and incineration (240 million tonnes per year) were converted to hydrocarbon liquids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(e.g., naphtha substitute) at yields consistent with what Refinity believes are possible in the fluidized bed process, those hydrocarbon liquids could replace up to 80% of fossil naphtha; saving roughly 96 million tonnes per year of CO2-eq emissions.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AeroFlexx can help drive growth and overall profitability through significant supply chain savings. This is accomplished through several supply chain benefits of the AeroFlexx pak:</w:t>
      </w:r>
    </w:p>
    <w:p>
      <w:pPr>
        <w:spacing w:after="0" w:line="106" w:lineRule="exact"/>
        <w:rPr>
          <w:sz w:val="20"/>
          <w:szCs w:val="20"/>
          <w:color w:val="auto"/>
        </w:rPr>
      </w:pPr>
    </w:p>
    <w:p>
      <w:pPr>
        <w:ind w:left="660" w:right="20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Reduces Complexity of Sourcing</w:t>
      </w:r>
      <w:r>
        <w:rPr>
          <w:rFonts w:ascii="Times New Roman" w:cs="Times New Roman" w:eastAsia="Times New Roman" w:hAnsi="Times New Roman"/>
          <w:sz w:val="18"/>
          <w:szCs w:val="18"/>
          <w:color w:val="auto"/>
        </w:rPr>
        <w:t>: AeroFlexx ships as a flat pak and replaces the bottle, cap and label that customers must procure from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and destinations.</w:t>
      </w:r>
    </w:p>
    <w:p>
      <w:pPr>
        <w:spacing w:after="0" w:line="104"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Reduced Transportation Cost and Footprint</w:t>
      </w:r>
      <w:r>
        <w:rPr>
          <w:rFonts w:ascii="Times New Roman" w:cs="Times New Roman" w:eastAsia="Times New Roman" w:hAnsi="Times New Roman"/>
          <w:sz w:val="18"/>
          <w:szCs w:val="18"/>
          <w:color w:val="auto"/>
        </w:rPr>
        <w:t>: prior to filling the package, shipping as a flat pak creates a form factor that takes up less than 10%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space in shipping of an equivalent pre-formed empty rigid bottle, in addition to eliminating the need for cap and label supply chains. This reduces cost and environmental footprint by taking trucks off the road.</w:t>
      </w:r>
    </w:p>
    <w:p>
      <w:pPr>
        <w:spacing w:after="0" w:line="119"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Lowers Warehouse Requirements and Inventory Cost</w:t>
      </w:r>
      <w:r>
        <w:rPr>
          <w:rFonts w:ascii="Times New Roman" w:cs="Times New Roman" w:eastAsia="Times New Roman" w:hAnsi="Times New Roman"/>
          <w:sz w:val="18"/>
          <w:szCs w:val="18"/>
          <w:color w:val="auto"/>
        </w:rPr>
        <w:t>: with the AeroFlexx flat pak replacing pre-formed empty bottles, caps and labels, 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reduction in the need for inventory space and overall cost associated with labor and working capital.</w:t>
      </w:r>
    </w:p>
    <w:p>
      <w:pPr>
        <w:spacing w:after="0" w:line="104"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ISTA-6 Amazon Approved</w:t>
      </w:r>
      <w:r>
        <w:rPr>
          <w:rFonts w:ascii="Times New Roman" w:cs="Times New Roman" w:eastAsia="Times New Roman" w:hAnsi="Times New Roman"/>
          <w:sz w:val="18"/>
          <w:szCs w:val="18"/>
          <w:color w:val="auto"/>
        </w:rPr>
        <w:t>: for shipping liquids via the e-commerce channel, reductions in damages from breakage, leakage and handling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significant savings through lower returns or refund rates and reduced overall package and labor costs.</w:t>
      </w:r>
    </w:p>
    <w:p>
      <w:pPr>
        <w:spacing w:after="0" w:line="104" w:lineRule="exact"/>
        <w:rPr>
          <w:rFonts w:ascii="Times New Roman" w:cs="Times New Roman" w:eastAsia="Times New Roman" w:hAnsi="Times New Roman"/>
          <w:sz w:val="18"/>
          <w:szCs w:val="18"/>
          <w:color w:val="auto"/>
        </w:rPr>
      </w:pPr>
    </w:p>
    <w:p>
      <w:pPr>
        <w:ind w:left="660" w:right="38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Omni-Channel Ready</w:t>
      </w:r>
      <w:r>
        <w:rPr>
          <w:rFonts w:ascii="Times New Roman" w:cs="Times New Roman" w:eastAsia="Times New Roman" w:hAnsi="Times New Roman"/>
          <w:sz w:val="18"/>
          <w:szCs w:val="18"/>
          <w:color w:val="auto"/>
        </w:rPr>
        <w:t>: the pak is omni-channel ready as soon as it is filled with liquid product from the AeroFlexx filling machine,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eliminate stock keeping unit proliferation based on desired sales distribution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320" w:top="1440" w:right="379" w:bottom="1440" w:gutter="0" w:footer="0" w:header="0"/>
        </w:sectPr>
      </w:pPr>
    </w:p>
    <w:bookmarkStart w:id="60" w:name="page61"/>
    <w:bookmarkEnd w:id="60"/>
    <w:p>
      <w:pPr>
        <w:spacing w:after="0" w:line="138" w:lineRule="exact"/>
        <w:rPr>
          <w:sz w:val="20"/>
          <w:szCs w:val="20"/>
          <w:color w:val="auto"/>
        </w:rPr>
      </w:pPr>
    </w:p>
    <w:p>
      <w:pPr>
        <w:ind w:left="660" w:right="380" w:hanging="328"/>
        <w:spacing w:after="0" w:line="28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Size/Shape Development Efficiency</w:t>
      </w:r>
      <w:r>
        <w:rPr>
          <w:rFonts w:ascii="Times New Roman" w:cs="Times New Roman" w:eastAsia="Times New Roman" w:hAnsi="Times New Roman"/>
          <w:sz w:val="18"/>
          <w:szCs w:val="18"/>
          <w:color w:val="auto"/>
        </w:rPr>
        <w:t>: flexible manufacturing eliminates the need for capital intensive molds and tooling costs,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rapid adoption at a much lower cost.</w:t>
      </w:r>
    </w:p>
    <w:p>
      <w:pPr>
        <w:spacing w:after="0" w:line="104" w:lineRule="exact"/>
        <w:rPr>
          <w:rFonts w:ascii="Times New Roman" w:cs="Times New Roman" w:eastAsia="Times New Roman" w:hAnsi="Times New Roman"/>
          <w:sz w:val="18"/>
          <w:szCs w:val="18"/>
          <w:color w:val="auto"/>
        </w:rPr>
      </w:pPr>
    </w:p>
    <w:p>
      <w:pPr>
        <w:ind w:left="660" w:right="44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Safety</w:t>
      </w:r>
      <w:r>
        <w:rPr>
          <w:rFonts w:ascii="Times New Roman" w:cs="Times New Roman" w:eastAsia="Times New Roman" w:hAnsi="Times New Roman"/>
          <w:sz w:val="18"/>
          <w:szCs w:val="18"/>
          <w:color w:val="auto"/>
        </w:rPr>
        <w:t>: designed with hygiene in mind with tamper proof packaging that eliminates the use of a discrete closure with AeroFlexx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integrated valve (e.g., no need for a separate cap, pump or package sealing and dispensing device) to help keep products safe and prevent product losses.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Currently, the limitations for Refinity’s clients to fully embrace and scale plastic circularity is economic viability and plastic waste sourcing. Refinity believes that its fluidized bed process provides unique benefits that:</w:t>
      </w:r>
    </w:p>
    <w:p>
      <w:pPr>
        <w:spacing w:after="0" w:line="106" w:lineRule="exact"/>
        <w:rPr>
          <w:sz w:val="20"/>
          <w:szCs w:val="20"/>
          <w:color w:val="auto"/>
        </w:rPr>
      </w:pPr>
    </w:p>
    <w:p>
      <w:pPr>
        <w:ind w:left="660" w:right="360" w:hanging="328"/>
        <w:spacing w:after="0" w:line="26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Enable higher yield conversion of plastic waste to olefin gases and hydrocarbon liquids</w:t>
      </w:r>
      <w:r>
        <w:rPr>
          <w:rFonts w:ascii="Times New Roman" w:cs="Times New Roman" w:eastAsia="Times New Roman" w:hAnsi="Times New Roman"/>
          <w:sz w:val="18"/>
          <w:szCs w:val="18"/>
          <w:color w:val="auto"/>
        </w:rPr>
        <w:t>. VTT has demonstrated that the fluidized bed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converts plastic waste to olefin gases at higher yield than conventional pyrolysis processes, potentially enabling two to three times higher productivity when the fluidized bed process feeds olefin gases directly to petrochemical steam cracker operations.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 use of low cost, mixed plastic wastes</w:t>
      </w:r>
      <w:r>
        <w:rPr>
          <w:rFonts w:ascii="Times New Roman" w:cs="Times New Roman" w:eastAsia="Times New Roman" w:hAnsi="Times New Roman"/>
          <w:sz w:val="18"/>
          <w:szCs w:val="18"/>
          <w:color w:val="auto"/>
        </w:rPr>
        <w:t>. Unlike incumbent recycling processes which typically require more sorting and pre-cleaning of plastic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wastes, Refinity believes that the fluidized bed process will be more robust to minimally-sorted, mixed plastic waste streams.</w:t>
      </w:r>
    </w:p>
    <w:p>
      <w:pPr>
        <w:spacing w:after="0" w:line="104"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Enable plant site flexibility</w:t>
      </w:r>
      <w:r>
        <w:rPr>
          <w:rFonts w:ascii="Times New Roman" w:cs="Times New Roman" w:eastAsia="Times New Roman" w:hAnsi="Times New Roman"/>
          <w:sz w:val="18"/>
          <w:szCs w:val="18"/>
          <w:color w:val="auto"/>
        </w:rPr>
        <w:t>. We believe that the Refinity fluidized bed operating conditions can be tuned to allow for production of either olefin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and propylene) gases and 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fluidized bed conversion technology underpinning Refinity was developed at VTT from 2014 to 2024. Innventure developed a collaboration with VTT and Dow during 2024 and formed Refinity in December 2024. Refinity and VTT executed a definitive agreement on December 11, 2024, and exclusively licensed a portfolio of advanced conversion of mixed plastic waste patents and patent applications from VTT. Innventure and Dow executed a collaboration agreement on December 13, 2024, for the companies to work together, including through Refinity, to scale and commercialize technologies aimed at converting mixed waste, including hard-to-recycle plastic waste, to petrochemical feedstocks.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late 2023, AeroFlexx installed and commissioned its second converter, and the first to utilize recyclable film, in West Chester, Ohio. AeroFlexx’s next converter has been installed and is expected to be fully commissioned by the end of the second quarter of 2025. 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to be sufficient to meet projected demand through mid-2025, with additional capacity expansions being staged to meet customer needs as offtake agreements and customer traction warrants.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Refinity is an early-stage company that is just beginning operations. In the first quarter of 2025, Refinity is building internal staff and developing capabilities to commercialize the fluidized bed technology licensed from VTT. Refinity is advancing its plastic waste sourcing strategy and has commissioned experimental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2025. Refinity is working both independently and with Dow to identify candidate sites for first commercial demonstration plant and is engaging Engineering, Procurement, and Construction (EPC) firms to begin design work for the first plant.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 and Growth Strategy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AeroFlexx is currently targeting CPG companies that utilize either rigid bottle with caps, pumps, or pouch packaging to deliver their liquid products to consumers. 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Refinity will sell drop-in liquid and gas phase chemicals to petrochemical company customers, including Dow. Other prospective customers include multinationals such as BASF, CP Chem, SABIC, LyondellBasell, and Shell. 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 In addition, a market for liquid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Mura/Licella, Eastman Chemical, and ExxonMobil use thermochemical conversion processes to convert plastic waste to hydrocarbon liquids.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Refinity is in the process of developing a comprehensive IP strategy that will build upon the portfolio of advanced recycling of mixed plastic waste patents and patent applications exclusively licensed from VTT.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Gregory William (“Bill”) Haskell</w:t>
      </w:r>
      <w:r>
        <w:rPr>
          <w:rFonts w:ascii="Times New Roman" w:cs="Times New Roman" w:eastAsia="Times New Roman" w:hAnsi="Times New Roman"/>
          <w:sz w:val="18"/>
          <w:szCs w:val="18"/>
          <w:color w:val="auto"/>
        </w:rPr>
        <w:t>, 68, is Innventure’s CEO and a Class I director. Mr. Haskell previously served as Chief Executive Officer and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Daniel J. Hennessy</w:t>
      </w:r>
      <w:r>
        <w:rPr>
          <w:rFonts w:ascii="Times New Roman" w:cs="Times New Roman" w:eastAsia="Times New Roman" w:hAnsi="Times New Roman"/>
          <w:sz w:val="18"/>
          <w:szCs w:val="18"/>
          <w:color w:val="auto"/>
        </w:rPr>
        <w:t>, 67, is a Class I director and Learn CW’s director designee pursuant to the terms of the Business Combination Agreement.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Hennessy currently serves as Chairman and CEO of Hennessy Capital Investment Corp. VII (NASDAQ: HVII) and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Michael Amalfitano</w:t>
      </w:r>
      <w:r>
        <w:rPr>
          <w:rFonts w:ascii="Times New Roman" w:cs="Times New Roman" w:eastAsia="Times New Roman" w:hAnsi="Times New Roman"/>
          <w:sz w:val="18"/>
          <w:szCs w:val="18"/>
          <w:color w:val="auto"/>
        </w:rPr>
        <w:t>, 64, is a Class I director of Innventure. Mr. Amalfitano has served as the President and CEO of Embraer Executive Aircraft, Inc.,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Company believes that Mr. Amalfitano is well qualified to serve as a member of the Board due to his years of executive leadership and public company director experience.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Yablunosky</w:t>
      </w:r>
      <w:r>
        <w:rPr>
          <w:rFonts w:ascii="Times New Roman" w:cs="Times New Roman" w:eastAsia="Times New Roman" w:hAnsi="Times New Roman"/>
          <w:sz w:val="18"/>
          <w:szCs w:val="18"/>
          <w:color w:val="auto"/>
        </w:rPr>
        <w:t>, 63, is Innventure’s CFO and a Class II director. Mr. Yablunosky has served as CFO of Innventure LLC since 2023. Previously, he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CFO of Embraer Aircraft Holding, Inc., the 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James (“Jim”) O. Donnally</w:t>
      </w:r>
      <w:r>
        <w:rPr>
          <w:rFonts w:ascii="Times New Roman" w:cs="Times New Roman" w:eastAsia="Times New Roman" w:hAnsi="Times New Roman"/>
          <w:sz w:val="18"/>
          <w:szCs w:val="18"/>
          <w:color w:val="auto"/>
        </w:rPr>
        <w:t>, 60, is a Class II director of Innventure. Mr. Donnally has served as a Manager of Innventure LLC since 2015 and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Member of Bellringer Consulting Group, LLC, a startup consulting company and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Bruce Brown</w:t>
      </w:r>
      <w:r>
        <w:rPr>
          <w:rFonts w:ascii="Times New Roman" w:cs="Times New Roman" w:eastAsia="Times New Roman" w:hAnsi="Times New Roman"/>
          <w:sz w:val="18"/>
          <w:szCs w:val="18"/>
          <w:color w:val="auto"/>
        </w:rPr>
        <w:t>, 66, is a Class II director of Innventure. Mr. Brown retired from P&amp;G in 2014 after 34 years of service, including six years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Michael (“Mike”) Otworth</w:t>
      </w:r>
      <w:r>
        <w:rPr>
          <w:rFonts w:ascii="Times New Roman" w:cs="Times New Roman" w:eastAsia="Times New Roman" w:hAnsi="Times New Roman"/>
          <w:sz w:val="18"/>
          <w:szCs w:val="18"/>
          <w:color w:val="auto"/>
        </w:rPr>
        <w:t>, 63, is Innventure’s Executive Chairman and a Class III director. Mr. Otworth has served as Executive Chairman of Innventure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Suzanne Niemeyer</w:t>
      </w:r>
      <w:r>
        <w:rPr>
          <w:rFonts w:ascii="Times New Roman" w:cs="Times New Roman" w:eastAsia="Times New Roman" w:hAnsi="Times New Roman"/>
          <w:sz w:val="18"/>
          <w:szCs w:val="18"/>
          <w:color w:val="auto"/>
        </w:rPr>
        <w:t>, 54, is Innventure’s General Counsel and a Class III director. She also serves as a director for Refinity Holdings, LLC. Ms. Niemeyer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w:t>
      </w:r>
    </w:p>
    <w:p>
      <w:pPr>
        <w:spacing w:after="0" w:line="1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Elizabeth Williams</w:t>
      </w:r>
      <w:r>
        <w:rPr>
          <w:rFonts w:ascii="Times New Roman" w:cs="Times New Roman" w:eastAsia="Times New Roman" w:hAnsi="Times New Roman"/>
          <w:sz w:val="18"/>
          <w:szCs w:val="18"/>
          <w:color w:val="auto"/>
        </w:rPr>
        <w:t>, 56, is a Class III director of Innventure. Ms. Williams has served as Managing Partner and Founder of &amp;Minds Partners, a consulting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Mr. Haskell, our CEO, Mr. Yablunosky and our CFO, Mr. Otworth, our Executive Chairman, our executive officers are:</w:t>
      </w:r>
    </w:p>
    <w:p>
      <w:pPr>
        <w:spacing w:after="0" w:line="16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John Scott</w:t>
      </w:r>
      <w:r>
        <w:rPr>
          <w:rFonts w:ascii="Times New Roman" w:cs="Times New Roman" w:eastAsia="Times New Roman" w:hAnsi="Times New Roman"/>
          <w:sz w:val="18"/>
          <w:szCs w:val="18"/>
          <w:color w:val="auto"/>
        </w:rPr>
        <w:t>, 74, is Innventure’s Chief Strategy Officer. Dr. Scott has served as Chief Strategy Officer at Innventure LLC since 2015. Prior to co-founding Innventure LLC, Dr. Scott served as Founder and CEO of XLTG,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Roland Austrup</w:t>
      </w:r>
      <w:r>
        <w:rPr>
          <w:rFonts w:ascii="Times New Roman" w:cs="Times New Roman" w:eastAsia="Times New Roman" w:hAnsi="Times New Roman"/>
          <w:sz w:val="17"/>
          <w:szCs w:val="17"/>
          <w:color w:val="auto"/>
        </w:rPr>
        <w:t>, 61, is Innventure’s Chief Growth Officer. Roland has served as Innventure LLC’s Chief Growth Officer since June 2024 and 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Innventure LLC’s Executive Committee since 2023. Prior to his change of title to Chief Growth Officer in June 2024, Mr. Austrup had served as Head of Capital Markets since 2023, and he also previously served as Innventure LLC’s CFO from 2021 to 2023. Since 2019, Mr. Austrup has served as Chairman</w:t>
      </w:r>
    </w:p>
    <w:p>
      <w:pPr>
        <w:spacing w:after="0" w:line="1" w:lineRule="exact"/>
        <w:rPr>
          <w:sz w:val="20"/>
          <w:szCs w:val="20"/>
          <w:color w:val="auto"/>
        </w:rPr>
      </w:pPr>
    </w:p>
    <w:p>
      <w:pPr>
        <w:jc w:val="both"/>
        <w:ind w:right="40" w:firstLine="8"/>
        <w:spacing w:after="0" w:line="253" w:lineRule="auto"/>
        <w:tabs>
          <w:tab w:leader="none" w:pos="1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series of preferred stock outstanding, directors may be removed only for cause by an affirmative vote of at least two-thirds of the total voting power, at a meeting called for that purpose. The authorized number of directors may be changed by resolution of our Board. Vacancies on our Board can be filled by resolution of our Board.</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22" w:lineRule="exact"/>
        <w:rPr>
          <w:sz w:val="20"/>
          <w:szCs w:val="20"/>
          <w:color w:val="auto"/>
        </w:rPr>
      </w:pPr>
    </w:p>
    <w:p>
      <w:pPr>
        <w:ind w:left="660" w:right="6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Gregory W. Haskell, Daniel J. Hennessy and Michael Amalfitano, and their terms will expire at this year’s annual meeting;</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Yablunosky, James O. Donnally and Bruce Brown, and their terms will expire at the annual meeting of stockholders to be held in 2026; and</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expire at the annual meeting of stockholders to be held in 2027.</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to Nominate Certain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Hennessy is a director designated by Learn CW pursuant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Closing,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 so long as the Founding Investors beneficially own at least 5%, but less than 20%, of the outstanding common shares of the Company.</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four (4) Founding Investor Nominees.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 &amp; Filling Vacancies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Article VI of our Certificate of Incorporation, subject to the rights, if any, of the holders of any series of preferred stock and the rights of Learn CW and the Founding Investors under the Business Combination Agreement and 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Additionally, for so long as Learn CW has the right to select one director to the Board, any vacancy with respect to the Learn CW director may only be filled by Learn CW.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2024, our Board had an Audit Committee, a Compensation Committee, and a N&amp;CG Committee to support the full Board with various risk management governance, and strategic responsibilities. The current members of these committees are described below.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Committee Assignments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Donnally</w:t>
            </w:r>
          </w:p>
        </w:tc>
        <w:tc>
          <w:tcPr>
            <w:tcW w:w="7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Brown</w:t>
            </w:r>
          </w:p>
        </w:tc>
        <w:tc>
          <w:tcPr>
            <w:tcW w:w="9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Williams</w:t>
            </w:r>
          </w:p>
        </w:tc>
        <w:tc>
          <w:tcPr>
            <w:tcW w:w="10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Hennessy</w:t>
            </w:r>
          </w:p>
        </w:tc>
        <w:tc>
          <w:tcPr>
            <w:tcW w:w="11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Amalfitano</w:t>
            </w: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Haskell*</w:t>
            </w:r>
          </w:p>
        </w:tc>
        <w:tc>
          <w:tcPr>
            <w:tcW w:w="13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Yablunosky*</w:t>
            </w: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Otworth*</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Niemeyer*</w:t>
            </w:r>
          </w:p>
        </w:tc>
      </w:tr>
      <w:tr>
        <w:trPr>
          <w:trHeight w:val="22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N&amp;CG</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0"/>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All standing committee members are independent.</w:t>
      </w:r>
    </w:p>
    <w:p>
      <w:pPr>
        <w:spacing w:after="0" w:line="1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independent</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member of our three standing committees is independent under applicable SEC and NASDAQ rules. Therefore, Mr. Haskell, Mr. Yablunosky, Mr. Otworth and Ms. Niemeyer do not serve on any of our three standing committees. The Board has determined that the members of the Audit Committee meet the requirements for independence of Audit Committee members under applicable SEC and NASDAQ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6" w:lineRule="exact"/>
        <w:rPr>
          <w:sz w:val="20"/>
          <w:szCs w:val="20"/>
          <w:color w:val="auto"/>
        </w:rPr>
      </w:pPr>
    </w:p>
    <w:p>
      <w:pPr>
        <w:ind w:right="2820" w:firstLine="2823"/>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EXECUTIVE AND DIRECTOR COMPENSATION OF INNVENTURE </w:t>
      </w:r>
      <w:r>
        <w:rPr>
          <w:rFonts w:ascii="Times New Roman" w:cs="Times New Roman" w:eastAsia="Times New Roman" w:hAnsi="Times New Roman"/>
          <w:sz w:val="18"/>
          <w:szCs w:val="18"/>
          <w:i w:val="1"/>
          <w:iCs w:val="1"/>
          <w:color w:val="auto"/>
        </w:rPr>
        <w:t>All dollar amounts (“$”) in this section reflect actual amounts.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Gregory W. (Bill) Haskell was Innventure’s principal executive officer for the entirety of 2024. The two most highly compensated executive officers of Innventure that were serving in such capacity at the end of 2024 (other than Mr. Haskell) were Mike Otworth and Dr. John Scott.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for the fiscal year ended December 31, 2024, Innventure’s NEOs were:</w:t>
      </w:r>
    </w:p>
    <w:p>
      <w:pPr>
        <w:spacing w:after="0" w:line="17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Manager;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Otworth, Executive Chairman;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Business Combination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Innventure’s NEOs for 2024 and 2023, as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Fiscal Year</w:t>
            </w: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Salary ($)</w:t>
            </w:r>
            <w:r>
              <w:rPr>
                <w:rFonts w:ascii="Times New Roman" w:cs="Times New Roman" w:eastAsia="Times New Roman" w:hAnsi="Times New Roman"/>
                <w:sz w:val="14"/>
                <w:szCs w:val="14"/>
                <w:b w:val="1"/>
                <w:bCs w:val="1"/>
                <w:color w:val="auto"/>
                <w:vertAlign w:val="superscript"/>
              </w:rPr>
              <w:t>(1)</w:t>
            </w:r>
          </w:p>
        </w:tc>
        <w:tc>
          <w:tcPr>
            <w:tcW w:w="1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Bonus ($)</w:t>
            </w:r>
            <w:r>
              <w:rPr>
                <w:rFonts w:ascii="Times New Roman" w:cs="Times New Roman" w:eastAsia="Times New Roman" w:hAnsi="Times New Roman"/>
                <w:sz w:val="14"/>
                <w:szCs w:val="14"/>
                <w:b w:val="1"/>
                <w:bCs w:val="1"/>
                <w:color w:val="auto"/>
                <w:vertAlign w:val="superscript"/>
              </w:rPr>
              <w:t>(2)</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Stock Awards ($)</w:t>
            </w:r>
            <w:r>
              <w:rPr>
                <w:rFonts w:ascii="Times New Roman" w:cs="Times New Roman" w:eastAsia="Times New Roman" w:hAnsi="Times New Roman"/>
                <w:sz w:val="14"/>
                <w:szCs w:val="14"/>
                <w:b w:val="1"/>
                <w:bCs w:val="1"/>
                <w:color w:val="auto"/>
                <w:vertAlign w:val="superscript"/>
              </w:rPr>
              <w:t>(3)</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Option Awards ($)</w:t>
            </w:r>
            <w:r>
              <w:rPr>
                <w:rFonts w:ascii="Times New Roman" w:cs="Times New Roman" w:eastAsia="Times New Roman" w:hAnsi="Times New Roman"/>
                <w:sz w:val="14"/>
                <w:szCs w:val="14"/>
                <w:b w:val="1"/>
                <w:bCs w:val="1"/>
                <w:color w:val="auto"/>
                <w:vertAlign w:val="superscript"/>
              </w:rPr>
              <w:t>(4)</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Non-Equity Incentive</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120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62"/>
        </w:trPr>
        <w:tc>
          <w:tcPr>
            <w:tcW w:w="19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Plan Compensation ($)</w:t>
            </w:r>
          </w:p>
        </w:tc>
        <w:tc>
          <w:tcPr>
            <w:tcW w:w="1180" w:type="dxa"/>
            <w:vAlign w:val="bottom"/>
          </w:tcPr>
          <w:p>
            <w:pPr>
              <w:jc w:val="right"/>
              <w:ind w:right="415"/>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(5)</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Gregory W. (Bill) Haskell</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2,813,800</w:t>
            </w:r>
          </w:p>
        </w:tc>
        <w:tc>
          <w:tcPr>
            <w:tcW w:w="0" w:type="dxa"/>
            <w:vAlign w:val="bottom"/>
          </w:tcPr>
          <w:p>
            <w:pPr>
              <w:spacing w:after="0"/>
              <w:rPr>
                <w:sz w:val="1"/>
                <w:szCs w:val="1"/>
                <w:color w:val="auto"/>
              </w:rPr>
            </w:pPr>
          </w:p>
        </w:tc>
      </w:tr>
      <w:tr>
        <w:trPr>
          <w:trHeight w:val="19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492,000</w:t>
            </w:r>
          </w:p>
        </w:tc>
        <w:tc>
          <w:tcPr>
            <w:tcW w:w="0" w:type="dxa"/>
            <w:vAlign w:val="bottom"/>
          </w:tcPr>
          <w:p>
            <w:pPr>
              <w:spacing w:after="0"/>
              <w:rPr>
                <w:sz w:val="1"/>
                <w:szCs w:val="1"/>
                <w:color w:val="auto"/>
              </w:rPr>
            </w:pPr>
          </w:p>
        </w:tc>
      </w:tr>
      <w:tr>
        <w:trPr>
          <w:trHeight w:val="21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Mike Otworth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7,001,001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7,577,786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14,878,787</w:t>
            </w:r>
          </w:p>
        </w:tc>
        <w:tc>
          <w:tcPr>
            <w:tcW w:w="0" w:type="dxa"/>
            <w:vAlign w:val="bottom"/>
          </w:tcPr>
          <w:p>
            <w:pPr>
              <w:spacing w:after="0"/>
              <w:rPr>
                <w:sz w:val="1"/>
                <w:szCs w:val="1"/>
                <w:color w:val="auto"/>
              </w:rPr>
            </w:pPr>
          </w:p>
        </w:tc>
      </w:tr>
      <w:tr>
        <w:trPr>
          <w:trHeight w:val="203"/>
        </w:trPr>
        <w:tc>
          <w:tcPr>
            <w:tcW w:w="1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Executive Chairman</w:t>
            </w:r>
            <w:r>
              <w:rPr>
                <w:rFonts w:ascii="Times New Roman" w:cs="Times New Roman" w:eastAsia="Times New Roman" w:hAnsi="Times New Roman"/>
                <w:sz w:val="18"/>
                <w:szCs w:val="18"/>
                <w:color w:val="auto"/>
                <w:vertAlign w:val="superscript"/>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 John Scott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6,935,489</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11,335,494</w:t>
            </w:r>
          </w:p>
        </w:tc>
        <w:tc>
          <w:tcPr>
            <w:tcW w:w="0" w:type="dxa"/>
            <w:vAlign w:val="bottom"/>
          </w:tcPr>
          <w:p>
            <w:pPr>
              <w:spacing w:after="0"/>
              <w:rPr>
                <w:sz w:val="1"/>
                <w:szCs w:val="1"/>
                <w:color w:val="auto"/>
              </w:rPr>
            </w:pPr>
          </w:p>
        </w:tc>
      </w:tr>
      <w:tr>
        <w:trPr>
          <w:trHeight w:val="24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Strategy Officer</w:t>
            </w:r>
            <w:r>
              <w:rPr>
                <w:rFonts w:ascii="Times New Roman" w:cs="Times New Roman" w:eastAsia="Times New Roman" w:hAnsi="Times New Roman"/>
                <w:sz w:val="18"/>
                <w:szCs w:val="18"/>
                <w:color w:val="auto"/>
                <w:vertAlign w:val="superscript"/>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60"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2024 for Mr. Haskell represents base salary earned during 2024. For Dr. Scott, the amount represents payments to Corporate Development Group LLC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w:t>
      </w: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Mr. Haskell in 2024 represents a transaction bonus earned in connection with the Business Combination.</w:t>
      </w:r>
    </w:p>
    <w:p>
      <w:pPr>
        <w:spacing w:after="0" w:line="14" w:lineRule="exact"/>
        <w:rPr>
          <w:rFonts w:ascii="Times New Roman" w:cs="Times New Roman" w:eastAsia="Times New Roman" w:hAnsi="Times New Roman"/>
          <w:sz w:val="14"/>
          <w:szCs w:val="14"/>
          <w:color w:val="auto"/>
        </w:rPr>
      </w:pPr>
    </w:p>
    <w:p>
      <w:pPr>
        <w:ind w:left="340" w:right="200" w:hanging="332"/>
        <w:spacing w:after="0" w:line="262"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service-based RSU awards granted by the Company to the NEOs in 2024 and, with respect to Mr. Otworth, the amount includes the aggregate grant date fair value of the Accelsius Incentive Units (as defined below)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The Refinity Incentive Units discussed in such section had an aggregate grant date fair value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5" w:lineRule="exact"/>
        <w:rPr>
          <w:sz w:val="20"/>
          <w:szCs w:val="20"/>
          <w:color w:val="auto"/>
        </w:rPr>
      </w:pPr>
    </w:p>
    <w:p>
      <w:pPr>
        <w:ind w:left="340" w:right="160" w:hanging="332"/>
        <w:spacing w:after="0" w:line="262"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matching contributions provided by Innventure under the 401(k) Plan (as defined and described below).</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Otworth provided services to Innventure in a consulting capacity during 2024 through a contract between Innventure LLC and Sugar Grove Ventures, LLC.</w:t>
      </w:r>
    </w:p>
    <w:p>
      <w:pPr>
        <w:spacing w:after="0" w:line="14" w:lineRule="exact"/>
        <w:rPr>
          <w:rFonts w:ascii="Times New Roman" w:cs="Times New Roman" w:eastAsia="Times New Roman" w:hAnsi="Times New Roman"/>
          <w:sz w:val="14"/>
          <w:szCs w:val="14"/>
          <w:color w:val="auto"/>
        </w:rPr>
      </w:pPr>
    </w:p>
    <w:p>
      <w:pPr>
        <w:ind w:left="340" w:right="160" w:hanging="332"/>
        <w:spacing w:after="0" w:line="283"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provided services to Innventure in a consulting capacity during 2024 through a contract between Innventure LLC and Corporate Development Group LLC, pursuant to which Dr. Scott, the founder and principal of Corporate Development Group LLC, provided strategic guidance and consulting services to Innventure.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2024 Summary Compensation 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2024 Named Executive Officer Compensation Components and Decisions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Base Salary</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terms of their employment or consulting arrangements, as applicable, the NEOs were entitled to base salaries or service fees, as applicable, at the following annual rates during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280" w:type="dxa"/>
            <w:vAlign w:val="bottom"/>
          </w:tcPr>
          <w:p>
            <w:pPr>
              <w:spacing w:after="0"/>
              <w:rPr>
                <w:sz w:val="13"/>
                <w:szCs w:val="13"/>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0" w:type="dxa"/>
            <w:vAlign w:val="bottom"/>
          </w:tcPr>
          <w:p>
            <w:pPr>
              <w:spacing w:after="0"/>
              <w:rPr>
                <w:sz w:val="1"/>
                <w:szCs w:val="1"/>
                <w:color w:val="auto"/>
              </w:rPr>
            </w:pPr>
          </w:p>
        </w:tc>
      </w:tr>
      <w:tr>
        <w:trPr>
          <w:trHeight w:val="196"/>
        </w:trPr>
        <w:tc>
          <w:tcPr>
            <w:tcW w:w="9680" w:type="dxa"/>
            <w:vAlign w:val="bottom"/>
            <w:gridSpan w:val="2"/>
            <w:vMerge w:val="continue"/>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Salary/Service Fee Rate</w:t>
            </w:r>
          </w:p>
        </w:tc>
        <w:tc>
          <w:tcPr>
            <w:tcW w:w="0" w:type="dxa"/>
            <w:vAlign w:val="bottom"/>
          </w:tcPr>
          <w:p>
            <w:pPr>
              <w:spacing w:after="0"/>
              <w:rPr>
                <w:sz w:val="1"/>
                <w:szCs w:val="1"/>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Haskell</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Otworth</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John Scott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did not modify the base salary or service fee rates of any of the NEOs during 2024. However, we increased the base salary and service fee rates of the NEOs in January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Bonus Compensation</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 Bonus Goal</w:t>
            </w:r>
          </w:p>
        </w:tc>
        <w:tc>
          <w:tcPr>
            <w:tcW w:w="1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Goal Achieved?</w:t>
            </w:r>
          </w:p>
        </w:tc>
        <w:tc>
          <w:tcPr>
            <w:tcW w:w="0" w:type="dxa"/>
            <w:vAlign w:val="bottom"/>
          </w:tcPr>
          <w:p>
            <w:pPr>
              <w:spacing w:after="0"/>
              <w:rPr>
                <w:sz w:val="1"/>
                <w:szCs w:val="1"/>
                <w:color w:val="auto"/>
              </w:rPr>
            </w:pPr>
          </w:p>
        </w:tc>
      </w:tr>
      <w:tr>
        <w:trPr>
          <w:trHeight w:val="195"/>
        </w:trPr>
        <w:tc>
          <w:tcPr>
            <w:tcW w:w="7900" w:type="dxa"/>
            <w:vAlign w:val="bottom"/>
            <w:gridSpan w:val="3"/>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(yes or no)</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Complete the Business Combination with more than $20 million of net proceeds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 each of the following milestones (or a achieving a certain threshold share price):</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million of booked revenue for Accelsius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4"/>
        </w:trPr>
        <w:tc>
          <w:tcPr>
            <w:tcW w:w="7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$15 million of GAAP revenue for AeroFlexx</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580"/>
        <w:spacing w:after="0" w:line="230" w:lineRule="auto"/>
        <w:rPr>
          <w:sz w:val="20"/>
          <w:szCs w:val="20"/>
          <w:color w:val="auto"/>
        </w:rPr>
      </w:pPr>
      <w:r>
        <w:rPr>
          <w:rFonts w:ascii="Times New Roman" w:cs="Times New Roman" w:eastAsia="Times New Roman" w:hAnsi="Times New Roman"/>
          <w:sz w:val="18"/>
          <w:szCs w:val="18"/>
          <w:color w:val="auto"/>
        </w:rPr>
        <w:t>The 2024 bonuses were also subject to a stretch goal (formation of a new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operating company), which would have resulted in an additional 50% payout.</w:t>
      </w:r>
    </w:p>
    <w:p>
      <w:pPr>
        <w:spacing w:after="0" w:line="14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2025, the Compensation Committee (and the Board with respect to Mr. Haskell) determined that 85% of the 2024 bonus goals were achieved (as shown in the table above) and that the stretch goal was not achieved. As such, the Compensation Committee (or Board, as applicable) determined that each NEO notionally earned a payout percentage of 85% of the target bonus, which corresponds to the following payout amounts: $255,000 for Mr. Haskell; $255,000 for Mr. Otworth; and $255,000 for Dr. Scott. Payout of such amounts is generally contingent on the NEO’s continued service through the date of payment. Such amounts are expected to be disclosed in a future Summary Compensation Table once payment is made and the applicable service requirements have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Haskell also earned a cash bonus of $2,500,000 in connection with the successful consummation of the Business Combination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Equity-Based Compensation</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December 2024, the Compensation Committee approved equity incentive awards for the NEOs consisting of service-based RSUs and stock options under the 2024 Plan. Awards for our NEOs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Haskell</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Otworth</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John Scott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r>
      <w:tr>
        <w:trPr>
          <w:trHeight w:val="25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set forth in the table above were granted with an exercise price of $12.20, the closing stock price on the date of grant.</w:t>
      </w:r>
    </w:p>
    <w:p>
      <w:pPr>
        <w:spacing w:after="0" w:line="16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general, the Options and RSUs granted to Mr. Otworth and Dr. Scott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Holdings LLC over a base price of $12.175. In general, the Accelsius SARs will be automatically exercised upon the earliest to occur of: (i) the 24-month anniversary of the grant date, (ii) the participant’s death, or (iii) the participant’s “disability” (as defined in the applicable award agreement). The Compensation Committee may, in its discretion, determine that the participant will receive cash instead of Common Stock.</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Accelsius Incentive Units generally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Compensation Committee approves equity awards granted to our named executive officers on or before the grant date, but grants are not currently made on a predetermined schedule. The Compensation Committee does not take material nonpublic information into account when determining the timing and terms of such awards. The Company has not timed the disclosure of material nonpublic information for the purpose of affecting the value of executive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 the award between the</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ending immediately prior</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the disclosure of material nonpublic</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 the</w:t>
            </w:r>
          </w:p>
        </w:tc>
        <w:tc>
          <w:tcPr>
            <w:tcW w:w="0" w:type="dxa"/>
            <w:vAlign w:val="bottom"/>
          </w:tcPr>
          <w:p>
            <w:pPr>
              <w:spacing w:after="0"/>
              <w:rPr>
                <w:sz w:val="1"/>
                <w:szCs w:val="1"/>
                <w:color w:val="auto"/>
              </w:rPr>
            </w:pPr>
          </w:p>
        </w:tc>
      </w:tr>
      <w:tr>
        <w:trPr>
          <w:trHeight w:val="146"/>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98"/>
        </w:trPr>
        <w:tc>
          <w:tcPr>
            <w:tcW w:w="270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the award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 ($/Sh)</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the award</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0" w:type="dxa"/>
            <w:vAlign w:val="bottom"/>
          </w:tcPr>
          <w:p>
            <w:pPr>
              <w:spacing w:after="0"/>
              <w:rPr>
                <w:sz w:val="1"/>
                <w:szCs w:val="1"/>
                <w:color w:val="auto"/>
              </w:rPr>
            </w:pPr>
          </w:p>
        </w:tc>
      </w:tr>
      <w:tr>
        <w:trPr>
          <w:trHeight w:val="228"/>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Haskell, CEO</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Mike Otworth, Executive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Chairman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1,712,786</w:t>
            </w:r>
          </w:p>
        </w:tc>
        <w:tc>
          <w:tcPr>
            <w:tcW w:w="1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Dr. John Scott, Chief Strategy</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1,070,489</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Units Granted in Prior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Innventure LLC</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prior years, Innventure LLC granted Class C Units of Innventure LLC (“Innventure Incentive Units”) to certain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did not grant Innventure Incentive Units to any of the NEOs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Accelsius</w:t>
      </w:r>
    </w:p>
    <w:p>
      <w:pPr>
        <w:spacing w:after="0" w:line="17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Consulting Arrangements with our NEOs</w:t>
      </w:r>
    </w:p>
    <w:p>
      <w:pPr>
        <w:spacing w:after="0" w:line="17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Gregory W. (Bill) Haskell</w:t>
      </w:r>
      <w:r>
        <w:rPr>
          <w:rFonts w:ascii="Times New Roman" w:cs="Times New Roman" w:eastAsia="Times New Roman" w:hAnsi="Times New Roman"/>
          <w:sz w:val="18"/>
          <w:szCs w:val="18"/>
          <w:color w:val="auto"/>
        </w:rPr>
        <w:t>: Innventure LLC is party to an offer letter, dated January 5, 2021, with Mr. Haskell (the “Haskell Letter”). The Haskell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among other things, an initial base salary rate of $200,000 per year, and an opportunity for Mr. Haskell to receive certain equity awards from Innventure LLC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new companies affiliated with Innventure LLC. Mr. Haskell’s base salary in 2024 was $300,000 per year. In January 2025, Mr. Haskell’s base salary was increased again to $700,000 per year.</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Mike Otworth</w:t>
      </w:r>
      <w:r>
        <w:rPr>
          <w:rFonts w:ascii="Times New Roman" w:cs="Times New Roman" w:eastAsia="Times New Roman" w:hAnsi="Times New Roman"/>
          <w:sz w:val="18"/>
          <w:szCs w:val="18"/>
          <w:color w:val="auto"/>
        </w:rPr>
        <w:t>: Innventure LLC is party to a Contractor Agreement for Services, effective November 16, 2023, with Sugar Grove Ventures, LLC,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contractor (the “Otworth Service Agreement”). Pursuant to the Otworth Service Agreement, Mr. Otworth serves as the primary contact and responsible party in carrying out the services 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Dr. John Scott</w:t>
      </w:r>
      <w:r>
        <w:rPr>
          <w:rFonts w:ascii="Times New Roman" w:cs="Times New Roman" w:eastAsia="Times New Roman" w:hAnsi="Times New Roman"/>
          <w:sz w:val="18"/>
          <w:szCs w:val="18"/>
          <w:color w:val="auto"/>
        </w:rPr>
        <w:t>: Innventure LLC is party to a Statement of Work, effective April 1, 2018, with Corporate Development Group LLC,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60"/>
              <w:spacing w:after="0" w:line="10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4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 Shares or Units</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Market Value of Shares or</w:t>
            </w: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420" w:type="dxa"/>
            <w:vAlign w:val="bottom"/>
            <w:gridSpan w:val="3"/>
            <w:vMerge w:val="continue"/>
          </w:tcPr>
          <w:p>
            <w:pPr>
              <w:spacing w:after="0"/>
              <w:rPr>
                <w:sz w:val="9"/>
                <w:szCs w:val="9"/>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Option Exercise</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Option Expiration</w:t>
            </w:r>
          </w:p>
        </w:tc>
        <w:tc>
          <w:tcPr>
            <w:tcW w:w="1420" w:type="dxa"/>
            <w:vAlign w:val="bottom"/>
            <w:gridSpan w:val="3"/>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9"/>
                <w:szCs w:val="9"/>
                <w:color w:val="auto"/>
              </w:rPr>
            </w:pPr>
          </w:p>
        </w:tc>
        <w:tc>
          <w:tcPr>
            <w:tcW w:w="14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Type of Award(1)</w:t>
            </w: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4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Underlying Unexercised</w:t>
            </w:r>
          </w:p>
        </w:tc>
        <w:tc>
          <w:tcPr>
            <w:tcW w:w="104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of Stock That Have Not</w:t>
            </w:r>
          </w:p>
        </w:tc>
        <w:tc>
          <w:tcPr>
            <w:tcW w:w="13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Units of Stock That Have</w:t>
            </w:r>
          </w:p>
        </w:tc>
        <w:tc>
          <w:tcPr>
            <w:tcW w:w="0" w:type="dxa"/>
            <w:vAlign w:val="bottom"/>
          </w:tcPr>
          <w:p>
            <w:pPr>
              <w:spacing w:after="0"/>
              <w:rPr>
                <w:sz w:val="1"/>
                <w:szCs w:val="1"/>
                <w:color w:val="auto"/>
              </w:rPr>
            </w:pPr>
          </w:p>
        </w:tc>
      </w:tr>
      <w:tr>
        <w:trPr>
          <w:trHeight w:val="136"/>
        </w:trPr>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Options (#) Unexercisable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Price ($)</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80" w:type="dxa"/>
            <w:vAlign w:val="bottom"/>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w w:val="92"/>
              </w:rPr>
              <w:t>Vested (#)</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253"/>
              <w:spacing w:after="0"/>
              <w:rPr>
                <w:sz w:val="20"/>
                <w:szCs w:val="20"/>
                <w:color w:val="auto"/>
              </w:rPr>
            </w:pPr>
            <w:r>
              <w:rPr>
                <w:rFonts w:ascii="Times New Roman" w:cs="Times New Roman" w:eastAsia="Times New Roman" w:hAnsi="Times New Roman"/>
                <w:sz w:val="11"/>
                <w:szCs w:val="11"/>
                <w:b w:val="1"/>
                <w:bCs w:val="1"/>
                <w:color w:val="auto"/>
                <w:w w:val="95"/>
              </w:rPr>
              <w:t>Not Vested ($)</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 xml:space="preserve">109,000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Gregory W. (Bill) Haskell</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Refinity Units</w:t>
            </w:r>
          </w:p>
        </w:tc>
        <w:tc>
          <w:tcPr>
            <w:tcW w:w="8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Mike Otworth</w:t>
            </w:r>
          </w:p>
        </w:tc>
        <w:tc>
          <w:tcPr>
            <w:tcW w:w="10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INV Options</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262,295</w:t>
            </w: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Refinity Units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Accelsius SARs</w:t>
            </w:r>
          </w:p>
        </w:tc>
        <w:tc>
          <w:tcPr>
            <w:tcW w:w="8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12.175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12/31/2026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INV RSUs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537,705</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7,447,214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Accelsius Units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9"/>
                <w:szCs w:val="9"/>
                <w:color w:val="auto"/>
              </w:rPr>
              <w:t>(6)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3,147,750</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 Options</w:t>
            </w:r>
          </w:p>
        </w:tc>
        <w:tc>
          <w:tcPr>
            <w:tcW w:w="80" w:type="dxa"/>
            <w:vAlign w:val="bottom"/>
          </w:tcPr>
          <w:p>
            <w:pPr>
              <w:spacing w:after="0"/>
              <w:rPr>
                <w:sz w:val="2"/>
                <w:szCs w:val="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163,934</w:t>
            </w:r>
          </w:p>
        </w:tc>
        <w:tc>
          <w:tcPr>
            <w:tcW w:w="34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9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vMerge w:val="restart"/>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12/9/2034</w:t>
            </w:r>
          </w:p>
        </w:tc>
        <w:tc>
          <w:tcPr>
            <w:tcW w:w="10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Dr. John Scott</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Refinity Units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4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9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12.175</w:t>
            </w:r>
          </w:p>
        </w:tc>
        <w:tc>
          <w:tcPr>
            <w:tcW w:w="80" w:type="dxa"/>
            <w:vAlign w:val="bottom"/>
            <w:vMerge w:val="restart"/>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12/31/2026</w:t>
            </w:r>
          </w:p>
        </w:tc>
        <w:tc>
          <w:tcPr>
            <w:tcW w:w="10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Accelsius SARs</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 RSUs</w:t>
            </w:r>
          </w:p>
        </w:tc>
        <w:tc>
          <w:tcPr>
            <w:tcW w:w="80" w:type="dxa"/>
            <w:vAlign w:val="bottom"/>
            <w:shd w:val="clear" w:color="auto" w:fill="CCEEFF"/>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336,066</w:t>
            </w: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4,654,514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Accelsius Units</w:t>
            </w:r>
          </w:p>
        </w:tc>
        <w:tc>
          <w:tcPr>
            <w:tcW w:w="80" w:type="dxa"/>
            <w:vAlign w:val="bottom"/>
            <w:shd w:val="clear" w:color="auto" w:fill="CCEEFF"/>
          </w:tcPr>
          <w:p>
            <w:pPr>
              <w:spacing w:after="0"/>
              <w:rPr>
                <w:sz w:val="21"/>
                <w:szCs w:val="21"/>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 xml:space="preserve">9,375 </w:t>
            </w:r>
            <w:r>
              <w:rPr>
                <w:rFonts w:ascii="Times New Roman" w:cs="Times New Roman" w:eastAsia="Times New Roman" w:hAnsi="Times New Roman"/>
                <w:sz w:val="18"/>
                <w:szCs w:val="18"/>
                <w:color w:val="auto"/>
                <w:vertAlign w:val="superscript"/>
              </w:rPr>
              <w:t>(8)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434,813</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643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ind w:left="340" w:right="500" w:hanging="332"/>
        <w:spacing w:after="0" w:line="260"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 of Award: Refinity Units – Refinity Incentive Units; INV Options – stock options to purchase shares of Common Stock; INV RSUs – restricted stock units settled in shares of Common Stock; Accelsius SARs – awards granted by Innventure and settled in shares of Common Stock, the value of which is determined based on the increase in value of Class A Common Units of Accelsius; Accelsius Units – Accelsius Incentive Units.</w:t>
      </w:r>
    </w:p>
    <w:p>
      <w:pPr>
        <w:ind w:left="340" w:right="40" w:hanging="332"/>
        <w:spacing w:after="0" w:line="254"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these stock options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340" w:right="620" w:hanging="332"/>
        <w:spacing w:after="0" w:line="259"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ind w:left="340" w:right="180" w:hanging="332"/>
        <w:spacing w:after="0" w:line="26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w:t>
      </w:r>
    </w:p>
    <w:p>
      <w:pPr>
        <w:ind w:left="340" w:right="460" w:hanging="332"/>
        <w:spacing w:after="0" w:line="25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these RSUs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340" w:right="60" w:hanging="332"/>
        <w:spacing w:after="0" w:line="272"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22, 2024, Accelsius granted to Mr. Otworth 100,000 Accelsius Incentive Units, with an Accelsius Distribution Threshold of $4.41.In general, these Accelsius Incentive Units will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ind w:left="340" w:right="400" w:hanging="332"/>
        <w:spacing w:after="0" w:line="27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w:t>
      </w:r>
    </w:p>
    <w:p>
      <w:pPr>
        <w:jc w:val="both"/>
        <w:ind w:left="340" w:right="100" w:hanging="332"/>
        <w:spacing w:after="0" w:line="262"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Qualified Retirement Plan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did not offer a defined benefit pension plan or nonqualified deferred compensation plan for its NEOs during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Under NEO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Innventure Equity Compensation</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general, RSUs, stock options and Accelsius SARs granted under the 2024 Plan are eligible to vest or are automatically exercised as follows in the event of certain termination and change in control scenarios.</w:t>
      </w:r>
    </w:p>
    <w:p>
      <w:pPr>
        <w:spacing w:after="0" w:line="10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If an NEO’s employment is terminated due to death or disability, the RSUs will vest in full. If an NEO remains employed through the date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If an NEO’s employment is terminated due to death or disability, the unvested portion of the option will vest in full upon termination. If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 remains employed through the date of 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w:t>
      </w:r>
    </w:p>
    <w:p>
      <w:pPr>
        <w:spacing w:after="0" w:line="12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Accelsius SARs. </w:t>
      </w:r>
      <w:r>
        <w:rPr>
          <w:rFonts w:ascii="Times New Roman" w:cs="Times New Roman" w:eastAsia="Times New Roman" w:hAnsi="Times New Roman"/>
          <w:sz w:val="18"/>
          <w:szCs w:val="18"/>
          <w:color w:val="auto"/>
        </w:rPr>
        <w:t>The Accelsius SARs granted in December 2024 were fully vested upon grant and will be automatically exercised upon the earliest to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 the 24-month anniversary of the date of grant, (ii) the participant’s death, or (iii) the participant’s disability.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Incentive Units Upon a Termination of Employment or Engagement</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such vested Incentive Units may be repurchased (or could have been repurchased) for their fair market value.</w:t>
      </w:r>
    </w:p>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described above, Innventure Incentive Units held by the NEOs vested (to the extent unvested) at the time of the Business Combination and were cancelled in exchange for shares of Common Stock.</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Refinity Incentive Units, if an NEO’s employment or service is terminated, then Refinity Holdings, LLC may redeem such NEO’s vested Refinity Incentive Units for their fair market value (as defined in the applicable award agreements pursuant to which Refinity Incentive Units are granted), except that if the termination is by Refinity Holdings, LLC for cause (as defined in the Refinity Holdings, LLC PI Unit Incentive Plan), such vested and unvested Refinity Incentive Units may be redeemed by Refinity Holdings, LLC for $0.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Accelsius Incentive Units and Refinity Incentive Units upon a Change in Control</w:t>
      </w:r>
    </w:p>
    <w:p>
      <w:pPr>
        <w:spacing w:after="0" w:line="17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With respect to Accelsius Incentive Units and Refinity Incentive Units if Accelsius or Refinity Holdings, LLC,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Bill Haskell, David Yablunosky, Mike Otworth, Suzanne Niemeyer, James Donnally, Bruce Brown, Elizabeth Williams, Daniel Hennessy, and Michael Amalfitano served on the Innventure Board during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Non-Management Director Compensation Policy</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2024, our Board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124" w:lineRule="exact"/>
        <w:rPr>
          <w:sz w:val="20"/>
          <w:szCs w:val="20"/>
          <w:color w:val="auto"/>
        </w:rPr>
      </w:pPr>
    </w:p>
    <w:p>
      <w:pPr>
        <w:ind w:left="66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Equity Grant</w:t>
      </w:r>
      <w:r>
        <w:rPr>
          <w:rFonts w:ascii="Times New Roman" w:cs="Times New Roman" w:eastAsia="Times New Roman" w:hAnsi="Times New Roman"/>
          <w:sz w:val="18"/>
          <w:szCs w:val="18"/>
          <w:color w:val="auto"/>
        </w:rPr>
        <w:t>: Each non-management director that became a member of our Board as of the Closing Date and who was still serving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on the third business day following the effective date of the Director Compensation Plan received RSUs with a targeted value of $90,000 on such date, in respect of their service from the Closing and the date of the Company’s first annual meeting of stockholders. Such RSUs will generally vest on the date of this year’s annual meeting, subject to each non-management director providing service on our Board through such date.</w:t>
      </w:r>
    </w:p>
    <w:p>
      <w:pPr>
        <w:spacing w:after="0" w:line="129"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Quarterly cash retainer</w:t>
      </w:r>
      <w:r>
        <w:rPr>
          <w:rFonts w:ascii="Times New Roman" w:cs="Times New Roman" w:eastAsia="Times New Roman" w:hAnsi="Times New Roman"/>
          <w:sz w:val="18"/>
          <w:szCs w:val="18"/>
          <w:color w:val="auto"/>
        </w:rPr>
        <w:t>: Each non-management director will receive an annual cash retainer fee of $80,000, paid in arrears on a quarterly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 cash retainer fee will be prorated in the event that a non-management director serves on our Board for a portion of any calendar quarter.</w:t>
      </w:r>
    </w:p>
    <w:p>
      <w:pPr>
        <w:spacing w:after="0" w:line="119"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equity retainer</w:t>
      </w:r>
      <w:r>
        <w:rPr>
          <w:rFonts w:ascii="Times New Roman" w:cs="Times New Roman" w:eastAsia="Times New Roman" w:hAnsi="Times New Roman"/>
          <w:sz w:val="18"/>
          <w:szCs w:val="18"/>
          <w:color w:val="auto"/>
        </w:rPr>
        <w:t>: On the date of each of our regularly scheduled annual meetings of stockholders, each non-management director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28"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retainers</w:t>
      </w:r>
      <w:r>
        <w:rPr>
          <w:rFonts w:ascii="Times New Roman" w:cs="Times New Roman" w:eastAsia="Times New Roman" w:hAnsi="Times New Roman"/>
          <w:sz w:val="18"/>
          <w:szCs w:val="18"/>
          <w:color w:val="auto"/>
        </w:rPr>
        <w:t>: Each non-management director who serves as the chairperson of a standing committee of our Board will receive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retainer fee of $20,000, paid in arrears on a quarterly 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arrears on a quarterly basis and prorated in the event that such non-management director serves in such position for a portion of any calendar quarter.</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(1)</w:t>
            </w: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0"/>
        </w:trPr>
        <w:tc>
          <w:tcPr>
            <w:tcW w:w="472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6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James Donnally</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899,499</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Bruce Brown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Elizabeth Williams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 Hennessy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114,999</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Michael Amalfitano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the RSU awards, calculated in accordance with FASB ASC Topic 718. For information regarding assumptions used in calculating these values, see Note</w:t>
      </w:r>
    </w:p>
    <w:p>
      <w:pPr>
        <w:spacing w:after="0" w:line="11" w:lineRule="exact"/>
        <w:rPr>
          <w:rFonts w:ascii="Times New Roman" w:cs="Times New Roman" w:eastAsia="Times New Roman" w:hAnsi="Times New Roman"/>
          <w:sz w:val="14"/>
          <w:szCs w:val="14"/>
          <w:color w:val="auto"/>
        </w:rPr>
      </w:pPr>
    </w:p>
    <w:p>
      <w:pPr>
        <w:ind w:left="340" w:right="2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to the consolidated financial statements included elsewhere in this prospectus. As of December 31, 2024, the non-management directors held the following outstanding stock awards: each of Messrs. Donnally, Brown, Hennessy and Amalfitano and Ms. Williams, 7,377 RSUs.</w:t>
      </w:r>
    </w:p>
    <w:p>
      <w:pPr>
        <w:ind w:left="340" w:right="18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the Accelsius SARs, calculated in accordance with FASB ASC Topic 718. For information regarding assumptions used in calculating these values, see Note 14 to the consolidated financial statements included elsewhere in this prospectus.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The Compensation Committee may, in its discretion, determine that Mr. Donnally will receive cash instead of Common Stock. As of December 31, 2024, Mr. Donnally held 20,000 Accelsius SARs. Mr. Donnally was granted these Accelsius SARs in respect of prior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indicated, all dollar amounts (“$”) in this section are expressed in thousands, except share and per share amounts.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2023 and each currently proposed transaction in which Innventure LLC, Innventure or the Innventure Companies has been or is to be a participant and:</w:t>
      </w:r>
    </w:p>
    <w:p>
      <w:pPr>
        <w:spacing w:after="0" w:line="10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ind w:right="41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Transactions with AeroFlexx, Accelsius, Innventus ESG Fund I, L.P., and Innventure1, LLC </w:t>
      </w:r>
      <w:r>
        <w:rPr>
          <w:rFonts w:ascii="Times New Roman" w:cs="Times New Roman" w:eastAsia="Times New Roman" w:hAnsi="Times New Roman"/>
          <w:sz w:val="18"/>
          <w:szCs w:val="18"/>
          <w:b w:val="1"/>
          <w:bCs w:val="1"/>
          <w:i w:val="1"/>
          <w:iCs w:val="1"/>
          <w:color w:val="auto"/>
        </w:rPr>
        <w:t>Management Services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Management Services, a wholly owned subsidiary of Innventure LLC, Innventure GP and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w:t>
      </w:r>
    </w:p>
    <w:p>
      <w:pPr>
        <w:spacing w:after="0" w:line="17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$2,400 from time to time until the Maturity Date (as defined in the AeroFlexx Loan Agreement). Additionally,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$10,000 and no interest or principal has been paid on the Term Loans, and as of March 31, 2025 the current amount outstanding is $10,307 following the conversion of $7,300 on January 2, 2025 and the inclusion of the $4,400 informal loan under the AeroFlexx Loan Agreement. Subsequent to the date on which the $10,000 cap on the AeroFlexx Loan Agreement was achieved, Innventure has also informally loaned an additional $4,155 to AeroFlexx.</w:t>
      </w:r>
    </w:p>
    <w:p>
      <w:pPr>
        <w:spacing w:after="0" w:line="1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30, 2023, Innventure LLC entered into a loan and security agreement with Accelsius. Under the loan and security agreement, Innventure LLC agreed to loan, from time to time, up to $6,000 in term loans to Accelsius, with a minimum loan of $10 per term loan. On December 13, 2023, the loan and security agreement was amended to increase the aggregate amount available to be loaned to Accelsius to $12,000.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$17,075 in the aggregate, of which $5,075 of principal has been repaid and $84 of interest has been repaid. As of December 31, 2024, approximately $12,408 was outstanding under the loan and security agreement, including $408 of accrued interest. In addition, to date, Innventure LLC has informally loaned Accelsius $1,200. As described elsewhere in this prospectus, all intercompany transactions and balances have been eliminated in consolidation, including those related to this loan and security agreement with Accelsius.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2024, Innventure LLC informally loaned Refinity Holdings $530.</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Involving Innventure1</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and converted this note in the amount of $500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Fund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Innventure LLC and WE-INN paid to the ESG Fund its capital call obligation of approximately $100.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B-1 Unit Purchase Agreement</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Global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Advancement of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$246 of the respective advances have been fully reimbursed, and the remainder is added to the respective letter-of-credit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80"/>
          </w:cols>
          <w:pgMar w:left="320" w:top="1440" w:right="399" w:bottom="1440" w:gutter="0" w:footer="0" w:header="0"/>
        </w:sectPr>
      </w:pPr>
    </w:p>
    <w:bookmarkStart w:id="80" w:name="page81"/>
    <w:bookmarkEnd w:id="80"/>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outstanding balance or otherwise remains outstanding. The following table details the aggregate amount advanced to each company (in excess of $120) per year since 2023:</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4"/>
        </w:trPr>
        <w:tc>
          <w:tcPr>
            <w:tcW w:w="8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Accelsius</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AeroFlexx</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ESG Fund</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Refinity</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88"/>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Less than $120</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AeroFlexx</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w:t>
      </w:r>
    </w:p>
    <w:p>
      <w:pPr>
        <w:spacing w:after="0" w:line="13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w:t>
      </w:r>
    </w:p>
    <w:p>
      <w:pPr>
        <w:spacing w:after="0" w:line="1" w:lineRule="exact"/>
        <w:rPr>
          <w:sz w:val="20"/>
          <w:szCs w:val="20"/>
          <w:color w:val="auto"/>
        </w:rPr>
      </w:pPr>
    </w:p>
    <w:p>
      <w:pPr>
        <w:ind w:right="520" w:firstLine="8"/>
        <w:spacing w:after="0" w:line="255"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w:t>
      </w:r>
    </w:p>
    <w:p>
      <w:pPr>
        <w:spacing w:after="0" w:line="13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Donnally, a member of the Board, also serves as a director of Auto Now Acceptance Company, the parent company of Auto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18, 2022, pursuant to a note purchase agreement (the “Series I Note Purchase Agreement”), by and among Accelsius, the ESG Fund and the other parties thereto, Accelsius issued a convertible promissory note to the ESG Fund in an aggregate principal amount of $4,000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2023 was approximately $500. As of December 31, 2024, the total amount of interest accrued and due to the ESG Fund in 2024 was $0.</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$6,000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$6,000.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2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2023, the ESG Fund purchased 23,712 Class A Series 2 Units of Accelsius for aggregate proceeds of approximately $100.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at the Closing, Innventure and Founding Investors entered into the Investor Rights Agreement. See the section entitled “</w:t>
      </w:r>
      <w:r>
        <w:rPr>
          <w:rFonts w:ascii="Times New Roman" w:cs="Times New Roman" w:eastAsia="Times New Roman" w:hAnsi="Times New Roman"/>
          <w:sz w:val="18"/>
          <w:szCs w:val="18"/>
          <w:i w:val="1"/>
          <w:iCs w:val="1"/>
          <w:color w:val="auto"/>
        </w:rPr>
        <w:t>Management—Director Nominations—Agreements to Nominate Certain Directors</w:t>
      </w:r>
      <w:r>
        <w:rPr>
          <w:rFonts w:ascii="Times New Roman" w:cs="Times New Roman" w:eastAsia="Times New Roman" w:hAnsi="Times New Roman"/>
          <w:sz w:val="18"/>
          <w:szCs w:val="18"/>
          <w:color w:val="auto"/>
        </w:rPr>
        <w:t>” for more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members of Innventure LLC (the “MSA Lock-Up Parties”) entered into a Member Support Agreement with Learn CW, Innventure, and Holdco (the “Member Support Agreement”)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Innventure’s A&amp;R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A&amp;R Certificate of Incorporation lapsed with respect to the shares of Common Stock held by the former holders of membership interests, warrants, or other equity interests of Innventure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00"/>
          </w:cols>
          <w:pgMar w:left="320" w:top="1440" w:right="379" w:bottom="1440" w:gutter="0" w:footer="0" w:header="0"/>
        </w:sectPr>
      </w:pPr>
    </w:p>
    <w:bookmarkStart w:id="82" w:name="page83"/>
    <w:bookmarkEnd w:id="82"/>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insiders of Innventure entered into lock-up agreements, pursuant to which such persons have agreed to restrictions on the transfer of their shares of Common Stock, subject to certain exceptions, for a period ending upon the earlier of (A) the expiration of one year after the Closing and (B) subsequent to the Closing, (i) 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shares of Common Stock for cash securities or other property.</w:t>
      </w:r>
    </w:p>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connection with Learn CW’s initial public offering, Learn CW entered into a Letter Agreement (the “2021 Letter Agreement”), dated October 7, 2021, among Learn CW and its officers, directors, director nominees and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completes a liquidation, merger, share exchange or other similar transaction that results in all of Learn CW’s shareholders having the right to exchange their Learn CW Class A ordinary shares, par value $0.0001 per share (the “Ordinary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equals or exceeds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will be released from lock-up.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Family Relationship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Scott earned $325 and $216 for the years ended December 31,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Aircraft Time Sharing Agreements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Mr. Otworth was the Executive Chairman of Innventure LLC and is now Innventure’s Executive Chairman. Dr. Scott was the Chief Strategy Officer of Innventure LLC and is now Innventure’s Chief Strategy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Glockner Enterprises is affiliated with persons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1, 2024, the Company and the Glockner Lender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in connection with entry into the A&amp;R Glockner Bridge Note. As described above, Mr. Donnally serves as the managing member of the Glockner Lender’s general partner, Bellringer Consulting Group LLC. On March 20, 2025, the Glockner Lender agreed to deem as repaid in full and otherwise terminated all loans and other obligations of Innventure LLC to the Glockner Lender under the A&amp;R Glockner Bridge Note in exchange for the issuance to the Glockner Lender of 1,392,059 shares of Series C Preferred Stock on March 24, 2025.</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w:t>
      </w:r>
    </w:p>
    <w:p>
      <w:pPr>
        <w:spacing w:after="0" w:line="13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March 20, 2025, Dr. Scott agreed to deem as repaid in full and otherwise terminated all loans and other obligations of Innventure LLC to Dr. Scott under the A&amp;R Scott Bridge Note and any loan documentation executed in connection with the A&amp;R Scott Bridge Note in exchange for (i) Dr. Scott’s receipt in cash of $195 and (ii) the issuance to Dr. Scott of 226,334 shares of Series C Preferred Stock on March 24,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the Company’s Annual Report on Form 10-K for the year ended December 31, 2024. The indemnification agreements require Innventure to indemnify its directors and executive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parties. Such policy requires, among other things, that:</w:t>
      </w:r>
    </w:p>
    <w:p>
      <w:pPr>
        <w:spacing w:after="0" w:line="10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party transactions;</w:t>
      </w:r>
    </w:p>
    <w:p>
      <w:pPr>
        <w:spacing w:after="0" w:line="17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party transaction will be ongoing, the Audit Committee may establish guidelines for Innventure’s management to follow in its ongoing dealings with the related party.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80"/>
          </w:cols>
          <w:pgMar w:left="320" w:top="1440" w:right="399" w:bottom="1440" w:gutter="0" w:footer="0" w:header="0"/>
        </w:sectPr>
      </w:pPr>
    </w:p>
    <w:bookmarkStart w:id="85" w:name="page86"/>
    <w:bookmarkEnd w:id="8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one class of securities registered under Section 12 of the Exchange Act: its Common Stock. The following description of our capital stock is a summary and is qualified in its entirety by provisions of Delaware law and by reference to the terms of the A&amp;R Certificate of Incorporation and our Bylaws, which are attached as exhibits to Innventure’s most recent Annual Report on Form 10-K filed with the SEC. We encourage you to read the applicable portions of the Delaware General Corporation Law, as amended (the “DGCL”), and our A&amp;R Certificate of Incorporation and our Bylaws, as applicable, carefully and in their entirety because they describe your rights as a holder of shares of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Innventure’s authorized capital stock consists of 250,000,000 shares of Common Stock and 25,000,000 shares of preferred stock, par value $0.0001 per share. Of the 25,000,000 shares of preferred stock, 3,000,000 shares are designated as “Series B Preferred Stock” and 5,000,000 shares are designated as “Series C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11, 2025, there were approximately 47,106,300 shares of Common Stock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the designation of the Series B Preferred Stock and the Series C Preferred Stock, 17,000,000 authorized shares of preferred stock remain available for the creation and issuance of one or more additional series of preferred stock by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13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40" w:lineRule="exact"/>
        <w:rPr>
          <w:sz w:val="20"/>
          <w:szCs w:val="20"/>
          <w:color w:val="auto"/>
        </w:rPr>
      </w:pPr>
    </w:p>
    <w:p>
      <w:pPr>
        <w:ind w:left="660" w:right="3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Company;</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Company or any other corporation or other entity;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 from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Innventure’s A&amp;R Certificate of Incorporation and Bylaws and Certain Provisions of Delaware Law</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will hold office for a term expiring at the annual meeting of stockholders to be held in 2025; the directors first elected to Class II will hold office for a term expiring at the annual meeting of stockholders to be held in 2026; and the directors first elected to Class</w:t>
      </w:r>
    </w:p>
    <w:p>
      <w:pPr>
        <w:spacing w:after="0" w:line="3" w:lineRule="exact"/>
        <w:rPr>
          <w:sz w:val="20"/>
          <w:szCs w:val="20"/>
          <w:color w:val="auto"/>
        </w:rPr>
      </w:pPr>
    </w:p>
    <w:p>
      <w:pPr>
        <w:ind w:right="280" w:firstLine="8"/>
        <w:spacing w:after="0" w:line="260"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office for a term expiring at the annual meeting of stockholders to be held in 2027, with the members of each class to hold office until their successors are elected and qualified.</w:t>
      </w:r>
    </w:p>
    <w:p>
      <w:pPr>
        <w:spacing w:after="0" w:line="1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preferred stock to elect additional directors under circumstances specified in a Preferred Stock Designation, directors may be elected by the stockholders only at an annual meeting of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CEO, or President.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7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w:t>
      </w:r>
    </w:p>
    <w:p>
      <w:pPr>
        <w:spacing w:after="0" w:line="1" w:lineRule="exact"/>
        <w:rPr>
          <w:sz w:val="20"/>
          <w:szCs w:val="20"/>
          <w:color w:val="auto"/>
        </w:rPr>
      </w:pPr>
    </w:p>
    <w:p>
      <w:pPr>
        <w:ind w:firstLine="8"/>
        <w:spacing w:after="0" w:line="251"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12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April 11, 2025 (except as otherwise set forth below) by:</w:t>
      </w:r>
    </w:p>
    <w:p>
      <w:pPr>
        <w:spacing w:after="0" w:line="10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table is based on 47,106,300 shares of Common Stock outstanding as of April 11,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80"/>
          </w:cols>
          <w:pgMar w:left="320" w:top="1440" w:right="399" w:bottom="1440" w:gutter="0" w:footer="0" w:header="0"/>
        </w:sectPr>
      </w:pPr>
    </w:p>
    <w:bookmarkStart w:id="92" w:name="page93"/>
    <w:bookmarkEnd w:id="92"/>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7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Roland Austrup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863,264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752,115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Otworth</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Scott</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2,081,653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Bruce Brown</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Williams</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J. Hennessy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1,170,262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Amalfitano</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(11 Individuals)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12,373,608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8,697,656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3"/>
                <w:szCs w:val="23"/>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3,541,685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CastleKnight Master Fund LP</w:t>
            </w:r>
            <w:r>
              <w:rPr>
                <w:rFonts w:ascii="Times New Roman" w:cs="Times New Roman" w:eastAsia="Times New Roman" w:hAnsi="Times New Roman"/>
                <w:sz w:val="23"/>
                <w:szCs w:val="23"/>
                <w:color w:val="auto"/>
                <w:vertAlign w:val="superscript"/>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0" w:type="dxa"/>
            <w:vAlign w:val="bottom"/>
          </w:tcPr>
          <w:p>
            <w:pPr>
              <w:spacing w:after="0"/>
              <w:rPr>
                <w:sz w:val="1"/>
                <w:szCs w:val="1"/>
                <w:color w:val="auto"/>
              </w:rPr>
            </w:pPr>
          </w:p>
        </w:tc>
      </w:tr>
      <w:tr>
        <w:trPr>
          <w:trHeight w:val="30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Glockner Family Venture Fund, LP</w:t>
            </w:r>
            <w:r>
              <w:rPr>
                <w:rFonts w:ascii="Times New Roman" w:cs="Times New Roman" w:eastAsia="Times New Roman" w:hAnsi="Times New Roman"/>
                <w:sz w:val="23"/>
                <w:szCs w:val="23"/>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4,680,272</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hanging="332"/>
        <w:spacing w:after="0" w:line="257"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1,500,431 shares of Common Stock held by the James O. Donnally Revocable Trust over which Mr. Donnally has sole voting and investment power and (ii)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4" w:lineRule="exact"/>
        <w:rPr>
          <w:rFonts w:ascii="Times New Roman" w:cs="Times New Roman" w:eastAsia="Times New Roman" w:hAnsi="Times New Roman"/>
          <w:sz w:val="14"/>
          <w:szCs w:val="14"/>
          <w:color w:val="auto"/>
        </w:rPr>
      </w:pPr>
    </w:p>
    <w:p>
      <w:pPr>
        <w:ind w:left="340" w:right="160" w:hanging="332"/>
        <w:spacing w:after="0" w:line="260"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Otworth holds 2,714,580 shares of Common Stock and 114,161 shares of Series C Preferred Stock. As of April 11, 2025, if the registration statement (the “Series C Preferred Stock Resale Registration Statement”) were effective, these shares of Series C Preferred Stock would be convertible into 228,322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1"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holds 1,628,985 shares of Common Stock and 226,334 shares of Series C Preferred Stock. As of April 11, 2025, if the Series C Preferred Stock Resale Registration Statement were effective, these shares of Series C Preferred Stock would be convertible into 452,668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Wasson has voting and investment power over the securities held by WE-INN LLC.</w:t>
      </w:r>
    </w:p>
    <w:p>
      <w:pPr>
        <w:spacing w:after="0" w:line="14" w:lineRule="exact"/>
        <w:rPr>
          <w:rFonts w:ascii="Times New Roman" w:cs="Times New Roman" w:eastAsia="Times New Roman" w:hAnsi="Times New Roman"/>
          <w:sz w:val="14"/>
          <w:szCs w:val="14"/>
          <w:color w:val="auto"/>
        </w:rPr>
      </w:pPr>
    </w:p>
    <w:p>
      <w:pPr>
        <w:ind w:left="340" w:right="420" w:hanging="332"/>
        <w:spacing w:after="0" w:line="262"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Ascent X Innventure TC, A Series of Ascent X Innventure, LP is a limited partnership (“Ascent”). Ascent holds 3,291,685 shares of Common Stock and 125,000 shares of Series C Preferred Stock. As of April 11, 2025, if the Series C Preferred Stock Resale Registration Statement were effective, these shares of Series C Preferred Stock would be convertible into 250,000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5" w:lineRule="exact"/>
        <w:rPr>
          <w:sz w:val="20"/>
          <w:szCs w:val="20"/>
          <w:color w:val="auto"/>
        </w:rPr>
      </w:pPr>
    </w:p>
    <w:p>
      <w:pPr>
        <w:ind w:left="332"/>
        <w:spacing w:after="0" w:line="271" w:lineRule="auto"/>
        <w:rPr>
          <w:sz w:val="20"/>
          <w:szCs w:val="20"/>
          <w:color w:val="auto"/>
        </w:rPr>
      </w:pPr>
      <w:r>
        <w:rPr>
          <w:rFonts w:ascii="Times New Roman" w:cs="Times New Roman" w:eastAsia="Times New Roman" w:hAnsi="Times New Roman"/>
          <w:sz w:val="14"/>
          <w:szCs w:val="14"/>
          <w:color w:val="auto"/>
        </w:rPr>
        <w:t>convertible will fluctuate. Voting and investment power over the shares held by Ascent is exercised by Jonathan Loeffler and Mark Pomeroy Jr. The address for Ascent is 5956 Sherry Lane, 20th Floor, Dallas, Texas 75225.</w:t>
      </w:r>
    </w:p>
    <w:p>
      <w:pPr>
        <w:ind w:left="332" w:hanging="332"/>
        <w:spacing w:after="0" w:line="254" w:lineRule="auto"/>
        <w:tabs>
          <w:tab w:leader="none" w:pos="32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by CastleKnight Master Fund LP in a Schedule 13G filed with the SEC on November 15, 2024. Per such Schedule 13G, CastleKnight Master Fund LP has shared voting power over all of such shares and shared dispositive power of all of such shares. The principal business address of CastleKnight Master Fund LP is Maples Corporate Services Limited, P.O. Box 309, Ugland House, Grand Cayman KY1-1104 Cayman Islands.</w:t>
      </w:r>
    </w:p>
    <w:p>
      <w:pPr>
        <w:spacing w:after="0" w:line="1" w:lineRule="exact"/>
        <w:rPr>
          <w:rFonts w:ascii="Times New Roman" w:cs="Times New Roman" w:eastAsia="Times New Roman" w:hAnsi="Times New Roman"/>
          <w:sz w:val="14"/>
          <w:szCs w:val="14"/>
          <w:color w:val="auto"/>
        </w:rPr>
      </w:pPr>
    </w:p>
    <w:p>
      <w:pPr>
        <w:ind w:left="332" w:right="120" w:hanging="332"/>
        <w:spacing w:after="0" w:line="262" w:lineRule="auto"/>
        <w:tabs>
          <w:tab w:leader="none" w:pos="32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Glockner Family Venture Fund, LP holds 739,566 shares of Common Stock and 1,970,353 shares of Series C Preferred Stock. As of April 11, 2025, if the Series C Preferred Stock Resale Registration Statement were effective, these shares of Series C Preferred Stock would be convertible into 3,940,706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92"/>
          </w:cols>
          <w:pgMar w:left="328" w:top="1440" w:right="379" w:bottom="1440" w:gutter="0" w:footer="0" w:header="0"/>
        </w:sectPr>
      </w:pPr>
    </w:p>
    <w:bookmarkStart w:id="94" w:name="page95"/>
    <w:bookmarkEnd w:id="9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75"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or their permitted transferees from time to time of up to 14,126,970 shares of Common Stock, which includes (i) up to 3,260,175 shares of Common Stock that may be issued upon conversion of Series B Preferred Stock, (ii) up to 4,209,314 shares of Common Stock that we may issue and sell to Yorkville, from time to time pursuant to the SEPA (without exceeding the Exchange Cap),</w:t>
      </w:r>
    </w:p>
    <w:p>
      <w:pPr>
        <w:spacing w:after="0" w:line="1" w:lineRule="exact"/>
        <w:rPr>
          <w:sz w:val="20"/>
          <w:szCs w:val="20"/>
          <w:color w:val="auto"/>
        </w:rPr>
      </w:pPr>
    </w:p>
    <w:p>
      <w:pPr>
        <w:ind w:right="580" w:firstLine="8"/>
        <w:spacing w:after="0" w:line="260" w:lineRule="auto"/>
        <w:tabs>
          <w:tab w:leader="none" w:pos="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5,657,481 shares of Common Stock held by certain stockholders party to the A&amp;R Registration Rights Agreement, and (iv) 1,000,000 shares of Common Stock that may be issued upon exercise of the WTI Warrants.</w:t>
      </w:r>
    </w:p>
    <w:p>
      <w:pPr>
        <w:spacing w:after="0" w:line="1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our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our Common Stock other than through a public sale. Except as otherwise described below and for the ownership of the shares of our Common Stock, the Selling Stockholders have not had any material relationship with us or our predecessors or affiliates within the past three years.</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April 11, 2025,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We have based percentage ownership on 47,106,300 shares of Common Stock outstanding as of April 11, 2025.</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98"/>
        </w:trPr>
        <w:tc>
          <w:tcPr>
            <w:tcW w:w="472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 of Series B Preferred Stock</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Albert Aaron and Ethel C Mason Berg</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39,921</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Anthony and Kelly Bradshaw</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21,735</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5,944</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Christopher and Donna Corley</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94,857</w:t>
            </w:r>
            <w:r>
              <w:rPr>
                <w:rFonts w:ascii="Times New Roman" w:cs="Times New Roman" w:eastAsia="Times New Roman" w:hAnsi="Times New Roman"/>
                <w:sz w:val="23"/>
                <w:szCs w:val="23"/>
                <w:color w:val="auto"/>
                <w:vertAlign w:val="superscript"/>
              </w:rPr>
              <w:t>(4)</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Gabriel Eljach</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109,418</w:t>
            </w:r>
            <w:r>
              <w:rPr>
                <w:rFonts w:ascii="Times New Roman" w:cs="Times New Roman" w:eastAsia="Times New Roman" w:hAnsi="Times New Roman"/>
                <w:sz w:val="23"/>
                <w:szCs w:val="23"/>
                <w:color w:val="auto"/>
                <w:vertAlign w:val="superscript"/>
              </w:rPr>
              <w:t>(5)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James Nathan Galbreath</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11,218</w:t>
            </w:r>
            <w:r>
              <w:rPr>
                <w:rFonts w:ascii="Times New Roman" w:cs="Times New Roman" w:eastAsia="Times New Roman" w:hAnsi="Times New Roman"/>
                <w:sz w:val="23"/>
                <w:szCs w:val="23"/>
                <w:color w:val="auto"/>
                <w:vertAlign w:val="superscript"/>
              </w:rPr>
              <w:t>(6)</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16,346</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6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Michael and Kristin Haughton</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61,192</w:t>
            </w:r>
            <w:r>
              <w:rPr>
                <w:rFonts w:ascii="Times New Roman" w:cs="Times New Roman" w:eastAsia="Times New Roman" w:hAnsi="Times New Roman"/>
                <w:sz w:val="23"/>
                <w:szCs w:val="23"/>
                <w:color w:val="auto"/>
                <w:vertAlign w:val="superscript"/>
              </w:rPr>
              <w:t>(7)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89,157</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Kaitlan Hawkins</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33,832</w:t>
            </w:r>
            <w:r>
              <w:rPr>
                <w:rFonts w:ascii="Times New Roman" w:cs="Times New Roman" w:eastAsia="Times New Roman" w:hAnsi="Times New Roman"/>
                <w:sz w:val="23"/>
                <w:szCs w:val="23"/>
                <w:color w:val="auto"/>
                <w:vertAlign w:val="superscript"/>
              </w:rPr>
              <w:t>(8)</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5,944</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 Chi Lim</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69,407</w:t>
            </w:r>
            <w:r>
              <w:rPr>
                <w:rFonts w:ascii="Times New Roman" w:cs="Times New Roman" w:eastAsia="Times New Roman" w:hAnsi="Times New Roman"/>
                <w:sz w:val="23"/>
                <w:szCs w:val="23"/>
                <w:color w:val="auto"/>
                <w:vertAlign w:val="superscript"/>
              </w:rPr>
              <w:t>(9)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Brentton Lindsey</w:t>
            </w: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40,794</w:t>
            </w:r>
            <w:r>
              <w:rPr>
                <w:rFonts w:ascii="Times New Roman" w:cs="Times New Roman" w:eastAsia="Times New Roman" w:hAnsi="Times New Roman"/>
                <w:sz w:val="23"/>
                <w:szCs w:val="23"/>
                <w:color w:val="auto"/>
                <w:vertAlign w:val="superscript"/>
              </w:rPr>
              <w:t>(10)</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59,438</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Vikash Patel</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10,198</w:t>
            </w:r>
            <w:r>
              <w:rPr>
                <w:rFonts w:ascii="Times New Roman" w:cs="Times New Roman" w:eastAsia="Times New Roman" w:hAnsi="Times New Roman"/>
                <w:sz w:val="23"/>
                <w:szCs w:val="23"/>
                <w:color w:val="auto"/>
                <w:vertAlign w:val="superscript"/>
              </w:rPr>
              <w:t>(11)</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Charles Alan Runyan</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150,546</w:t>
            </w:r>
            <w:r>
              <w:rPr>
                <w:rFonts w:ascii="Times New Roman" w:cs="Times New Roman" w:eastAsia="Times New Roman" w:hAnsi="Times New Roman"/>
                <w:sz w:val="23"/>
                <w:szCs w:val="23"/>
                <w:color w:val="auto"/>
                <w:vertAlign w:val="superscript"/>
              </w:rPr>
              <w:t>(12)</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89,157</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89,354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Matthew and Holly Sellers</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59,727</w:t>
            </w:r>
            <w:r>
              <w:rPr>
                <w:rFonts w:ascii="Times New Roman" w:cs="Times New Roman" w:eastAsia="Times New Roman" w:hAnsi="Times New Roman"/>
                <w:sz w:val="23"/>
                <w:szCs w:val="23"/>
                <w:color w:val="auto"/>
                <w:vertAlign w:val="superscript"/>
              </w:rPr>
              <w:t>(13)</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22,290</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44,429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Frank M Shaw</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20,396</w:t>
            </w:r>
            <w:r>
              <w:rPr>
                <w:rFonts w:ascii="Times New Roman" w:cs="Times New Roman" w:eastAsia="Times New Roman" w:hAnsi="Times New Roman"/>
                <w:sz w:val="23"/>
                <w:szCs w:val="23"/>
                <w:color w:val="auto"/>
                <w:vertAlign w:val="superscript"/>
              </w:rPr>
              <w:t>(14)</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Clifton Simmons</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150,427</w:t>
            </w:r>
            <w:r>
              <w:rPr>
                <w:rFonts w:ascii="Times New Roman" w:cs="Times New Roman" w:eastAsia="Times New Roman" w:hAnsi="Times New Roman"/>
                <w:sz w:val="23"/>
                <w:szCs w:val="23"/>
                <w:color w:val="auto"/>
                <w:vertAlign w:val="superscript"/>
              </w:rPr>
              <w:t>(15)</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89,157</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89,235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Commonwealth Asset Management Global Macro Master</w:t>
            </w:r>
          </w:p>
        </w:tc>
        <w:tc>
          <w:tcPr>
            <w:tcW w:w="17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1,529,836</w:t>
            </w:r>
            <w:r>
              <w:rPr>
                <w:rFonts w:ascii="Times New Roman" w:cs="Times New Roman" w:eastAsia="Times New Roman" w:hAnsi="Times New Roman"/>
                <w:sz w:val="23"/>
                <w:szCs w:val="23"/>
                <w:color w:val="auto"/>
                <w:vertAlign w:val="superscript"/>
              </w:rPr>
              <w:t>(16)</w:t>
            </w:r>
          </w:p>
        </w:tc>
        <w:tc>
          <w:tcPr>
            <w:tcW w:w="17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2,228,922</w:t>
            </w:r>
            <w:r>
              <w:rPr>
                <w:rFonts w:ascii="Times New Roman" w:cs="Times New Roman" w:eastAsia="Times New Roman" w:hAnsi="Times New Roman"/>
                <w:sz w:val="23"/>
                <w:szCs w:val="23"/>
                <w:color w:val="auto"/>
                <w:vertAlign w:val="superscript"/>
              </w:rPr>
              <w:t>(2)</w:t>
            </w:r>
          </w:p>
        </w:tc>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Fund Ltd.</w:t>
            </w:r>
          </w:p>
        </w:tc>
        <w:tc>
          <w:tcPr>
            <w:tcW w:w="170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Javid Mu'az Baksh Living Trust dated December 9, 2014</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20,396</w:t>
            </w:r>
            <w:r>
              <w:rPr>
                <w:rFonts w:ascii="Times New Roman" w:cs="Times New Roman" w:eastAsia="Times New Roman" w:hAnsi="Times New Roman"/>
                <w:sz w:val="23"/>
                <w:szCs w:val="23"/>
                <w:color w:val="auto"/>
                <w:vertAlign w:val="superscript"/>
              </w:rPr>
              <w:t>(17)</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SP3 Investments LLC</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169,321</w:t>
            </w:r>
            <w:r>
              <w:rPr>
                <w:rFonts w:ascii="Times New Roman" w:cs="Times New Roman" w:eastAsia="Times New Roman" w:hAnsi="Times New Roman"/>
                <w:sz w:val="23"/>
                <w:szCs w:val="23"/>
                <w:color w:val="auto"/>
                <w:vertAlign w:val="superscript"/>
              </w:rPr>
              <w:t>(18)</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148,925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TDC Ventures, LP</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694,308</w:t>
            </w:r>
            <w:r>
              <w:rPr>
                <w:rFonts w:ascii="Times New Roman" w:cs="Times New Roman" w:eastAsia="Times New Roman" w:hAnsi="Times New Roman"/>
                <w:sz w:val="23"/>
                <w:szCs w:val="23"/>
                <w:color w:val="auto"/>
                <w:vertAlign w:val="superscript"/>
              </w:rPr>
              <w:t>(19)</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148,595</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592,320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Irrevocable Aloha Trust</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1,741,143</w:t>
            </w:r>
            <w:r>
              <w:rPr>
                <w:rFonts w:ascii="Times New Roman" w:cs="Times New Roman" w:eastAsia="Times New Roman" w:hAnsi="Times New Roman"/>
                <w:sz w:val="23"/>
                <w:szCs w:val="23"/>
                <w:color w:val="auto"/>
                <w:vertAlign w:val="superscript"/>
              </w:rPr>
              <w:t>(20)</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297,190</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1,537,165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William J Stephan Revocable Trust</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10,198</w:t>
            </w:r>
            <w:r>
              <w:rPr>
                <w:rFonts w:ascii="Times New Roman" w:cs="Times New Roman" w:eastAsia="Times New Roman" w:hAnsi="Times New Roman"/>
                <w:sz w:val="23"/>
                <w:szCs w:val="23"/>
                <w:color w:val="auto"/>
                <w:vertAlign w:val="superscript"/>
              </w:rPr>
              <w:t>(21)</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SEPA</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YA II PN, Ltd.</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2,000,000</w:t>
            </w:r>
            <w:r>
              <w:rPr>
                <w:rFonts w:ascii="Times New Roman" w:cs="Times New Roman" w:eastAsia="Times New Roman" w:hAnsi="Times New Roman"/>
                <w:sz w:val="23"/>
                <w:szCs w:val="23"/>
                <w:color w:val="auto"/>
                <w:vertAlign w:val="superscript"/>
              </w:rPr>
              <w:t>(22)</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4,209,314</w:t>
            </w:r>
            <w:r>
              <w:rPr>
                <w:rFonts w:ascii="Times New Roman" w:cs="Times New Roman" w:eastAsia="Times New Roman" w:hAnsi="Times New Roman"/>
                <w:sz w:val="23"/>
                <w:szCs w:val="23"/>
                <w:color w:val="auto"/>
                <w:vertAlign w:val="superscript"/>
              </w:rPr>
              <w:t>(23)</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The 2011 Jonathan R. Goldman and Anuranjita Tewary</w:t>
            </w:r>
          </w:p>
        </w:tc>
        <w:tc>
          <w:tcPr>
            <w:tcW w:w="17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400"/>
              <w:spacing w:after="0" w:line="243" w:lineRule="exact"/>
              <w:rPr>
                <w:sz w:val="20"/>
                <w:szCs w:val="20"/>
                <w:color w:val="auto"/>
              </w:rPr>
            </w:pPr>
            <w:r>
              <w:rPr>
                <w:rFonts w:ascii="Times New Roman" w:cs="Times New Roman" w:eastAsia="Times New Roman" w:hAnsi="Times New Roman"/>
                <w:sz w:val="18"/>
                <w:szCs w:val="18"/>
                <w:color w:val="auto"/>
              </w:rPr>
              <w:t>Revocable Trust</w:t>
            </w:r>
            <w:r>
              <w:rPr>
                <w:rFonts w:ascii="Times New Roman" w:cs="Times New Roman" w:eastAsia="Times New Roman" w:hAnsi="Times New Roman"/>
                <w:sz w:val="23"/>
                <w:szCs w:val="23"/>
                <w:color w:val="auto"/>
                <w:vertAlign w:val="superscript"/>
              </w:rPr>
              <w:t>(24)</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Daniel H. Stern</w:t>
            </w:r>
            <w:r>
              <w:rPr>
                <w:rFonts w:ascii="Times New Roman" w:cs="Times New Roman" w:eastAsia="Times New Roman" w:hAnsi="Times New Roman"/>
                <w:sz w:val="23"/>
                <w:szCs w:val="23"/>
                <w:color w:val="auto"/>
                <w:vertAlign w:val="superscript"/>
              </w:rPr>
              <w:t>(25)</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Peter Relan</w:t>
            </w:r>
            <w:r>
              <w:rPr>
                <w:rFonts w:ascii="Times New Roman" w:cs="Times New Roman" w:eastAsia="Times New Roman" w:hAnsi="Times New Roman"/>
                <w:sz w:val="23"/>
                <w:szCs w:val="23"/>
                <w:color w:val="auto"/>
                <w:vertAlign w:val="superscript"/>
              </w:rPr>
              <w:t>(26)</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Ellen Levy</w:t>
            </w:r>
            <w:r>
              <w:rPr>
                <w:rFonts w:ascii="Times New Roman" w:cs="Times New Roman" w:eastAsia="Times New Roman" w:hAnsi="Times New Roman"/>
                <w:sz w:val="23"/>
                <w:szCs w:val="23"/>
                <w:color w:val="auto"/>
                <w:vertAlign w:val="superscript"/>
              </w:rPr>
              <w:t>(27)</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Daniel Hennessy</w:t>
            </w:r>
            <w:r>
              <w:rPr>
                <w:rFonts w:ascii="Times New Roman" w:cs="Times New Roman" w:eastAsia="Times New Roman" w:hAnsi="Times New Roman"/>
                <w:sz w:val="23"/>
                <w:szCs w:val="23"/>
                <w:color w:val="auto"/>
                <w:vertAlign w:val="superscript"/>
              </w:rPr>
              <w:t>(28)</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1,170,262</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1,170,262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Nicholas Petruska</w:t>
            </w:r>
            <w:r>
              <w:rPr>
                <w:rFonts w:ascii="Times New Roman" w:cs="Times New Roman" w:eastAsia="Times New Roman" w:hAnsi="Times New Roman"/>
                <w:sz w:val="23"/>
                <w:szCs w:val="23"/>
                <w:color w:val="auto"/>
                <w:vertAlign w:val="superscript"/>
              </w:rPr>
              <w:t>(29)</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821,477</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821,477</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Daniel Zlotnitsky</w:t>
            </w:r>
            <w:r>
              <w:rPr>
                <w:rFonts w:ascii="Times New Roman" w:cs="Times New Roman" w:eastAsia="Times New Roman" w:hAnsi="Times New Roman"/>
                <w:sz w:val="23"/>
                <w:szCs w:val="23"/>
                <w:color w:val="auto"/>
                <w:vertAlign w:val="superscript"/>
              </w:rPr>
              <w:t>(30)</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547,699</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547,699</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Greg Ethridge</w:t>
            </w:r>
            <w:r>
              <w:rPr>
                <w:rFonts w:ascii="Times New Roman" w:cs="Times New Roman" w:eastAsia="Times New Roman" w:hAnsi="Times New Roman"/>
                <w:sz w:val="23"/>
                <w:szCs w:val="23"/>
                <w:color w:val="auto"/>
                <w:vertAlign w:val="superscript"/>
              </w:rPr>
              <w:t>(31)</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273,699</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273,699</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AH Stonebridge Investor LLC</w:t>
            </w:r>
            <w:r>
              <w:rPr>
                <w:rFonts w:ascii="Times New Roman" w:cs="Times New Roman" w:eastAsia="Times New Roman" w:hAnsi="Times New Roman"/>
                <w:sz w:val="23"/>
                <w:szCs w:val="23"/>
                <w:color w:val="auto"/>
                <w:vertAlign w:val="superscript"/>
              </w:rPr>
              <w:t>(32)</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996,371</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996,371</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AH Ventures 1 Limited</w:t>
            </w:r>
            <w:r>
              <w:rPr>
                <w:rFonts w:ascii="Times New Roman" w:cs="Times New Roman" w:eastAsia="Times New Roman" w:hAnsi="Times New Roman"/>
                <w:sz w:val="23"/>
                <w:szCs w:val="23"/>
                <w:color w:val="auto"/>
                <w:vertAlign w:val="superscript"/>
              </w:rPr>
              <w:t>(33)</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249,572</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249,572</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AFT Investments LLC</w:t>
            </w:r>
            <w:r>
              <w:rPr>
                <w:rFonts w:ascii="Times New Roman" w:cs="Times New Roman" w:eastAsia="Times New Roman" w:hAnsi="Times New Roman"/>
                <w:sz w:val="23"/>
                <w:szCs w:val="23"/>
                <w:color w:val="auto"/>
                <w:vertAlign w:val="superscript"/>
              </w:rPr>
              <w:t>(34)</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249,572</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249,572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Learn Capital, LLC</w:t>
            </w:r>
            <w:r>
              <w:rPr>
                <w:rFonts w:ascii="Times New Roman" w:cs="Times New Roman" w:eastAsia="Times New Roman" w:hAnsi="Times New Roman"/>
                <w:sz w:val="23"/>
                <w:szCs w:val="23"/>
                <w:color w:val="auto"/>
                <w:vertAlign w:val="superscript"/>
              </w:rPr>
              <w:t>(35)</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1,125,243</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1,125,243</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VJAM LLC</w:t>
            </w:r>
            <w:r>
              <w:rPr>
                <w:rFonts w:ascii="Times New Roman" w:cs="Times New Roman" w:eastAsia="Times New Roman" w:hAnsi="Times New Roman"/>
                <w:sz w:val="23"/>
                <w:szCs w:val="23"/>
                <w:color w:val="auto"/>
                <w:vertAlign w:val="superscript"/>
              </w:rPr>
              <w:t>(36)</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103,586</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103,586</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WTI Fund X, LLC</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975,000</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750,000</w:t>
            </w:r>
            <w:r>
              <w:rPr>
                <w:rFonts w:ascii="Times New Roman" w:cs="Times New Roman" w:eastAsia="Times New Roman" w:hAnsi="Times New Roman"/>
                <w:sz w:val="23"/>
                <w:szCs w:val="23"/>
                <w:color w:val="auto"/>
                <w:vertAlign w:val="superscript"/>
              </w:rPr>
              <w:t>(37)</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225,000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WTI Fund XI, LLC</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325,000</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3"/>
                <w:szCs w:val="23"/>
                <w:color w:val="auto"/>
                <w:vertAlign w:val="superscript"/>
              </w:rPr>
              <w:t>(38)</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right="40" w:hanging="332"/>
        <w:spacing w:after="0" w:line="257"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29,723 shares of Common Stock of KNA Holdings LLC, the shares of which the Selling Stockholder may be deemed to indirectly beneficially own and have sole voting and investment power, and (ii) 10,198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2"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shares of Common Stock issuable upon conversion of Series B Preferred Stock issued and to be issued as dividends.</w:t>
      </w:r>
    </w:p>
    <w:p>
      <w:pPr>
        <w:ind w:left="340" w:right="100" w:hanging="332"/>
        <w:spacing w:after="0" w:line="262"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17,657 shares of Common Stock and (ii) 4,078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5" w:lineRule="exact"/>
        <w:rPr>
          <w:sz w:val="20"/>
          <w:szCs w:val="20"/>
          <w:color w:val="auto"/>
        </w:rPr>
      </w:pPr>
    </w:p>
    <w:p>
      <w:pPr>
        <w:ind w:left="332" w:right="240" w:hanging="332"/>
        <w:spacing w:after="0" w:line="261"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74,461 shares of Common Stock and (ii) 20,396 shares of Common Stock issuable upon conversion of shares of Series B Preferred Stock originally issued to the Selling Stockholders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1" w:lineRule="exact"/>
        <w:rPr>
          <w:rFonts w:ascii="Times New Roman" w:cs="Times New Roman" w:eastAsia="Times New Roman" w:hAnsi="Times New Roman"/>
          <w:sz w:val="14"/>
          <w:szCs w:val="14"/>
          <w:color w:val="auto"/>
        </w:rPr>
      </w:pPr>
    </w:p>
    <w:p>
      <w:pPr>
        <w:jc w:val="both"/>
        <w:ind w:left="332" w:right="340" w:hanging="332"/>
        <w:spacing w:after="0" w:line="256"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89,022 shares of Common Stock and (ii) 20,396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 Boxwood Lane, Greenville, South Carolina 29601.</w:t>
      </w:r>
    </w:p>
    <w:p>
      <w:pPr>
        <w:spacing w:after="0" w:line="2" w:lineRule="exact"/>
        <w:rPr>
          <w:rFonts w:ascii="Times New Roman" w:cs="Times New Roman" w:eastAsia="Times New Roman" w:hAnsi="Times New Roman"/>
          <w:sz w:val="14"/>
          <w:szCs w:val="14"/>
          <w:color w:val="auto"/>
        </w:rPr>
      </w:pPr>
    </w:p>
    <w:p>
      <w:pPr>
        <w:ind w:left="332" w:right="160" w:hanging="332"/>
        <w:spacing w:after="0" w:line="260"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1" w:lineRule="exact"/>
        <w:rPr>
          <w:rFonts w:ascii="Times New Roman" w:cs="Times New Roman" w:eastAsia="Times New Roman" w:hAnsi="Times New Roman"/>
          <w:sz w:val="14"/>
          <w:szCs w:val="14"/>
          <w:color w:val="auto"/>
        </w:rPr>
      </w:pPr>
    </w:p>
    <w:p>
      <w:pPr>
        <w:ind w:left="332" w:right="340" w:hanging="332"/>
        <w:spacing w:after="0" w:line="256"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29,754 shares of Common Stock and (ii) 4,078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 w:lineRule="exact"/>
        <w:rPr>
          <w:rFonts w:ascii="Times New Roman" w:cs="Times New Roman" w:eastAsia="Times New Roman" w:hAnsi="Times New Roman"/>
          <w:sz w:val="14"/>
          <w:szCs w:val="14"/>
          <w:color w:val="auto"/>
        </w:rPr>
      </w:pPr>
    </w:p>
    <w:p>
      <w:pPr>
        <w:jc w:val="both"/>
        <w:ind w:left="332" w:right="340" w:hanging="332"/>
        <w:spacing w:after="0" w:line="256"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59,209 shares of Common Stock and (ii) 10,198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1411-D Laurens Road, Greenville, South Carolina 29607.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2" w:lineRule="exact"/>
        <w:rPr>
          <w:rFonts w:ascii="Times New Roman" w:cs="Times New Roman" w:eastAsia="Times New Roman" w:hAnsi="Times New Roman"/>
          <w:sz w:val="14"/>
          <w:szCs w:val="14"/>
          <w:color w:val="auto"/>
        </w:rPr>
      </w:pPr>
    </w:p>
    <w:p>
      <w:pPr>
        <w:jc w:val="both"/>
        <w:ind w:left="332" w:right="340" w:hanging="332"/>
        <w:spacing w:after="0" w:line="256"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89,354 shares of Common Stock and (ii) 61,192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44,429 shares of Common Stock and (ii) 15,298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2" w:lineRule="exact"/>
        <w:rPr>
          <w:rFonts w:ascii="Times New Roman" w:cs="Times New Roman" w:eastAsia="Times New Roman" w:hAnsi="Times New Roman"/>
          <w:sz w:val="14"/>
          <w:szCs w:val="14"/>
          <w:color w:val="auto"/>
        </w:rPr>
      </w:pPr>
    </w:p>
    <w:p>
      <w:pPr>
        <w:ind w:left="332" w:hanging="332"/>
        <w:spacing w:after="0" w:line="260"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Abington Hall Court, Greer, South Carolina 29650.</w:t>
      </w:r>
    </w:p>
    <w:p>
      <w:pPr>
        <w:spacing w:after="0" w:line="1" w:lineRule="exact"/>
        <w:rPr>
          <w:rFonts w:ascii="Times New Roman" w:cs="Times New Roman" w:eastAsia="Times New Roman" w:hAnsi="Times New Roman"/>
          <w:sz w:val="14"/>
          <w:szCs w:val="14"/>
          <w:color w:val="auto"/>
        </w:rPr>
      </w:pPr>
    </w:p>
    <w:p>
      <w:pPr>
        <w:ind w:left="332" w:right="200" w:hanging="332"/>
        <w:spacing w:after="0" w:line="257"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89,235 shares of Common Stock and (ii) 61,192 shares of Common Stock issuable upon conversion of shares of Series B Preferred Stock originally issued to the Selling Stockholder and issued to the Selling Stockholder as a paid-in-kind dividend to date,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207 Kaplan Koru Place, Inman, South Carolina 29349.</w:t>
      </w:r>
    </w:p>
    <w:p>
      <w:pPr>
        <w:spacing w:after="0" w:line="2" w:lineRule="exact"/>
        <w:rPr>
          <w:rFonts w:ascii="Times New Roman" w:cs="Times New Roman" w:eastAsia="Times New Roman" w:hAnsi="Times New Roman"/>
          <w:sz w:val="14"/>
          <w:szCs w:val="14"/>
          <w:color w:val="auto"/>
        </w:rPr>
      </w:pPr>
    </w:p>
    <w:p>
      <w:pPr>
        <w:ind w:left="332" w:hanging="332"/>
        <w:spacing w:after="0" w:line="262"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12"/>
          </w:cols>
          <w:pgMar w:left="328" w:top="1440" w:right="359" w:bottom="1440" w:gutter="0" w:footer="0" w:header="0"/>
        </w:sectPr>
      </w:pPr>
    </w:p>
    <w:bookmarkStart w:id="97" w:name="page98"/>
    <w:bookmarkEnd w:id="97"/>
    <w:p>
      <w:pPr>
        <w:spacing w:after="0" w:line="135" w:lineRule="exact"/>
        <w:rPr>
          <w:sz w:val="20"/>
          <w:szCs w:val="20"/>
          <w:color w:val="auto"/>
        </w:rPr>
      </w:pPr>
    </w:p>
    <w:p>
      <w:pPr>
        <w:jc w:val="both"/>
        <w:ind w:left="332" w:right="200"/>
        <w:spacing w:after="0" w:line="262" w:lineRule="auto"/>
        <w:rPr>
          <w:sz w:val="20"/>
          <w:szCs w:val="20"/>
          <w:color w:val="auto"/>
        </w:rPr>
      </w:pPr>
      <w:r>
        <w:rPr>
          <w:rFonts w:ascii="Times New Roman" w:cs="Times New Roman" w:eastAsia="Times New Roman" w:hAnsi="Times New Roman"/>
          <w:sz w:val="14"/>
          <w:szCs w:val="14"/>
          <w:color w:val="auto"/>
        </w:rPr>
        <w:t>shares, the Selling Stockholder did not have any agreements or understandings with any person to distribute such shares. Mr. Adam Fisher is the Founder and Chief Investment Officer of Commonwealth Asset Management LP, which is the investment manager of the Selling Stockholder. The business address of the listed Selling Stockholder is 11755 Wilshire Boulevard, Suite 2320, Los Angeles, California 90025. Mr. Fisher served on the board of directors of Learn CW and as Learn CW’s President.</w:t>
      </w:r>
    </w:p>
    <w:p>
      <w:pPr>
        <w:spacing w:after="0" w:line="2" w:lineRule="exact"/>
        <w:rPr>
          <w:sz w:val="20"/>
          <w:szCs w:val="20"/>
          <w:color w:val="auto"/>
        </w:rPr>
      </w:pPr>
    </w:p>
    <w:p>
      <w:pPr>
        <w:ind w:left="332" w:right="2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148,925 shares of Common Stock and (ii) 20,396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22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592,320 shares of Common Stock and (ii) 101,988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2"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1,537,165 shares of Common Stock and (ii) 203,978 shares of Common Stock issuable upon conversion of shares of Series B Preferred Stock originally issued to the Selling Stockholder and issued to the Selling Stockholder as a paid-in-kind dividend to date,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Mr. Jonathan Loeffler serves as the investment manager for the Selling Stockholder and, accordingly, may be deemed to share voting and investment power over the shares. The business address of the listed Selling Stockholder is 750 E. Pratt Street, Suite 900, Baltimore, Maryland 21202.</w:t>
      </w:r>
    </w:p>
    <w:p>
      <w:pPr>
        <w:spacing w:after="0" w:line="1"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160" w:hanging="332"/>
        <w:spacing w:after="0" w:line="258"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2,000,000 shares of Common Stock that may be issued upon conversion of the Convertible Debentures issued and to be issued to Yorkville pursuant to the Securities Purchase Agreement without exceeding the SPA Exchange Cap. For the purposes of this table, we have excluded from the number of shares beneficially owned prior to the offering all of the shares that the Selling Stockholder may be required to purchase under the SEPA, because the issuance of such shares is at our discretion and is subject to conditions contained in the SEPA, the satisfaction of which are entirely outside of the Selling Stockholder’s control.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c/o Mark Angelo, 1012 Springfield Avenue, Mountainside, New Jersey, 07092.</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4,209,314 shares of Common Stock that may be issued to Yorkville pursuant to the SEPA.</w:t>
      </w:r>
    </w:p>
    <w:p>
      <w:pPr>
        <w:spacing w:after="0" w:line="14" w:lineRule="exact"/>
        <w:rPr>
          <w:rFonts w:ascii="Times New Roman" w:cs="Times New Roman" w:eastAsia="Times New Roman" w:hAnsi="Times New Roman"/>
          <w:sz w:val="14"/>
          <w:szCs w:val="14"/>
          <w:color w:val="auto"/>
        </w:rPr>
      </w:pPr>
    </w:p>
    <w:p>
      <w:pPr>
        <w:ind w:left="332" w:right="120" w:hanging="332"/>
        <w:spacing w:after="0" w:line="263"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Anuranjita Tewary and Jonathan R. Goldman are the trustees of the Selling Stockholder and share voting power and investment power over the shares held by the Selling Stockholder. The business address of the listed Selling Stockholder is PO Box 429 PMB 80399, San Jose, California 95103. Ms. Tewary served as a director of Learn CW.</w:t>
      </w:r>
    </w:p>
    <w:p>
      <w:pPr>
        <w:spacing w:after="0" w:line="158" w:lineRule="exact"/>
        <w:rPr>
          <w:rFonts w:ascii="Times New Roman" w:cs="Times New Roman" w:eastAsia="Times New Roman" w:hAnsi="Times New Roman"/>
          <w:sz w:val="14"/>
          <w:szCs w:val="14"/>
          <w:color w:val="auto"/>
        </w:rPr>
      </w:pPr>
    </w:p>
    <w:p>
      <w:pPr>
        <w:ind w:left="332" w:right="120" w:hanging="332"/>
        <w:spacing w:after="0" w:line="264"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317 South Burlingame Avenue, Los Angeles, California 90049. Mr. Stern served as a director of Learn CW.</w:t>
      </w:r>
    </w:p>
    <w:p>
      <w:pPr>
        <w:spacing w:after="0" w:line="157" w:lineRule="exact"/>
        <w:rPr>
          <w:rFonts w:ascii="Times New Roman" w:cs="Times New Roman" w:eastAsia="Times New Roman" w:hAnsi="Times New Roman"/>
          <w:sz w:val="14"/>
          <w:szCs w:val="14"/>
          <w:color w:val="auto"/>
        </w:rPr>
      </w:pPr>
    </w:p>
    <w:p>
      <w:pPr>
        <w:ind w:left="332" w:right="120" w:hanging="332"/>
        <w:spacing w:after="0" w:line="254"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48 Heather Dr, Atherton, California 94027. Mr. Relan served as a director of Learn CW.</w:t>
      </w:r>
    </w:p>
    <w:p>
      <w:pPr>
        <w:spacing w:after="0" w:line="1" w:lineRule="exact"/>
        <w:rPr>
          <w:rFonts w:ascii="Times New Roman" w:cs="Times New Roman" w:eastAsia="Times New Roman" w:hAnsi="Times New Roman"/>
          <w:sz w:val="14"/>
          <w:szCs w:val="14"/>
          <w:color w:val="auto"/>
        </w:rPr>
      </w:pPr>
    </w:p>
    <w:p>
      <w:pPr>
        <w:ind w:left="332" w:hanging="332"/>
        <w:spacing w:after="0" w:line="272"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32"/>
          </w:cols>
          <w:pgMar w:left="328" w:top="1440" w:right="339" w:bottom="1440" w:gutter="0" w:footer="0" w:header="0"/>
        </w:sectPr>
      </w:pPr>
    </w:p>
    <w:bookmarkStart w:id="98" w:name="page99"/>
    <w:bookmarkEnd w:id="98"/>
    <w:p>
      <w:pPr>
        <w:spacing w:after="0" w:line="135" w:lineRule="exact"/>
        <w:rPr>
          <w:sz w:val="20"/>
          <w:szCs w:val="20"/>
          <w:color w:val="auto"/>
        </w:rPr>
      </w:pPr>
    </w:p>
    <w:p>
      <w:pPr>
        <w:jc w:val="both"/>
        <w:ind w:left="332" w:right="120" w:hanging="332"/>
        <w:spacing w:after="0" w:line="262"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1,170,262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1" w:lineRule="exact"/>
        <w:rPr>
          <w:rFonts w:ascii="Times New Roman" w:cs="Times New Roman" w:eastAsia="Times New Roman" w:hAnsi="Times New Roman"/>
          <w:sz w:val="14"/>
          <w:szCs w:val="14"/>
          <w:color w:val="auto"/>
        </w:rPr>
      </w:pPr>
    </w:p>
    <w:p>
      <w:pPr>
        <w:ind w:left="332" w:right="120" w:hanging="332"/>
        <w:spacing w:after="0" w:line="260"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821,477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ind w:left="332" w:right="120" w:hanging="332"/>
        <w:spacing w:after="0" w:line="254"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547,699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right="120" w:hanging="332"/>
        <w:spacing w:after="0" w:line="261"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273,699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right="40" w:hanging="332"/>
        <w:spacing w:after="0" w:line="245"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996,371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Each of Ms. Naomi Kirkland and Messrs. Jonathan Hughes and Prasath Sithamparanathan is an appointed director of the Selling Stockholder and has sole voting and investment power over the shares held by the Selling Stockholder. Alan Howard is the ultimate beneficial owner of the Selling Stockholder and is the majority owner of Brevan Howard, through which Ms. Kirkland, Mr. Hughes, and Mr. Sithamparanathan are employed, and, accordingly, Mr. Howard may be deemed to indirectly beneficially own the shares directly beneficially owned by the Selling Stockholder. The business address of the listed Selling Stockholder is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37 Esplanade, St Helier, Jersey, JE2 3QA. Mr. Howard served on the board of directors of Learn CW.</w:t>
      </w:r>
    </w:p>
    <w:p>
      <w:pPr>
        <w:spacing w:after="0" w:line="4" w:lineRule="exact"/>
        <w:rPr>
          <w:rFonts w:ascii="Times New Roman" w:cs="Times New Roman" w:eastAsia="Times New Roman" w:hAnsi="Times New Roman"/>
          <w:sz w:val="14"/>
          <w:szCs w:val="14"/>
          <w:color w:val="auto"/>
        </w:rPr>
      </w:pPr>
    </w:p>
    <w:p>
      <w:pPr>
        <w:ind w:left="332" w:hanging="332"/>
        <w:spacing w:after="0" w:line="248"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Each of Naomi Kirkland, Jonathan Hughes, and Prasath Sithamparanathan is an appointed director of the Selling Stockholder and has sole voting and investment power over the shares held by the Selling Stockholder. Alan Howard is the ultimate beneficial owner of the Selling Stockholder and is the majority owner of Brevan Howard, through which Naomi Kirkland, Jonathan Hughes, and Prasath Sithamparanathan are employed, and, accordingly, Mr. Howard may be deemed to indirectly beneficially own the shares directly beneficially owned by the Selling Stockholder. The business address of the listed Selling Stockholder is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37 Esplanade, St Helier, Jersey, JE2 3QA. Mr. Howard served on the board of directors of Learn CW.</w:t>
      </w:r>
    </w:p>
    <w:p>
      <w:pPr>
        <w:spacing w:after="0" w:line="3" w:lineRule="exact"/>
        <w:rPr>
          <w:rFonts w:ascii="Times New Roman" w:cs="Times New Roman" w:eastAsia="Times New Roman" w:hAnsi="Times New Roman"/>
          <w:sz w:val="14"/>
          <w:szCs w:val="14"/>
          <w:color w:val="auto"/>
        </w:rPr>
      </w:pPr>
    </w:p>
    <w:p>
      <w:pPr>
        <w:ind w:left="332" w:right="120" w:hanging="332"/>
        <w:spacing w:after="0" w:line="257"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sole member of ABF Manager LLC, which is a non-member manager of the Selling Stockholder, and, accordingly, Mr. Fisher may be deemed to indirectly beneficially own and have sole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2"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1,125,243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Robert Hutter is the ultimate controlling person of the Selling Stockholder and, accordingly, may be deemed to have voting and investment power over the shares. The business address of the listed Selling Stockholder is 27132 Paseo Espada #STE B1225, San Juan Capistrano, California 92675. Mr. Hutter served on the board of directors of Learn CW and as Learn CW’s Chief Executive Officer.</w:t>
      </w:r>
    </w:p>
    <w:p>
      <w:pPr>
        <w:spacing w:after="0" w:line="2" w:lineRule="exact"/>
        <w:rPr>
          <w:rFonts w:ascii="Times New Roman" w:cs="Times New Roman" w:eastAsia="Times New Roman" w:hAnsi="Times New Roman"/>
          <w:sz w:val="14"/>
          <w:szCs w:val="14"/>
          <w:color w:val="auto"/>
        </w:rPr>
      </w:pPr>
    </w:p>
    <w:p>
      <w:pPr>
        <w:ind w:left="332" w:right="120" w:hanging="332"/>
        <w:spacing w:after="0"/>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103,586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Michael J. Price is the Manager of the Selling Stockholder and, accordingly, may be deemed to have voting and investment power over the shares. The business address of the listed Selling Stockholder is 450 East 83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St., PH1A, New York, New York 10028.</w:t>
      </w:r>
    </w:p>
    <w:p>
      <w:pPr>
        <w:spacing w:after="0" w:line="1" w:lineRule="exact"/>
        <w:rPr>
          <w:rFonts w:ascii="Times New Roman" w:cs="Times New Roman" w:eastAsia="Times New Roman" w:hAnsi="Times New Roman"/>
          <w:sz w:val="14"/>
          <w:szCs w:val="14"/>
          <w:color w:val="auto"/>
        </w:rPr>
      </w:pPr>
    </w:p>
    <w:p>
      <w:pPr>
        <w:ind w:left="332" w:right="20" w:hanging="332"/>
        <w:spacing w:after="0" w:line="255"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750,000 shares of Common Stock that may be issued to WTI Fund X, LLC pursuant to the WTI Warrants, subject to certain limitations, adjustment, and certain other rights to possible future financings in accordance with terms of the WTI Warrants.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104 La Mesa Drive, Suite 102, Portola Valley, California 94028.</w:t>
      </w:r>
    </w:p>
    <w:p>
      <w:pPr>
        <w:spacing w:after="0" w:line="1" w:lineRule="exact"/>
        <w:rPr>
          <w:rFonts w:ascii="Times New Roman" w:cs="Times New Roman" w:eastAsia="Times New Roman" w:hAnsi="Times New Roman"/>
          <w:sz w:val="14"/>
          <w:szCs w:val="14"/>
          <w:color w:val="auto"/>
        </w:rPr>
      </w:pPr>
    </w:p>
    <w:p>
      <w:pPr>
        <w:ind w:left="332" w:right="340" w:hanging="332"/>
        <w:spacing w:after="0" w:line="262"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250,000 shares of Common Stock that may be issued to WTI Fund XI, LLC pursuant to the WTI Warrants, subject to certain limitations, adjustment, and certain other rights to possible future financings in accordance with terms of the WTI Warrants.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104 La Mesa Drive, Suite 102, Portola Valley, California 94028.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32"/>
          </w:cols>
          <w:pgMar w:left="328" w:top="1440" w:right="339" w:bottom="1440" w:gutter="0" w:footer="0" w:header="0"/>
        </w:sectPr>
      </w:pPr>
    </w:p>
    <w:bookmarkStart w:id="99" w:name="page100"/>
    <w:bookmarkEnd w:id="9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250,000,000 shares of Common Stock authorized and, as of April 11, 2025, 47,106,300 shares of Common Stock are issued and outstanding. The Company also has 25,000,000 shares of preferred stock authorized. Of the 25,000,000 shares of preferred stock authorized, 3,000,000 shares have been designated as “Series B Preferred Stock,” and 5,000,000 shares are designated as “Series C Preferred Stock.” As of April 11, 2025, (i) 1,118,808 shares of Series B Preferred Stock are issued and outstanding and (ii) 2,885,848 shares of Series C Preferred Stock are issued and outstanding.</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issued in connection with the Business Combination are freely transferable under the Securities Act by persons other than by the Company’s “affiliates” or Learn CW’s “affiliates” without restriction or further registration under the Securities Act.</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Common Stock in the public market could adversely affect prevailing market prices of the Common Stock. Prior to the Business Combination, there was no public market for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A&amp;R Registration Right Agreement, Innventure is required to file a registration statement within 45 days after the consummation of the Business Combination registering the number of shares of Common Stock to permit the public resale of the Registrable Securities (as defined in the A&amp;R Registration Right Agreement) held by the holders thereto and use commercially reasonable efforts to have the registration statement declared effective and to maintain the effectiveness of such registration statement.</w:t>
      </w:r>
    </w:p>
    <w:p>
      <w:pPr>
        <w:spacing w:after="0" w:line="12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connection with the Securities Purchase Agreement entered into with Yorkville, on the First Closing Date, the Company entered into a registration rights agreement (the “SPA RRA”) with Yorkville pursuant to which Yorkville is entitled to certain registration rights under the Securities Act. Pursuant to the SPA RRA, the Company will be required to, on or before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calendar day following the date the Company files its Annual Report on Form 10-K for the year ended December 31, 2024, file with the SEC (at its sole cost and expense) a registration statement registering the resale by Yorkville of all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further agreed to file a registration statement with the SEC to permit the public resale of the shares of Common Stock issued to the Series C Purchasers (as defined below), Ducera (as defined below), WTI Fund X, LLC and WTI Fund XI, LLC, Series B Investors, and Yorkville pursuant to the Series C Purchase Agreements (defined below), the Ducera Engagement Letter (as defined below), the A&amp;R Registration Rights Agreement, dated October 22, 2024, by and among the Company and WTI Fund X, LLC and WTI Fund XI, LLC (the “WTI RRA”), the Series B Investment Agreements, and the SEPA, respectively.</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14, 2025, the Company issued two warrants to purchase up to an aggregate total of 300,000 shares of Common Stock (the “2025 WTI Warrants”) to WTI Fund X, LLC and WTI Fund XI, LLC, respectively. Each 2025 WTI Warrant is exercisable into one share of Common Stock at a price of $0.01 per share (subject to certain limitations, adjustment and certain other rights to possible future financings in accordance with terms of the 2025 WTI Warrants) through March 31, 2035. The Company has agreed to file a registration statement with the SEC to permit the public resale of the shares of Common Stock underlying the 2025 WTI Warrants on substantially the same terms as the WTI RRA.</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registering securities of the Company pursuant to the WTI RRA (for the avoidance of doubt, with respect to the WTI Warrants only and not the 2025 WTI Warrants), the Series B Investment Agreements, the A&amp;R Registration Right Agreement, and the SEPA, respectively, held by certain Company equity holders, each identified as a Selling Stockholder herein. The aggregate number of shares of Common Stock that are entitled to registration under the A&amp;R Registration Right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WTI RRA (for the avoidance of doubt, with respect to the WTI Warrants only and not the 2025 WTI Warrants), and the SEPA (giving effect to the Exchange Cap) is approximately 14,126,970.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the Lock-Up Agreements with the Company, pursuant to which such persons agreed, subject to certain customary exceptions, not to (i) sell, offer to sell, contract or agree to sell, hypothecate, pledge, grant any option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any shares of Common Stock, or any securities convertible into, exercisable for, exchangeable for or that represent the right to receive any shares of Common Stock (collectively, the “Restricted Shares”), currently owned or acquired after the date of the applicable Lock-Up Agreement, that is owned directly by such Lock-Up Party (including securities held as custodian) or with respect to which such Lock-Up Party has beneficial ownership within the rules and regulations of the SEC, (ii) enter into any swap or other arrangement that transfers to another, in whole or in part, any of the economic consequences of ownership of any of the Restricted Shares, whether any such transaction is to be settled by delivery of such securities, in cash or otherwise or (iii) publicly announce any intention to effect any transaction specified in clause (i) or (ii) for a period ending upon the earlier of (A) the expiration of one year after the Closing, and (B) subsequent to the Closing, (i) 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Common Stock for cash securities or other property.</w:t>
      </w:r>
    </w:p>
    <w:p>
      <w:pPr>
        <w:spacing w:after="0" w:line="14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7, 2021, Learn CW entered into a letter agreement dated October 7, 2021, by and among Learn CW and its officers, directors, director nominees, and the Sponsor, pursuant to which, among other things and in relevant part, the parties are subject to a lock-up on sales of their Common Stock until one year after the completion of the Business Combination or (b) subsequent to the Business Combination, (x) the date on which the Company completes a liquidation, merger, share exchange or other similar transaction that results in all of the Company’s shareholders having the right to exchange their shares of Common Stock for cash, securities or other property or (y) if the closing price of the Common Stock equals or exceeds $12.00 per share (as adjusted for share sub-divisions, share capitalizations, reorganizations, recapitalizations and other similar transactions) for any twenty (20) trading days within any 30-trading day period commencing at least 150 days after the Business Combination. Any of their warrants to purchase shares of Common Stock, at an exercise price of $11.50 per share, that were converted, in connection with the Business Combination, from the outstanding Learn CW Warrants (as defined in the Warrant Agreement) (the “Innventure Warrants”) and shares of Common Stock underlying such warrants were also locked up until thirty (30) days after the completion of the Business Combination.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Subject to the further restrictions described below under “</w:t>
      </w:r>
      <w:r>
        <w:rPr>
          <w:rFonts w:ascii="Times New Roman" w:cs="Times New Roman" w:eastAsia="Times New Roman" w:hAnsi="Times New Roman"/>
          <w:sz w:val="18"/>
          <w:szCs w:val="18"/>
          <w:i w:val="1"/>
          <w:iCs w:val="1"/>
          <w:color w:val="auto"/>
        </w:rPr>
        <w:t>Restrictions on the Use of Rule 144 for Securities of Shell Companies or Former Shell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pursuant to Rule 144 under the Securities Act (“Rule 144”), a person who has beneficially owned restricted Common Stock or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w:t>
      </w:r>
    </w:p>
    <w:p>
      <w:pPr>
        <w:spacing w:after="0" w:line="13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Innventure Warrants for at least six months but who are affiliates of Innventure at the time of, or at any time during the three months preceding,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 would be subject to additional restrictions, by which such person would be entitled to sell within any three-month period only a number of securities that does not exceed the greater of:</w:t>
      </w:r>
    </w:p>
    <w:p>
      <w:pPr>
        <w:spacing w:after="0" w:line="108"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Common Stock then outstanding; or</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Common Stock during the four calendar weeks preceding the filing of a notice on Form 144 with respect to the sale.</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Sales by affiliates of Innventure under Rule 144 are also limited by manner of sale provisions and notice requirements and to the availability of current public information about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for Securities of Shell Companies or Former Shell Companies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2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although Innventure is a new registrant, shares of Common Stock and Innventure Warrants may not be eligible for sale pursuant to Rule 144 without registration until October 9, 2025—one year from the time that Innventure filed current Form 10 type information with the SEC.</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Innventure is no longer a shell company, and so, once the conditions set forth in the exceptions listed above are satisfied, Rule 144 will become available for the resale of the above noted restricted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remain subject to lock-up arrangements and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of up to 14,126,970 shares of Common Stock, which includes (i) up to 3,260,175 shares of Common Stock that may be issued upon conversion of Series B Preferred Stock, (ii) up to 4,209,314 shares of Common Stock that we may issue and sell to Yorkville, from time to time pursuant to the SEPA (without exceeding the Exchange Cap), (iii) 5,657,481 shares of Common Stock held by certain stockholders party to the A&amp;R Registration Rights Agreement, and (iv) 1,000,000 shares of Common Stock that may be issued upon exercise of the WTI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26"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 dealers or other financial institutions, which may in turn engage in short sales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their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respect to the Selling Stockholders under the A&amp;R Registration Rights Agreement and the WTI RRA, the Company has agreed to keep this prospectus effective and in compliance with the Securities Act until the earlier of (i) such time as there are no longer any registrable securities under such agreements or (ii) the tenth-year anniversary of such agreement. The Company has also agreed to keep this prospectus effective and in compliance with the Securities Act until the expiration of the SEPA.</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have entered into Lock-Up Agreements. See “</w:t>
      </w:r>
      <w:r>
        <w:rPr>
          <w:rFonts w:ascii="Times New Roman" w:cs="Times New Roman" w:eastAsia="Times New Roman" w:hAnsi="Times New Roman"/>
          <w:sz w:val="18"/>
          <w:szCs w:val="18"/>
          <w:i w:val="1"/>
          <w:iCs w:val="1"/>
          <w:color w:val="auto"/>
        </w:rPr>
        <w:t>Shares Eligible For Future Sale—Lock-up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Innventure, Inc. (the Company) as of December 31, 2024 and 2023 and for the period from October 2, 2024 to December 31, 2024 (“Successor”), the period from January 1, 2024 to October 1, 2024 (“Predecessor”), and for the year ended December 31, 2023 (“Predecessor”),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by this prospectus.</w:t>
      </w:r>
    </w:p>
    <w:p>
      <w:pPr>
        <w:spacing w:after="0" w:line="1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80"/>
          </w:cols>
          <w:pgMar w:left="320" w:top="1440" w:right="399" w:bottom="1440" w:gutter="0" w:footer="0" w:header="0"/>
        </w:sectPr>
      </w:pPr>
    </w:p>
    <w:bookmarkStart w:id="105" w:name="page106"/>
    <w:bookmarkEnd w:id="10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(BDO USA, P.C.; PCAOB ID #243)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7"/>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220" w:type="dxa"/>
            <w:vAlign w:val="bottom"/>
            <w:gridSpan w:val="2"/>
          </w:tcPr>
          <w:p>
            <w:pPr>
              <w:spacing w:after="0"/>
              <w:rPr>
                <w:sz w:val="18"/>
                <w:szCs w:val="18"/>
                <w:color w:val="auto"/>
              </w:rPr>
            </w:pPr>
          </w:p>
        </w:tc>
        <w:tc>
          <w:tcPr>
            <w:tcW w:w="348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period October 2, 2024 through December 31, 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(Successor), January 1, 2024 through October 1, 2024 (Predecessor) and the year ended December 31, 2023 (Predecessor)</w:t>
            </w:r>
          </w:p>
        </w:tc>
        <w:tc>
          <w:tcPr>
            <w:tcW w:w="7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Consolidated Statement of Changes in Mezzanine Capital for the period January 1, 2024 through October 1, 2024 (Predecessor) and the year</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360" w:type="dxa"/>
            <w:vAlign w:val="bottom"/>
            <w:gridSpan w:val="13"/>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ended December 31, 2023 (Predecessor).</w:t>
            </w:r>
          </w:p>
        </w:tc>
        <w:tc>
          <w:tcPr>
            <w:tcW w:w="94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36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 of Changes in Stockholders’ Equity for the period October 2, 2024 through December 31, 2024 (Successor), January</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0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1, 2024 through October 1, 2024 (Predecessor) and the year ended December 31, 2023 (Predecessor)</w:t>
            </w:r>
          </w:p>
        </w:tc>
        <w:tc>
          <w:tcPr>
            <w:tcW w:w="2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312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36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Cash Flows for the period October 2, 2024 through December 31, 2024 (Successor), January 1, 2024 through</w:t>
            </w:r>
          </w:p>
        </w:tc>
        <w:tc>
          <w:tcPr>
            <w:tcW w:w="8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F-10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8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October 1, 2024 (Predecessor) and the year ended December 31, 2023 (Predecessor)</w:t>
            </w:r>
          </w:p>
        </w:tc>
        <w:tc>
          <w:tcPr>
            <w:tcW w:w="3660" w:type="dxa"/>
            <w:vAlign w:val="bottom"/>
            <w:tcBorders>
              <w:top w:val="single" w:sz="8" w:color="0000FF"/>
            </w:tcBorders>
            <w:gridSpan w:val="5"/>
          </w:tcPr>
          <w:p>
            <w:pPr>
              <w:spacing w:after="0"/>
              <w:rPr>
                <w:sz w:val="13"/>
                <w:szCs w:val="13"/>
                <w:color w:val="auto"/>
              </w:rPr>
            </w:pPr>
          </w:p>
        </w:tc>
        <w:tc>
          <w:tcPr>
            <w:tcW w:w="460" w:type="dxa"/>
            <w:vAlign w:val="bottom"/>
            <w:gridSpan w:val="4"/>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7240" w:type="dxa"/>
            <w:vAlign w:val="bottom"/>
            <w:tcBorders>
              <w:left w:val="single" w:sz="8" w:color="0000FF"/>
            </w:tcBorders>
            <w:gridSpan w:val="11"/>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724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Innventure, Inc. and Subsidiaries (the “Company”) as of December 31, 2024, (“Successor”) and Innventure, LLC and Subsidiaries as of December 31, 2023 (“Predecessor”),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year ended December 31, 2023, and the related notes (collectively referred to as the “consolidated financial statements”). In our opinion, the consolidated financial statements present fairly, in all material respects, the financial position of the Company at December 31, 2024 (“Successor”) and 2023 (“Predecessor”), and the results of its operations and its cash flows for the period from October 2, 2024 through December 31, 2024 (Successor), the period from January 1 2024 through October 1, 2024 (“Predecessor”) and the year ended December 31, 2023 (“Predecessor”),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139"/>
          </w:cols>
          <w:pgMar w:left="320" w:top="144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905,289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 current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 to issue equity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29,420</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19)</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6"/>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 as of</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1"/>
                <w:szCs w:val="21"/>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 as of</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 Unitholders'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Preferred Units, no par value, 4,639,557 units authorized, and 4,109,961 units issued and</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B-1 Preferred Units, no par value, 2,600,000 units authorized, and 342,608 units issued and</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500" w:type="dxa"/>
            <w:vAlign w:val="bottom"/>
          </w:tcPr>
          <w:p>
            <w:pPr>
              <w:spacing w:after="0"/>
              <w:rPr>
                <w:sz w:val="21"/>
                <w:szCs w:val="21"/>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176"/>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Units, no par value, 10,975,000 units authorized, and 10,875,000 units issued and outstanding as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December 31, 2023</w:t>
            </w:r>
          </w:p>
        </w:tc>
        <w:tc>
          <w:tcPr>
            <w:tcW w:w="500" w:type="dxa"/>
            <w:vAlign w:val="bottom"/>
            <w:shd w:val="clear" w:color="auto" w:fill="CCEEFF"/>
          </w:tcPr>
          <w:p>
            <w:pPr>
              <w:spacing w:after="0"/>
              <w:rPr>
                <w:sz w:val="21"/>
                <w:szCs w:val="2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176"/>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C Units, no par value, 1,585,125 units authorized, and 1,570,125 units issued and outstanding as of</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c>
          <w:tcPr>
            <w:tcW w:w="500" w:type="dxa"/>
            <w:vAlign w:val="bottom"/>
          </w:tcPr>
          <w:p>
            <w:pPr>
              <w:spacing w:after="0"/>
              <w:rPr>
                <w:sz w:val="21"/>
                <w:szCs w:val="21"/>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176"/>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25,000,000 shares authorized, and 1,102,000 shares issued and</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500" w:type="dxa"/>
            <w:vAlign w:val="bottom"/>
            <w:shd w:val="clear" w:color="auto" w:fill="CCEEFF"/>
          </w:tcPr>
          <w:p>
            <w:pPr>
              <w:spacing w:after="0"/>
              <w:rPr>
                <w:sz w:val="21"/>
                <w:szCs w:val="2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250,000,000 shares authorized, and 44,597,154 shares issued and</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Innventure, Inc., Stockholders’ Equity/ Innventure LLC Unitholders' Deficit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425,516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(20,045)</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Unitholders' Deficit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766,293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905,289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1"/>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(loss) from investments</w:t>
            </w:r>
          </w:p>
        </w:tc>
        <w:tc>
          <w:tcPr>
            <w:tcW w:w="12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120" w:type="dxa"/>
            <w:vAlign w:val="bottom"/>
            <w:shd w:val="clear" w:color="auto" w:fill="CCEEFF"/>
          </w:tcPr>
          <w:p>
            <w:pPr>
              <w:spacing w:after="0"/>
              <w:rPr>
                <w:sz w:val="19"/>
                <w:szCs w:val="19"/>
                <w:color w:val="auto"/>
              </w:rPr>
            </w:pPr>
          </w:p>
        </w:tc>
        <w:tc>
          <w:tcPr>
            <w:tcW w:w="1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(loss) income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2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 of loan commitment fee asset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Miscellaneous other expense</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56"/>
        </w:trPr>
        <w:tc>
          <w:tcPr>
            <w:tcW w:w="60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 Inc. Stockholders / Innventure LLC</w:t>
            </w: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(61,754)</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weighted average common shares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43,951,279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debt securities - related party</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comprehensive income attributable to</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 Innventure, Inc. Stockholders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(60,845)</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(16,374)</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Mezzanine Capital (Predecessor)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22,580</w:t>
            </w: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OCI</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 acquired</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units, net of issuance costs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 value</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(Predecessor)</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issued to non-controlling interest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units, net of issuance costs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176"/>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units to non-controlling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2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interest in exchange of convertible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promissory notes</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 value</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2024 (Predecessor)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51,683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(92,670)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Series B Preferred Stock</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8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00" w:type="dxa"/>
            <w:vAlign w:val="bottom"/>
          </w:tcPr>
          <w:p>
            <w:pPr>
              <w:spacing w:after="0"/>
              <w:rPr>
                <w:sz w:val="12"/>
                <w:szCs w:val="12"/>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 2024 (Successor)</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Effect of acquisition of</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Innventure LLC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43,589,850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804,098</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Reclassification of warrants</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from liability to equity</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175"/>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preferred</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shares, net of issuance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1,102,000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from warrant exercises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(70,093)</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gain,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taxes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acquired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Vesting of contingent at risk</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sponsor shares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preferred</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dividends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56"/>
        </w:trPr>
        <w:tc>
          <w:tcPr>
            <w:tcW w:w="23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1,102,000</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44,597,154</w:t>
            </w:r>
          </w:p>
        </w:tc>
        <w:tc>
          <w:tcPr>
            <w:tcW w:w="8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502,865</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(78,262)</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340,777</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766,293</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jc w:val="right"/>
              <w:ind w:right="128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jc w:val="center"/>
              <w:ind w:right="86"/>
              <w:spacing w:after="0" w:line="102" w:lineRule="exact"/>
              <w:rPr>
                <w:sz w:val="20"/>
                <w:szCs w:val="20"/>
                <w:color w:val="auto"/>
              </w:rPr>
            </w:pPr>
            <w:r>
              <w:rPr>
                <w:rFonts w:ascii="Times New Roman" w:cs="Times New Roman" w:eastAsia="Times New Roman" w:hAnsi="Times New Roman"/>
                <w:sz w:val="11"/>
                <w:szCs w:val="11"/>
                <w:b w:val="1"/>
                <w:bCs w:val="1"/>
                <w:color w:val="auto"/>
                <w:w w:val="97"/>
              </w:rPr>
              <w:t>October 2, 2024 through</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January 1, 2024 through</w:t>
            </w:r>
          </w:p>
        </w:tc>
        <w:tc>
          <w:tcPr>
            <w:tcW w:w="6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Year ended December 31, 2023</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October 1, 2024</w:t>
            </w:r>
          </w:p>
        </w:tc>
        <w:tc>
          <w:tcPr>
            <w:tcW w:w="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Net loss</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(70,093)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(28,198)</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(30,984)</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Stock-based compensation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Write-off of loan commitment fee asset</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487</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Net (gain) loss on investments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6,448</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Equity method investment gain (loss)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632</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Deferred income taxes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Non-cash rent costs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Accrued unpaid interest on note payable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Accounts receivable</w:t>
            </w:r>
          </w:p>
        </w:tc>
        <w:tc>
          <w:tcPr>
            <w:tcW w:w="1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Inventory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Accounts payable</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3,838</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3,181</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Accrued expenses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Obligation to issue equity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10,920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0" w:type="dxa"/>
            <w:vAlign w:val="bottom"/>
          </w:tcPr>
          <w:p>
            <w:pPr>
              <w:spacing w:after="0"/>
              <w:rPr>
                <w:sz w:val="1"/>
                <w:szCs w:val="1"/>
                <w:color w:val="auto"/>
              </w:rPr>
            </w:pP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(29,214)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(18,848)</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(19,476)</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(Used in) Investing Activities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Purchase of shares in equity method investee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Contributions to equity method investee</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Investment in debt securities - equity method investee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Advances to equity method investee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Acquisition of intangible assets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Acquisition of net assets, net of cash acquired, through business combination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sale of investments</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708</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Cash withdrawn from trust as a result of business combination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11,342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6,822</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(5,957)</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(4,667)</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16,009</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13,859</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Proceeds from the issuance of convertible promissory note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issuance of debt securities, net of issuance costs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19,455</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Payment of debts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Receipt of Capital from Class I Unitholder</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the issuance of promissory notes to related parties</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1,004</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Repayment of promissory note</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Provided by Financing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33,466</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38,441</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19,174</w:t>
            </w:r>
          </w:p>
        </w:tc>
        <w:tc>
          <w:tcPr>
            <w:tcW w:w="0" w:type="dxa"/>
            <w:vAlign w:val="bottom"/>
          </w:tcPr>
          <w:p>
            <w:pPr>
              <w:spacing w:after="0"/>
              <w:rPr>
                <w:sz w:val="1"/>
                <w:szCs w:val="1"/>
                <w:color w:val="auto"/>
              </w:rPr>
            </w:pPr>
          </w:p>
        </w:tc>
      </w:tr>
      <w:tr>
        <w:trPr>
          <w:trHeight w:val="149"/>
        </w:trPr>
        <w:tc>
          <w:tcPr>
            <w:tcW w:w="6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11,074</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13,636</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(4,969)</w:t>
            </w:r>
          </w:p>
        </w:tc>
        <w:tc>
          <w:tcPr>
            <w:tcW w:w="0" w:type="dxa"/>
            <w:vAlign w:val="bottom"/>
          </w:tcPr>
          <w:p>
            <w:pPr>
              <w:spacing w:after="0"/>
              <w:rPr>
                <w:sz w:val="1"/>
                <w:szCs w:val="1"/>
                <w:color w:val="auto"/>
              </w:rPr>
            </w:pPr>
          </w:p>
        </w:tc>
      </w:tr>
      <w:tr>
        <w:trPr>
          <w:trHeight w:val="149"/>
        </w:trPr>
        <w:tc>
          <w:tcPr>
            <w:tcW w:w="6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45</w:t>
            </w: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2,575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7,544</w:t>
            </w:r>
          </w:p>
        </w:tc>
        <w:tc>
          <w:tcPr>
            <w:tcW w:w="0" w:type="dxa"/>
            <w:vAlign w:val="bottom"/>
          </w:tcPr>
          <w:p>
            <w:pPr>
              <w:spacing w:after="0"/>
              <w:rPr>
                <w:sz w:val="1"/>
                <w:szCs w:val="1"/>
                <w:color w:val="auto"/>
              </w:rPr>
            </w:pPr>
          </w:p>
        </w:tc>
      </w:tr>
      <w:tr>
        <w:trPr>
          <w:trHeight w:val="155"/>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11,119</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16,211</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jc w:val="right"/>
              <w:ind w:right="128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jc w:val="center"/>
              <w:ind w:right="86"/>
              <w:spacing w:after="0" w:line="102" w:lineRule="exact"/>
              <w:rPr>
                <w:sz w:val="20"/>
                <w:szCs w:val="20"/>
                <w:color w:val="auto"/>
              </w:rPr>
            </w:pPr>
            <w:r>
              <w:rPr>
                <w:rFonts w:ascii="Times New Roman" w:cs="Times New Roman" w:eastAsia="Times New Roman" w:hAnsi="Times New Roman"/>
                <w:sz w:val="11"/>
                <w:szCs w:val="11"/>
                <w:b w:val="1"/>
                <w:bCs w:val="1"/>
                <w:color w:val="auto"/>
                <w:w w:val="97"/>
              </w:rPr>
              <w:t>October 2, 2024 through</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January 1, 2024 through</w:t>
            </w:r>
          </w:p>
        </w:tc>
        <w:tc>
          <w:tcPr>
            <w:tcW w:w="6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Year ended December 31, 2023</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October 1, 2024</w:t>
            </w:r>
          </w:p>
        </w:tc>
        <w:tc>
          <w:tcPr>
            <w:tcW w:w="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Cash paid for interest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1,070</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Financing Information</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Accretion of redeemable units to redemption value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5,366</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Debt discount and embedded derivative upon issuance</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Issuance of units to non-controlling interest in exchange of convertible promissory notes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Conversion of working capital loans to equity method investees into investments in debt securities - related party</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Transfer of liability warrants to equity warrants in the Business Combination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Initial recognition of loan commitment fee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16,190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Transfer of loan commitment fee asset</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prospectus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The Predecessor consolidated financial statements include all amounts of Innventure LLC and its consolidated subsidiaries.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stockholders' deficit, or net income as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cash balance of $11,119, accumulated deficit of $78,262 and a working capital deficit of $45,061. During the year ended December 31, 2024, the Company incurred a net loss of $70,093 for the Successor period from October 2, 2024 through December 31, 2024 and $28,198 for Predecessor period from January 1, 2024 through October 1, 2024.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w:t>
      </w:r>
    </w:p>
    <w:p>
      <w:pPr>
        <w:spacing w:after="0" w:line="1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Subsequent to December 31, 2024, the Company secured additional gross proceeds of $925 through Common Stock issuances as part of the Company’s Standby Equity Purchase Agreement. The Company entered into preferred stock purchase agreements (each, a “Series C Purchase Agreement”, and collectively, the “Series C Purchase Agreements”) on March 24, 2025 to receive gross proceeds of $2,750. Additionally, the Company converted Related party notes into Series C equity, with aggregate principal of $14,000, as discussed in Note 5. Borrowings. The conversion was not determined to be a trouble debt restructuring. Further, the Company entered into a financing agreement on March 25, 2025 to receive up to $30,000 in exchange for convertible debentures, contingent upon certain reporting requirements. For further details on these events, refer to Note 21. Subsequent Events.</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quoted prices in Level 1, such as quoted prices for similar assets or liabilities in active markets;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reflect management’s best estimate of what market participants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in pricing the asset or liability. Consideration is given to the risk inherent in the valuation technique and the risk inherent in the inputs to the model.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Equity method investments are investments where the Company does not consolidate the investee, but can exert significant influence over the financial and operating policies of the investee.</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w:t>
      </w:r>
    </w:p>
    <w:p>
      <w:pPr>
        <w:spacing w:after="0" w:line="13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Exchange-traded equity investments are generally carried at fair value on the consolidated balance sheets with changes in the fair value recorded through net income (“FVTNI”) within non-operating income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and Voting Interest Entities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Investments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Impairment evaluation considers qualitative factors, including the financial conditions and specific events related to an investee, that may indicate the fair value of the investment is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Available-for-sale (“AFS”) debt securities are generally reported at estimated fair value, with unrealized gains and losses recorded in accumulated other comprehensive loss which is included within stockholders’ deficit. AFS debt securities with an amortized cost basis in excess of estimated fair value are assessed to determine what amount of that difference, if any, is caused by expected credit losses. Allowance for credit losses on AFS debt securities are recognized as a charge in other loss on our consolidated statements of income, and any remaining unrealized losses, net of taxes, are included in accumulated other comprehensive income (loss) in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w:t>
      </w:r>
    </w:p>
    <w:p>
      <w:pPr>
        <w:spacing w:after="0" w:line="12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2024 and 2023, the Company had restricted cash related to the capital raise of $— and $100, respectively.</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the Company maintains certain compensating balances that may be withdrawn, but the availability of short-term lines of credit is dependent upon the maintenance of such compensating balances. As of December 31, 2024 and 2023, the Company had compensating balances of $100 and $300,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principally under the average cost method.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lease terms for Leasehold improvements. The Company expenses normal maintenance and repair costs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 depreciated over the revised useful life. Assets to be disposed of are reported at the lower of the carrying value of estimated fair value less estimated costs to sell.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reviewed for impairment whenever events or other changes in circumstances indicate that the carrying amount may not be recoverable.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20"/>
          </w:cols>
          <w:pgMar w:left="320" w:top="11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 of the assets exceeds their estimated fair value determined by either a quoted market price, if any, or a value determined by utilizing a discounted cash flow technique.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reflects the excess purchase price over the fair value of net tangible and intangible assets acquired in a business combination.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 impairment loss equal to the difference. The Company operates in one operating segment which the Company considers to be its only reporting unit. There were no impairments of goodwill recognized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Warrants</w:t>
      </w:r>
    </w:p>
    <w:p>
      <w:pPr>
        <w:spacing w:after="0" w:line="17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judgement and is conducted at the time of warrant issuance and as of each reconsideration and balance sheet date while the warrants are outstanding.</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w:t>
      </w:r>
    </w:p>
    <w:p>
      <w:pPr>
        <w:spacing w:after="0" w:line="12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ESG Fund I, L.P. (the “ESG Fund”), are recognized over time using the time-elapsed method, resulting in straight-line revenue recognition over the performance period. These fees are calculated and paid quarterly in advance based on the capital commitments at the start of each quarter.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20"/>
          </w:cols>
          <w:pgMar w:left="320" w:top="117"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levels, usually 8%. These allocations are considered variable consideration and are recognized when a significant reversal is no longer probable.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participates in multiple stock-based compensation plans which are further discussed in Note 14. Stock-based Compensation.</w:t>
      </w:r>
    </w:p>
    <w:p>
      <w:pPr>
        <w:spacing w:after="0" w:line="17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Expense related to grants of stock-based awards is included in the respective expense category in which the employee serves in the consolidated statements of operations and comprehensive income (loss). The Company recognizes forfeitures as they occur.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There was no federal income tax recorded by Innventure LLC for the year ended December 31, 2023, but corporate income taxes were recorded for the period from January 1, 2024 through October 1, 2024.</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 2024, the Business Combination occurred which merged Innventure LLC into Innventure Merger Sub, LLC, a wholly owned subsidiary of the Company. The Company became a publicly traded entity and is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follows the provisions of ASC 740-10 related to the accounting for uncertainty in income taxes recognized in an enterprise’s financial statements. ASC 740-10 prescribes a comprehensive model for the financial statement recognition, measurement, presentation and disclosure of uncertain tax positions taken or expected to be 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2024 and 2023, no liability for unrecognized tax benefits was required to be reported. The Company does not expect any significant changes in unrecognized tax benefits in the next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00"/>
          </w:cols>
          <w:pgMar w:left="320" w:top="117"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June 2022, the FASB issued ASU 2022-03, Fair Value Measurement (Topic 820): Fair Value Measurement of Equity Securities Subject to Contractual Sale Restrictions ("ASU 2022-03"). ASU 2022-03 clarifies that contractual sale restrictions should not be considered in measuring the fair value of equity securities. ASU 2022-03 is effective for fiscal years beginning after December 15, 2023, including interim periods therein, with early adoption permitted. The Company adopted this ASU on January 1, 2024, and the adoption did not have a material impact on the Company’s consolidated financial statements.</w:t>
      </w:r>
    </w:p>
    <w:p>
      <w:pPr>
        <w:spacing w:after="0" w:line="1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20. Business Segment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Codification Amendments in Response to the SEC’s Disclosure Update and Simplification Initiative (“ASU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Predecessor period, the Company’s equity-method investment in the ESG Fund reflects the Company’s general partner interest which represents approximately 5% of the ESG Fund’s total capital commitments and limited partner interests which were received in exchange for shares of Innventure LLC and Accelsius Holdings LLC prior to October 1, 2024. As of December 31, 2024, the Company’s equity-method investment in the ESG Fund solely reflects interests held by the Company as a limited partner due to the deconsolidation of certain SILOs as further discussed in Note 8. The Predecessor period general partner interest is not consolidated because the ESG Fund is not considered a VIE and the Company does not hold a controlling financial interest in the ESG Fund under the VOE model. The ESG Fund is an investment company that follows a specialized basis of accounting established by GAAP. The Company’s partnership interests in the ESG Fund are substantially illiquid. While the ESG Fund’s holdings are accounted for at fair value, the equity-method investment in the ESG Fund is adjusted to reflect the fair value of the underlying investments of the ESG Fund as of December 31, 2024 and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AeroFlexx has insufficient equity at risk to fund its operations, as of December 31,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AeroFlexx under the equity method and held a 34% and 31% interest in AeroFlexx as of December 31, 2024 and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and maximum exposure relating to AeroFlexx,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in AeroFlexx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debt securities - AFS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ESG Fund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AeroFlexx</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operation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ESG Fund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AeroFlexx</w:t>
            </w:r>
          </w:p>
        </w:tc>
        <w:tc>
          <w:tcPr>
            <w:tcW w:w="11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96"/>
        </w:trPr>
        <w:tc>
          <w:tcPr>
            <w:tcW w:w="47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(Loss) Profit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Exchange-traded investments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invested in PureCycle Technologies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During the Predecessor period from January 1, 2024 through October 1, 2024, the Company sold 400,000 PCT shares for aggregate net proceeds of $2,302. The PCT shares were measured at their fair value immediately prior to the transactions. All remaining PCT shares were derecognized as a result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AFS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 As of July 1, 2024, the aggregate outstanding principal of working capital interest-free advances to AeroFlexx, amounting to $7,635 were included as outstanding term loans under this agreement. During the Predecessor period from January 1, 2024 through October 1, 2024, the Company lent AeroFlexx the remaining principal balance of $2,365 under this agreement.</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by January 1, 2025, AeroFlexx has not raised equity financing equal to or more than a target of $10,000, then on January 2, 2025, the outstanding principal and any unpaid accrued interest on the term loans will automatically convert into Class D preferred units of AeroFlexx at the same price per unit and on the same terms and conditions as the Class D preferred unit of AeroFlexx purchased by the Company prior to the date of this loan agreement, up to the amount necessary to reach the $10,000 target.</w:t>
      </w:r>
    </w:p>
    <w:p>
      <w:pPr>
        <w:spacing w:after="0" w:line="12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gross unrealized gains and losses, and fair value of AFS debt securities as of December 31, 2024 is represented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8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December 31, 2024, there was no allowance for credit loss related to the available for sale securities portfolio. Accrued interest receivable on available for sale debt securities totaled $216 at December 31, 2024.</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by contractual maturity, as of December 31, 2024 is shown below. Expected maturities can differ from contractual maturities.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the contractual maturity of the loan is in 2026, it is included in the non-current line item Investments of the consolidated balance sheets. The change in fair value of this investment in debt securities of $909 for the Successor period from October 2, 2024 through December 31, 2024 is included as Unrealized gain on available-for-sale debt securities - related party in the consolidated statements of operations and comprehensive income (loss). As this investment was acquired at fair value as part of the Business Combination there is no activity for the Predecessor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(Successor) and December 31, 2023 (Predecessor):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0" w:type="dxa"/>
            <w:vAlign w:val="bottom"/>
          </w:tcPr>
          <w:p>
            <w:pPr>
              <w:spacing w:after="0"/>
              <w:rPr>
                <w:sz w:val="1"/>
                <w:szCs w:val="1"/>
                <w:color w:val="auto"/>
              </w:rPr>
            </w:pPr>
          </w:p>
        </w:tc>
      </w:tr>
      <w:tr>
        <w:trPr>
          <w:trHeight w:val="402"/>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(Predecessor)</w:t>
            </w:r>
          </w:p>
        </w:tc>
        <w:tc>
          <w:tcPr>
            <w:tcW w:w="120" w:type="dxa"/>
            <w:vAlign w:val="bottom"/>
          </w:tcPr>
          <w:p>
            <w:pPr>
              <w:spacing w:after="0"/>
              <w:rPr>
                <w:sz w:val="12"/>
                <w:szCs w:val="12"/>
                <w:color w:val="auto"/>
              </w:rPr>
            </w:pPr>
          </w:p>
        </w:tc>
        <w:tc>
          <w:tcPr>
            <w:tcW w:w="15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Successor period from October 2, 2024 through December 31, 2024, the Predecessor period from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240"/>
          </w:cols>
          <w:pgMar w:left="320" w:top="11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2024 through October 1, 2024 and the Predecessor year ended December 31, 2023, respectively,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Forward Contract</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 in debt</w:t>
            </w:r>
          </w:p>
        </w:tc>
        <w:tc>
          <w:tcPr>
            <w:tcW w:w="14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Earnout Liability</w:t>
            </w:r>
          </w:p>
        </w:tc>
        <w:tc>
          <w:tcPr>
            <w:tcW w:w="200" w:type="dxa"/>
            <w:vAlign w:val="bottom"/>
          </w:tcPr>
          <w:p>
            <w:pPr>
              <w:spacing w:after="0"/>
              <w:rPr>
                <w:sz w:val="13"/>
                <w:szCs w:val="13"/>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WTI Warrant</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 AFS</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 (Predecessor)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40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 (Predecessor)</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tcPr>
          <w:p>
            <w:pPr>
              <w:spacing w:after="0"/>
              <w:rPr>
                <w:sz w:val="19"/>
                <w:szCs w:val="19"/>
                <w:color w:val="auto"/>
              </w:rPr>
            </w:pPr>
          </w:p>
        </w:tc>
        <w:tc>
          <w:tcPr>
            <w:tcW w:w="140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1, 2024 (Predecessor)</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 2024 (Successor)</w:t>
            </w:r>
          </w:p>
        </w:tc>
        <w:tc>
          <w:tcPr>
            <w:tcW w:w="120" w:type="dxa"/>
            <w:vAlign w:val="bottom"/>
          </w:tcPr>
          <w:p>
            <w:pPr>
              <w:spacing w:after="0"/>
              <w:rPr>
                <w:sz w:val="19"/>
                <w:szCs w:val="19"/>
                <w:color w:val="auto"/>
              </w:rPr>
            </w:pPr>
          </w:p>
        </w:tc>
        <w:tc>
          <w:tcPr>
            <w:tcW w:w="140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tcPr>
          <w:p>
            <w:pPr>
              <w:spacing w:after="0"/>
              <w:rPr>
                <w:sz w:val="19"/>
                <w:szCs w:val="19"/>
                <w:color w:val="auto"/>
              </w:rPr>
            </w:pPr>
          </w:p>
        </w:tc>
        <w:tc>
          <w:tcPr>
            <w:tcW w:w="130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 (Successor)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Successor period from October 2, 2024 through December 31, 2024, the Predecessor period from January 1, 2024 through October 1, 2024, or for the Predecessor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October 24, 2023, the Company entered into the Standby Equity Purchase Agreement (“SEPA”) with Yorkville, as further described in Note 13. Stockholders' Equity with applicable terms defined. The SEPA became effective concurrently with the Business Combination. The SEPA includes two components subject to fair value measurement: the Purchased Put Option and Forward Contract. These are considered freestanding financial instruments not indexed to the Company’s stock.</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de minimis as of December 31, 2024.</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Forward Contract is initially measured at fair value upon any Advance Notice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and further described in Note 5. Borrowings) are stated at fair value. Fair value is determined utilizing discounted cash flows, using unobservable market data inputs, and an option pricing model based on a probability-weighted expected outcome with respect to a financing or a change of control. The derivatives associated with the 2025 Notes were settled in March 2024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the 2025 Notes in a qualified financing. A summary of the significant unobservable inputs utilized to estimate the fair value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00" w:type="dxa"/>
            <w:vAlign w:val="bottom"/>
          </w:tcPr>
          <w:p>
            <w:pPr>
              <w:spacing w:after="0"/>
              <w:rPr>
                <w:sz w:val="16"/>
                <w:szCs w:val="16"/>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44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- 87%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AFS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 xml:space="preserve">The investment in debt securities is stated at fair value as described in </w:t>
      </w:r>
      <w:r>
        <w:rPr>
          <w:rFonts w:ascii="Times New Roman" w:cs="Times New Roman" w:eastAsia="Times New Roman" w:hAnsi="Times New Roman"/>
          <w:sz w:val="18"/>
          <w:szCs w:val="18"/>
          <w:b w:val="1"/>
          <w:bCs w:val="1"/>
          <w:color w:val="auto"/>
        </w:rPr>
        <w:t>Note 3. Investments</w:t>
      </w:r>
      <w:r>
        <w:rPr>
          <w:rFonts w:ascii="Times New Roman" w:cs="Times New Roman" w:eastAsia="Times New Roman" w:hAnsi="Times New Roman"/>
          <w:sz w:val="18"/>
          <w:szCs w:val="18"/>
          <w:color w:val="auto"/>
        </w:rPr>
        <w:t>. The terms of the securities are such that they are highly likely to convert into Class D Units of AeroFlexx. The fair value of the debt securities is estimated on an as-converted basis using a Black-Scholes model incorporating breakpoints upon which each tranche of AeroFlexx equity participates in distributions.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liquidity</w:t>
            </w:r>
          </w:p>
        </w:tc>
        <w:tc>
          <w:tcPr>
            <w:tcW w:w="17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revenue forecasts are earned on average at the mid-period of the forecast period. The value of the Earnout Shares is calculated as the average present value over all future modeled payoffs.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inputs used in simulating the Company’s stock price include, the term, stock price, volatility, risk-free rate and dividend yield. Prior to the Business Combination, the Company never paid or declared dividends, thus the dividend yield is estimated to be 0% as of December 31, 2024. The following table summarizes the inputs used in simulating the Company’s stock price for purposes of valuing the Earnout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Milestone One and Milestone Two Earnout Shares are equity classified and the Milestone Three Earnout Shares are liability classified, as further described in Note 10. Earnout Shares. The assumptions used in measuring fair value of Milestone One and Milestone Three are considered Level 3 inputs, which include weighted average cost of capital risk premium, operational leverage ratio, revenue risk premium and revenue volatility.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One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unobservable inputs used in estimating the fair value of the Earnout Shares based on revenue for Accelsius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October 2, 2024</w:t>
            </w:r>
          </w:p>
        </w:tc>
      </w:tr>
      <w:tr>
        <w:trPr>
          <w:trHeight w:val="23"/>
        </w:trPr>
        <w:tc>
          <w:tcPr>
            <w:tcW w:w="9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risk premium</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Two</w:t>
      </w:r>
    </w:p>
    <w:p>
      <w:pPr>
        <w:spacing w:after="0" w:line="173"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Milestone Two is contingent on the Company’s formation of a new subsidiary, in partnership with an MNC, as determined using the Innventure LLC's “DownSelect” process, within the Vesting Period. The probability of achievement based on the Company’s analysis was 98% on October 2,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Three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unobservable inputs used in estimating the fair value of the Earnout Shares based on revenue for AeroFlexx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risk premium</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refer to Note 10. Earnout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freestanding warrants to the WTI Lenders in connection with the WTI Facility (as defined and further described in Note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Note 11. Warrants). The fair value measurement of WTI Warrants is based on unobservable inputs (Level 3 fair value measurement).</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Lenders may exchange the WTI Warrants for a total cash payment of $15,000 after the four-year anniversary of issuance. The risk-free interest rate was determined by reference to the U.S. Treasury yield curve.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22, 2024</w:t>
            </w:r>
          </w:p>
        </w:tc>
        <w:tc>
          <w:tcPr>
            <w:tcW w:w="18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 Volatility</w:t>
            </w:r>
          </w:p>
        </w:tc>
        <w:tc>
          <w:tcPr>
            <w:tcW w:w="200" w:type="dxa"/>
            <w:vAlign w:val="bottom"/>
          </w:tcPr>
          <w:p>
            <w:pPr>
              <w:spacing w:after="0"/>
              <w:rPr>
                <w:sz w:val="19"/>
                <w:szCs w:val="19"/>
                <w:color w:val="auto"/>
              </w:rPr>
            </w:pPr>
          </w:p>
        </w:tc>
        <w:tc>
          <w:tcPr>
            <w:tcW w:w="14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56.00 %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56.00 %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Spread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18.60 %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18.80 %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right w:val="single" w:sz="8" w:color="auto"/>
            </w:tcBorders>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36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r>
      <w:tr>
        <w:trPr>
          <w:trHeight w:val="22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2025 - 2026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- 15%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- 15%</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 - 15.99%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5"/>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current portion of related party notes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and notes payable to related parties mature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pacing w:after="0" w:line="1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the event of a change of control or a portfolio company sale, the notes are required to be repaid. In the event of a default, noteholders may elect to convert notes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increases to 18% thereafter.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Noteholders converted their Series 1 promissory notes into Class B Preferred Units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135,133</w:t>
            </w: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conversion rate was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of debt, the impact of which is immaterial to the Company’s financial statements. Upon Closing of the Business Combination, the option for noteholders to convert their Series 1 promissory notes into Class B Preferred Units is no longer available.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1st extension promissory notes</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CCEEFF"/>
            </w:tcBorders>
            <w:gridSpan w:val="2"/>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 of 2nd extension promissory notes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7"/>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45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5"/>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Borders>
              <w:top w:val="single" w:sz="8" w:color="auto"/>
            </w:tcBorders>
            <w:gridSpan w:val="5"/>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5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340" w:type="dxa"/>
            <w:vAlign w:val="bottom"/>
          </w:tcPr>
          <w:p>
            <w:pPr>
              <w:spacing w:after="0"/>
              <w:rPr>
                <w:sz w:val="16"/>
                <w:szCs w:val="16"/>
                <w:color w:val="auto"/>
              </w:rPr>
            </w:pPr>
          </w:p>
        </w:tc>
        <w:tc>
          <w:tcPr>
            <w:tcW w:w="12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Borders>
              <w:top w:val="single" w:sz="8" w:color="CCEEFF"/>
              <w:lef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917"/>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53"/>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principal amount became due on December 21, 2024 but as of December 31, 2024 has not yet been paid and interest will now accrue at the rate of 8.00% per annum. Upon maturity, the Company is required to repay the outstanding principal amount of $1,000 and a loan fee equal to approximately $63. There is no stated interest as per the terms of the executed agreement but it provides for interest at the rate of 8.00% per annum on the outstanding amount from the maturity date if the Company fails to pay any amount due on the maturity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 This conversion option is accounted for as a derivative instrument and the fair value of such is discussed in Note 4.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31, 2024,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$1,119 recorded on the consolidated statements of operations and comprehensive income (loss) in the Predecessor period from January 1, 2024 through October 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2025 Notes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implied discounts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accrued interest of $— and $634 in convertible promissory notes as of December 31, 2024 and 2023, respectively. As of December 31, 2024 and 2023, the unamortized discount was $— and $2,133,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 respect to each of the Second Tranche and the Third Tranche, satisfaction of certain financial conditions and the WTI Lenders’ satisfaction with the Company’s forward-looking plan at such time.</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and six months in the case of each of the Second Tranche and the Third Tranche, in equal monthly installments over a period of thirty months. Obligations are secured by a lien on the majority of the assets of Innventure LLC and Innventure, Inc.</w:t>
      </w:r>
    </w:p>
    <w:p>
      <w:pPr>
        <w:spacing w:after="0" w:line="12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The Company received all $20,000 of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Successor period ended December 31, 2024 was 13.50%.</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Company is amortizing the discount over the term of the WTI Facility using the straight-line method.</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October 22, 2024, when the Company entered into the WTI Facility, the Company recognized $16,735 as a commitment fee asset on the consolidated balance sheets. On November 15, 2024, when the Company received the First Tranche in the amount of $20,000, the prorated portion of the commitment fee asset of $6,694 was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 a debt issuance cost within Notes payable, net of current portion and began amortizing over the term of the First Tranche. On November 30, 2024 and December 31, 2024, management determined that the Second and Third Tranche, respectively, could not be drawn upon due to certain operational thresholds which had not been met for these Tranches. Therefore, the Company wrote off $5,021 and $5,021, respectively on these dates, to Write-off of loan commitment fee asset on the consolidated statements of operations and comprehensive income (loss) as the commitment fee asset could no longer benefit the Company in receiving debt financing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5"/>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1"/>
                <w:szCs w:val="11"/>
                <w:color w:val="auto"/>
              </w:rPr>
            </w:pPr>
          </w:p>
        </w:tc>
        <w:tc>
          <w:tcPr>
            <w:tcW w:w="146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c>
          <w:tcPr>
            <w:tcW w:w="1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5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depreciation expense on property, plant and equipment was as follows:</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6"/>
            <w:vMerge w:val="restart"/>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100" w:type="dxa"/>
            <w:vAlign w:val="bottom"/>
          </w:tcPr>
          <w:p>
            <w:pPr>
              <w:spacing w:after="0"/>
              <w:rPr>
                <w:sz w:val="11"/>
                <w:szCs w:val="11"/>
                <w:color w:val="auto"/>
              </w:rPr>
            </w:pPr>
          </w:p>
        </w:tc>
        <w:tc>
          <w:tcPr>
            <w:tcW w:w="14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Business Combinations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discussed in Note 1. Nature of Business, the Closing of the Business Combination occurred on October 2, 2024 pursuant to the terms of the Business Combination Agreement. Upon Closing, 250,000,000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w:t>
      </w:r>
    </w:p>
    <w:p>
      <w:pPr>
        <w:spacing w:after="0" w:line="1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Transferred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Business Combination (the “Purchase Consideration”) paid to the holders of Innventure LLC’s outstanding equity and profits interests and warrants, other than the Class PCTA Units and the Class I Units (such holders, the “Innventure Members”), consisted of 43,494,999 shares of Common Stock. A portion of this Purchase Consideration to be delivered to Innventure Members consists of a contingent right to receive up to 5,000,000 (the “Company Earnout Shares”) shares of Common Stock. Refer to Note 10. Earnout Shares for more details on the Company Earnout Shares.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and outstanding at the Closing of the Business Combination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Units</w:t>
            </w: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Immediately Prior to</w:t>
            </w: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Common Stock Upon</w:t>
            </w:r>
          </w:p>
        </w:tc>
        <w:tc>
          <w:tcPr>
            <w:tcW w:w="0" w:type="dxa"/>
            <w:vAlign w:val="bottom"/>
          </w:tcPr>
          <w:p>
            <w:pPr>
              <w:spacing w:after="0"/>
              <w:rPr>
                <w:sz w:val="1"/>
                <w:szCs w:val="1"/>
                <w:color w:val="auto"/>
              </w:rPr>
            </w:pPr>
          </w:p>
        </w:tc>
      </w:tr>
      <w:tr>
        <w:trPr>
          <w:trHeight w:val="195"/>
        </w:trPr>
        <w:tc>
          <w:tcPr>
            <w:tcW w:w="6360" w:type="dxa"/>
            <w:vAlign w:val="bottom"/>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 Ratio</w:t>
            </w: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22,754,664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5,609,951</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11,738,165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716,867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16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3,285,303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18,397,684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Learn CW Shares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 CW Public shareholders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 CW Class B Shareholders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Learn CW shares subject to clawback provisions</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(932,823)</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Stock Issued and Outstanding at Closing</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43,589,850</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consideration transferred for the Business Combination is summarized as follows:</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Holdco Common Stock transferred to Innventure Members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472,421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business enterprise value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815,451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the 38,494,999 of aggregate consideration paid in shares (excluding the Company Earnout shares) at a Closing share price of $10.87.</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the Company Earnout Shares issued and contingently issuable to Innventure Members. Refer to Note 10. Earnout Shares for more details.</w:t>
      </w:r>
    </w:p>
    <w:p>
      <w:pPr>
        <w:spacing w:after="0" w:line="14" w:lineRule="exact"/>
        <w:rPr>
          <w:rFonts w:ascii="Times New Roman" w:cs="Times New Roman" w:eastAsia="Times New Roman" w:hAnsi="Times New Roman"/>
          <w:sz w:val="14"/>
          <w:szCs w:val="14"/>
          <w:color w:val="auto"/>
        </w:rPr>
      </w:pPr>
    </w:p>
    <w:p>
      <w:pPr>
        <w:ind w:left="340" w:right="380" w:hanging="332"/>
        <w:spacing w:after="0" w:line="262"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 normalized tax rate of 27.9%, normalized net working capital of 18%, and weighted average cost of capital of 17.6%.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cash flow activity as a result of the Business Combination is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transferred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Cash and cash equivalents acquired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activity as a result of the Business Combination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 from Learn CW trust account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proceeds from Series B Preferred Stock issuance</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10,572</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Innventure, Inc. cash sources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21,914</w:t>
            </w:r>
          </w:p>
        </w:tc>
      </w:tr>
      <w:tr>
        <w:trPr>
          <w:trHeight w:val="216"/>
        </w:trPr>
        <w:tc>
          <w:tcPr>
            <w:tcW w:w="9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Learn CW accounts payable and accrued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Learn CW promissory note due to Sponsor</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Innventure LLC transaction costs at Closing</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22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uses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20,067</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proceeds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or per share data)</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54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purchase consideration was allocated to the following assets and liabilities: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8"/>
        </w:trPr>
        <w:tc>
          <w:tcPr>
            <w:tcW w:w="9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223,299</w:t>
            </w:r>
          </w:p>
        </w:tc>
      </w:tr>
      <w:tr>
        <w:trPr>
          <w:trHeight w:val="196"/>
        </w:trPr>
        <w:tc>
          <w:tcPr>
            <w:tcW w:w="9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w:t>
            </w: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75,784</w:t>
            </w:r>
          </w:p>
        </w:tc>
      </w:tr>
      <w:tr>
        <w:trPr>
          <w:trHeight w:val="196"/>
        </w:trPr>
        <w:tc>
          <w:tcPr>
            <w:tcW w:w="9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147,515</w:t>
            </w:r>
          </w:p>
        </w:tc>
      </w:tr>
      <w:tr>
        <w:trPr>
          <w:trHeight w:val="216"/>
        </w:trPr>
        <w:tc>
          <w:tcPr>
            <w:tcW w:w="9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667,936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assessment of fair value is preliminary and is based on information that was available to management and through the end of the fiscal year. If additional information of events or circumstances that existed at Closing becomes available to management related to assets acquired or liabilities assumed subsequent to this preliminary assessment of fair value but not later than one year after Closing, measurement period adjustments will be recorded in the period in which they are determined, as if they had been completed at the Closing Date.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definite-lived intangible assets as of the Closing Date included: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187,500</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1240"/>
          </w:cols>
          <w:pgMar w:left="320" w:top="117"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Goodwill and Intangible Assets for additional information.</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Predecessor financial statements for the year ended December 31, 2023, include $3,452 transaction costs from Innventure LLC and for the period from January 1, 2024 to October 1, 2024 include $9,627 of transaction costs from Innventure LLC. These transaction costs are recorded within General and administrative expenses within the consolidated statements of operations and comprehensive income (loss). Prior to the Closing Date, Learn CW incurred $9,233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$455 and net loss of $18,333 in the consolidated statements of operations and comprehensive income (loss) for the Successor period from October 2, 2024 through December 31, 2024.</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LLC incurred certain acquiree expenses contingent solely upon the consummation of the Business Combination. Such costs consisted of $5,292 in transaction costs and $223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 indicative of results of operations that would have been achieved had the Business Combination taken place on the date indicated, or the future consolidated results of operations of the Company.</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years ended December 31, 2024 and 2023 are $1,219 and $1,117, respectively. The amounts of net loss for the years ended December 31, 2024 and 2023 are $105,972 and $74,165,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 Assets</w:t>
      </w:r>
    </w:p>
    <w:p>
      <w:pPr>
        <w:spacing w:after="0" w:line="175"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There was no goodwill on the consolidated balance sheets during the Predecessor periods. For the Successor period from October 2, 2024 through December 31, 2024, there was $667,936 of goodwill recognized in connection with the Business Combination and no change to this value as of December 31, 2024. Refer to Note 8. Business Combinations for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20" w:type="dxa"/>
            <w:vAlign w:val="bottom"/>
            <w:gridSpan w:val="6"/>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1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9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420" w:type="dxa"/>
            <w:vAlign w:val="bottom"/>
            <w:gridSpan w:val="2"/>
            <w:vMerge w:val="continue"/>
          </w:tcPr>
          <w:p>
            <w:pPr>
              <w:spacing w:after="0"/>
              <w:rPr>
                <w:sz w:val="12"/>
                <w:szCs w:val="12"/>
                <w:color w:val="auto"/>
              </w:rPr>
            </w:pPr>
          </w:p>
        </w:tc>
        <w:tc>
          <w:tcPr>
            <w:tcW w:w="15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900" w:type="dxa"/>
            <w:vAlign w:val="bottom"/>
            <w:gridSpan w:val="5"/>
            <w:vMerge w:val="continue"/>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40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intangible assets on the consolidated balance sheets during the Predecessor periods; therefore, no amortization expense was recognized. Amortization expense was $5,377 for the Successor period from October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or per share data)</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4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2024 through December 31, 2024 and is recorded on the consolidated statements of operations and comprehensive income (loss).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9680" w:type="dxa"/>
            <w:vAlign w:val="bottom"/>
          </w:tcPr>
          <w:p>
            <w:pPr>
              <w:spacing w:after="0"/>
              <w:rPr>
                <w:sz w:val="24"/>
                <w:szCs w:val="24"/>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9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Earnout Shares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Upon Closing of the Business Combination, 5,000,000 Company Earnout Shares were contingently issuable to Innventure Members. Additionally, 344,828 earnout shares were issued to the Sponsor who received consideration in the Business Combination. These shares, referred to as "Sponsor Earnout Shares," are subject to clawback. The Company Earnout Shares and the Sponsor Earnout Shares are collectively referred to as the “Earnout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Shares will vest upon the following milestone conditions:</w:t>
      </w:r>
    </w:p>
    <w:p>
      <w:pPr>
        <w:spacing w:after="0" w:line="171" w:lineRule="exact"/>
        <w:rPr>
          <w:sz w:val="20"/>
          <w:szCs w:val="20"/>
          <w:color w:val="auto"/>
        </w:rPr>
      </w:pPr>
    </w:p>
    <w:p>
      <w:pPr>
        <w:jc w:val="both"/>
        <w:ind w:left="660" w:right="22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Earnout Shares will vest upon Accelsius having entered into binding contracts providing for revenue for the Company (as defined in the Business Combination Agreement) within 7 years following the Closing (the “Vesting Period”) in excess of $15,000 in revenue ("Milestone One");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Earnout Shares will vest upon the Company’s formation of a new subsidiary, in partnership with an MNC, as determined using the Innventure LLC's “DownSelect” process, within the Vesting Period ("Milestone Two");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Earnout Shares will vest upon AeroFlexx having received in excess of $15,000 revenue within the Vesting Period ("Milestone Three").</w:t>
      </w:r>
    </w:p>
    <w:p>
      <w:pPr>
        <w:spacing w:after="0" w:line="17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Earnout Shares related to Milestone One and Milestone Two were determined to be classified as equity. At Closing, 4,275,862 equity-classified Earnout Shares were fair valued at $46,350, inclusive of 2,137,931 Milestone One shares fair valued at $23,175 and 2,137,931 Milestone Two shares fair valued at $23,175 which are presented in Additional paid-in capital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Shares related to Milestone Three are classified as a liability. At Closing, 1,068,966 liability-classified Earnout Shares were fair valued at</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$11,352 and subsequently fair valued at $14,752 as of December 31, 2024. The Company recognized a loss of $3,400 in Change in fair value of financial liabilities on the consolidated statements of operations and comprehensive income (loss) for the Successor period from October 2, 2024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Public</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Private</w:t>
            </w:r>
          </w:p>
        </w:tc>
        <w:tc>
          <w:tcPr>
            <w:tcW w:w="15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Number of WTI</w:t>
            </w:r>
          </w:p>
        </w:tc>
      </w:tr>
      <w:tr>
        <w:trPr>
          <w:trHeight w:val="195"/>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October 2, 2024 (Successor)</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11,499,997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11,240,688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There were no warrants outstanding during the Predecessor period from January 1, 2024 through October 1, 2024 nor the Predecessor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Placement Warrants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11,499,997 Learn CW public warrants and 7,146,000 private placement warrants outstanding immediately prior to Closing was assumed by the Company and each converted into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w:t>
      </w:r>
    </w:p>
    <w:p>
      <w:pPr>
        <w:spacing w:after="0" w:line="12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At Closing, the fair value of the equity classified public warrants was $1,265 and is presented in the consolidated balance sheets. See Note 4. Fair Value for details on valuation. The public warrants expire on October 2, 2029. During the Successor period from October 2, 2024 through December 31, 2024, 259,309 public warrants were exercised. Each public warrant that was exercised was converted into one share of Common Stock for an exercise price of $11.50, amounting to a total of $2,982 cash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liability classified and are not eligible for an exception from derivative accounting. The private placement warrants are presented as a current liability on the consolidated balance sheets given their exercisable term, which is 30 days from Closing. The private placement warrants are measured at fair value based on the price of the public warrants (Level 2 fair value measurement).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Closing and December 31, 2024, the fair value of the liability-classified private placement warrants is $786 and $16,793, respectively, and is presented in the consolidated balance sheets. For the Successor period from October 2, 2024 through December 31, 2024, the company recognized a loss of $16,007 in Change in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liabilities on the consolidated statements of operations and comprehensive income (loss). There were no private warrants exercised for the year ended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47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16,793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"WTI Warrants") to the WTI Lenders. The WTI Warrants allow the holders to acquire shares of the Company’s Common Stock or any future equity securities issued by the Company ("Subsequent Round Stock") for cash, at a purchase price equal to $0.01 per share. The number of shares acquirable is determined by dividing $10,000 by the applicable exercise price, which varies depending on the type of stock acquired and certain other conditions.</w:t>
      </w:r>
    </w:p>
    <w:p>
      <w:pPr>
        <w:spacing w:after="0" w:line="126" w:lineRule="exact"/>
        <w:rPr>
          <w:sz w:val="20"/>
          <w:szCs w:val="20"/>
          <w:color w:val="auto"/>
        </w:rPr>
      </w:pPr>
    </w:p>
    <w:p>
      <w:pPr>
        <w:ind w:left="660" w:right="4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WTI Lenders choose to exercise the warrants for Common Stock, the exercise price is $10.00 per share; however, if the volume-weighted average price (VWAP) of the Company's Common Stock is less than $10.00 per share as of the date which is eighteen months after the Company's Common Stock began trading, then the exercise price shall be reduced to such lower VWAP.</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WTI Lenders choose to exercise the warrants for Subsequent Round Stock, the exercise price shall be the lowest price per share paid by any person for the Company's equity securities issued in a corresponding subsequent round.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WTI Warrants are exercisable at the option of the holders until March 31, 2035, and may be exchanged for a cash amount of $15,000 (subject to ratable reduction for partial exercises) upon the occurrence of certain liquidity events or at any time from and after October 22, 2028. The holders also have the right to participate in future equity or convertible debt offerings up to an aggregate amount of $5,000 or to maintain their pro rata ownership, subject to customary exclusions.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WTI Warrants are considered freestanding financial instruments and are recorded at fair value on the consolidated balance sheets as a warrant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WTI Warrants upon issuance was $15,690. For the period from issuance to December 31, 2024, the Company recognized a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$1,540 in Change in fair value of financial liabilities on the consolidated statements of operations and comprehensive income (loss). See Note 4.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on the valuation.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47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7"/>
              </w:rPr>
              <w:t>varies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17,230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Mezzanine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redemption of Class PCTA Units or Class I Units is not solely in control of the Company and, as such, both classes of units are considered redeemable at the option of the holder. The Class PCTA Units are probable of becoming redeemable and the Class I Units are currently redeemable. As such, these units are accreted to redemption value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PCTA Units are valued on a monthly basis to align with the underlying value of the PCT stock. Changes in the redemption value (e.g., fair value) are recognized immediately as they occur and the carrying value of the instrument is adjusted to equal the redemption value at the end of each reporting period. Class I Units are valued on a quarterly basis based on the underlying fair value of the ESG Fund.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Class PCTA and Class I Unit holders are based on their ownership percentage of the respective class.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1,000,000 Class PCTA Units, Innventure1 is obligated to acquire Class B-1 Preferred Units after the achievement of certain operational milestones at PCT.</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 There is no maximum amount the Company could be required to pay if the instrument is redeemed.</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will distribute the Class I investments held by Innventus ESG Fund I, L.P., to the investor in-kind at the election of WE-INN LLC. There is no maximum amount that the Company could be required to pay if the instrument is redeemed.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w:t>
      </w:r>
    </w:p>
    <w:p>
      <w:pPr>
        <w:spacing w:after="0" w:line="12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117"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w:t>
      </w:r>
    </w:p>
    <w:p>
      <w:pPr>
        <w:ind w:right="200" w:firstLine="8"/>
        <w:spacing w:after="0" w:line="260"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Reset Conversion Price, where the “Reset Conversion Price” means the greater of: (a) $5.00 and (b) the 10-trading day volume-weighted average closing price of the Common Stock. Any fractional shares resulting from conversion will be rounded up to the next whole share.</w:t>
      </w:r>
    </w:p>
    <w:p>
      <w:pPr>
        <w:spacing w:after="0" w:line="1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$217.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Immediately following the Business Combination, there were 43,589,850 shares of Common Stock issued and outstanding as further discussed in Note 8. Business Combinations. As of December 31, 2024 there were 44,597,154 shares of Common Stock issued and outstanding due to the issuance of Common Stock, exercise of Public Warrants, the issuance of Common Stock in relation to the Standby Equity Purchase Agreement, and the vesting of Earnout Shares that occurred prior to year end.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2023, we entered into the SEPA with YA II PN, LTD., an exempt limited partnership from the Cayman Islands (“Yorkville”). Concurrently with the Business Combination, this agreement became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at the Company’s request any time during the commitment period commencing on the Closing and continuing for a term of 3 years (“Purchased Put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As consideration, Innventure agreed and paid, to YA Global II SPV, LLC, a subsidiary of Yorkville, (i) a structuring fee in the amount of $25 and</w:t>
      </w:r>
    </w:p>
    <w:p>
      <w:pPr>
        <w:spacing w:after="0" w:line="21" w:lineRule="exact"/>
        <w:rPr>
          <w:sz w:val="20"/>
          <w:szCs w:val="20"/>
          <w:color w:val="auto"/>
        </w:rPr>
      </w:pPr>
    </w:p>
    <w:p>
      <w:pPr>
        <w:ind w:right="680" w:firstLine="8"/>
        <w:spacing w:after="0" w:line="255"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fee of $375.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year ended December 31, 2024.</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advance that Innventure issues in writing to Yorkville under the SEPA (each, an “Advance,” and notice of such request, and “Advance Notice”) may be in an amount of Common Stock up to the greater of: (i) $10,000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00"/>
          </w:cols>
          <w:pgMar w:left="320" w:top="117" w:right="3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24, 2024, the Company issued and sold 60,000 shares of Common Stock in amount of $770, based on the settlement date closing stock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on December 30, 2024, the Company issued and sold 75,000 shares of Common Stock in an amount of $965.</w:t>
      </w:r>
    </w:p>
    <w:p>
      <w:pPr>
        <w:spacing w:after="0" w:line="15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sold 135,000 shares of Common Stock under the SEPA, raising $1,735 which is classified within Issuance of common shares, net of issuance costs in the consolidated statements of changes in stockholders' equity (deficit).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Risk Sponsor Shares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Agreement, the Company entered into the Sponsor Support Agreement under which 5,000,000 shares were issued to the Sponsor at the Closing, as follows: 2,775,172 Fixed Shares, 344,828 Sponsor Earnout Shares, and 1,880,000 At Risk Sponsor Shares.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Fixed Shares issued to the sponsor are not subject to any contingencies or forfeiture provisions. The Sponsor Earnout Shares are issued until they are deemed forfeited due to non-achievement of the associated Milestones. See Note 10. Earnout Shares 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Similar to the Sponsor Earnout Shares, all the At-Risk Sponsor Shares were entitled to non-forfeitable dividends or distributions along with other common stockholders of the Company, from their issuance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The resulting liabilities for these unissued securities are included within Liability for future equity issuance on the consolidated balance sheets.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is obligated to pay a success fee in cash in an amount of $600 and equity success fee in $3,000 of Series C Preferred Stock, par value $0.0001 per share, of the Company (the “Series C Preferred Stock”) at $10.00 per share. As of December 31, 2024, the Company has no Series C Preferred Stock outstanding and, therefore, has not yet issued this 300,000 Series C Preferred Stock.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20"/>
          </w:cols>
          <w:pgMar w:left="320" w:top="117"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liabilities for these unissued securities are included within Obligation to issue equity on the consolidated balance sheets.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Incentive Plan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compensation costs related to the Capital Incentive Plan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3"/>
          </w:tcPr>
          <w:p>
            <w:pPr>
              <w:jc w:val="right"/>
              <w:ind w:right="116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680" w:type="dxa"/>
            <w:vAlign w:val="bottom"/>
            <w:tcBorders>
              <w:right w:val="single" w:sz="8" w:color="auto"/>
            </w:tcBorders>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80" w:type="dxa"/>
            <w:vAlign w:val="bottom"/>
          </w:tcPr>
          <w:p>
            <w:pPr>
              <w:spacing w:after="0"/>
              <w:rPr>
                <w:sz w:val="12"/>
                <w:szCs w:val="12"/>
                <w:color w:val="auto"/>
              </w:rPr>
            </w:pP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 2024, the Company entered into the 2024 Equity and Incentive Compensation Plan (the “Plan”), wherein the Company is permitted to grant awards to employees, directors, consultants, and former service providers of the Company. The Plan provides for the granting of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9, 2024, the Company granted 975,409 stock options and 2,036,476 restricted stock units (together the “Awards”) to certain directors, employees and consultants. The Awards vest over the service periods defined in each individual grant agreement, which is generally accelerated upon a change in control. All RSUs will be vested by May 1, 2027 and all stock options will be vested by April 30, 2027. The fair value of the Awards issued to employees is recognized as compensation expense on a straight-line basis over the requisite service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RSU activity for the Successor period from October 2, 2024 through December 31, 2024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on December 9,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Successor period from October 2, 2024 through December 31, 2024, the Company recognized compensation costs related to the RSUs of $1,604 within General and administrative expense in the consolidated statements of operations and comprehensive income (loss). As of December 31, 2024, the Company had $23,241 in stock-based compensation expense remaining to be recognized over approximately 1.65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stock options were granted with an exercise price of $12.20, which aligns with the Company’s closing share price on December 9, 2024. Using the Black-Scholes option pricing model, the estimated grant date fair value of stock options was $6,468 based on an expected volatility of 56%, an expected option term of approximately 5.28 - 5.62 years, and risk-free rate of return of 4.0 - 4.1%. The stock options have a maximum contractual life, and a weighted average remaining contractual term, of 10 years from the grant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activity for the Successor period from October 2, 2024 through December 31, 2024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on December 9,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6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Borders>
              <w:top w:val="single" w:sz="8" w:color="CCEEFF"/>
            </w:tcBorders>
            <w:vMerge w:val="continue"/>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Successor period from October 2, 2024 through December 31, 2024, the Company recognized compensation costs related to the stock options of $405 within General and administrative expense in the consolidated statements of operations and comprehensive income (loss). As of December 31, 2024, the Company had $6,063 in compensation expense remaining to be recognized over approximately 1.68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Common Stock, or cash, equal to the value of the appreciation in Accelsius’ stock price over the base price of $12.175. Two Participants, who were considered non-employees, were granted cash-settled SARs and three Participants were granted stock-settled SARs. The cash-settled SARs are considered liability-classified and the stock-settled SARs are considered equity-classified</w:t>
      </w:r>
    </w:p>
    <w:p>
      <w:pPr>
        <w:spacing w:after="0" w:line="1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Both the cash-settled SARs and stock-settled SARs will be automatically exercised upon the two-year anniversary of the date of grant. The weighted average contractual term is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estimated grant date fair value of the cash-settled SARs and the stock-settled SARs was $1,160 and $12,371, respectively. The SARs were valued using the Black-Scholes option-pricing model based on an expected volatility of 70%, an expected term of approximately 2 years, and risk-free rate of return of 4%. The SARs are considered fully vested at the date of grant and compensation cost for both SARs was recognized immediately at the date of grant. During the Successor period from October 2, 2024 through December 31, 2024, the Company recorded $13,531 in compensation expense related to the SARs within General and administrative expense in the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SARs activity for the Successor period from October 2, 2024 through December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Cash-settled SARs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Stock-settled SARs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gridSpan w:val="3"/>
            <w:vMerge w:val="continue"/>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on December 9,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Accelsius Subsidiary Equity Plan</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Accelsius, a subsidiary of the Company, adopted an equity incentive plan on March 24, 2022 (the “Accelsius Subsidiary Equity Plan”). In March 2023, the Accelsius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Accelsius has the option to repurchase all vested units upon an employee’s termination of employment or service.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Accelsius Subsidiary Equity Plan activity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 Period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Predecessor Period</w:t>
            </w: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9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680" w:type="dxa"/>
            <w:vAlign w:val="bottom"/>
            <w:tcBorders>
              <w:right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80" w:type="dxa"/>
            <w:vAlign w:val="bottom"/>
          </w:tcPr>
          <w:p>
            <w:pPr>
              <w:spacing w:after="0"/>
              <w:rPr>
                <w:sz w:val="12"/>
                <w:szCs w:val="12"/>
                <w:color w:val="auto"/>
              </w:rPr>
            </w:pPr>
          </w:p>
        </w:tc>
        <w:tc>
          <w:tcPr>
            <w:tcW w:w="1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60" w:type="dxa"/>
            <w:vAlign w:val="bottom"/>
          </w:tcPr>
          <w:p>
            <w:pPr>
              <w:spacing w:after="0"/>
              <w:rPr>
                <w:sz w:val="17"/>
                <w:szCs w:val="17"/>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 granted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110,000</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The grant date fair value per share for the year ended December 31, 2023 is an average amount.</w:t>
      </w:r>
    </w:p>
    <w:p>
      <w:pPr>
        <w:spacing w:after="0" w:line="1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within General and administrative, Sales and marketing and Research and development expense in the consolidated statements of operations and comprehensive income (loss). As of December 31, 2024, the Company had $8,103 in unit-based compensation expense remaining to be recognized over approximately 2.42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Issuance</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18 2024, Accelsius issued 16,427 equity classified Series A Preferred Units to an employee of the Company which was determined to be stock based payment. The grant date fair value of $616 was recognized as compensation cost (within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Company began selling products and services in its technology segment.</w:t>
      </w:r>
    </w:p>
    <w:p>
      <w:pPr>
        <w:spacing w:after="0" w:line="17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Successor period from October 2, 2024 through December 31, 2024, the Predecessor period from January 1, 2024 through October 1, 2024 and the Predecessor year ended December 31, 2023, as the amounts were probable of significant reversal given the consideration is highly susceptible to factors outside the Company's influence. Cumulative carried interest allocation amounts that are subject to restraint and as such are not yet recognized were $11,282 and $5,880 as of December 31, 2024 and 2023, respectively. The Company also provides management services to AeroFlexx, which do not have a carried interest feature.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breakout of revenue by source: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6"/>
                <w:szCs w:val="16"/>
                <w:color w:val="auto"/>
              </w:rPr>
            </w:pPr>
          </w:p>
        </w:tc>
        <w:tc>
          <w:tcPr>
            <w:tcW w:w="3020" w:type="dxa"/>
            <w:vAlign w:val="bottom"/>
            <w:gridSpan w:val="4"/>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63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31"/>
        </w:trPr>
        <w:tc>
          <w:tcPr>
            <w:tcW w:w="6360" w:type="dxa"/>
            <w:vAlign w:val="bottom"/>
          </w:tcPr>
          <w:p>
            <w:pPr>
              <w:spacing w:after="0"/>
              <w:rPr>
                <w:sz w:val="11"/>
                <w:szCs w:val="11"/>
                <w:color w:val="auto"/>
              </w:rPr>
            </w:pPr>
          </w:p>
        </w:tc>
        <w:tc>
          <w:tcPr>
            <w:tcW w:w="15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0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revenue</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major customer concentration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80" w:type="dxa"/>
            <w:vAlign w:val="bottom"/>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4"/>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760" w:type="dxa"/>
            <w:vAlign w:val="bottom"/>
            <w:gridSpan w:val="3"/>
          </w:tcPr>
          <w:p>
            <w:pPr>
              <w:spacing w:after="0"/>
              <w:rPr>
                <w:sz w:val="2"/>
                <w:szCs w:val="2"/>
                <w:color w:val="auto"/>
              </w:rPr>
            </w:pPr>
          </w:p>
        </w:tc>
        <w:tc>
          <w:tcPr>
            <w:tcW w:w="1680" w:type="dxa"/>
            <w:vAlign w:val="bottom"/>
            <w:gridSpan w:val="2"/>
          </w:tcPr>
          <w:p>
            <w:pPr>
              <w:spacing w:after="0"/>
              <w:rPr>
                <w:sz w:val="2"/>
                <w:szCs w:val="2"/>
                <w:color w:val="auto"/>
              </w:rPr>
            </w:pPr>
          </w:p>
        </w:tc>
      </w:tr>
      <w:tr>
        <w:trPr>
          <w:trHeight w:val="128"/>
        </w:trPr>
        <w:tc>
          <w:tcPr>
            <w:tcW w:w="6020" w:type="dxa"/>
            <w:vAlign w:val="bottom"/>
          </w:tcPr>
          <w:p>
            <w:pPr>
              <w:spacing w:after="0"/>
              <w:rPr>
                <w:sz w:val="11"/>
                <w:szCs w:val="11"/>
                <w:color w:val="auto"/>
              </w:rPr>
            </w:pPr>
          </w:p>
        </w:tc>
        <w:tc>
          <w:tcPr>
            <w:tcW w:w="16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00" w:type="dxa"/>
            <w:vAlign w:val="bottom"/>
          </w:tcPr>
          <w:p>
            <w:pPr>
              <w:spacing w:after="0"/>
              <w:rPr>
                <w:sz w:val="11"/>
                <w:szCs w:val="11"/>
                <w:color w:val="auto"/>
              </w:rPr>
            </w:pPr>
          </w:p>
        </w:tc>
        <w:tc>
          <w:tcPr>
            <w:tcW w:w="176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6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6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 Related Party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 - Related Party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Concentration of Major Customers</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97.8 %</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6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this structure to remain in existence for the foreseeable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80" w:type="dxa"/>
            <w:vAlign w:val="bottom"/>
          </w:tcPr>
          <w:p>
            <w:pPr>
              <w:spacing w:after="0"/>
              <w:rPr>
                <w:sz w:val="11"/>
                <w:szCs w:val="11"/>
                <w:color w:val="auto"/>
              </w:rPr>
            </w:pP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Expense:</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Expense</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Expense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statutory federal tax and the total income tax expense (benefit)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6"/>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7"/>
                <w:szCs w:val="17"/>
                <w:color w:val="auto"/>
              </w:rPr>
            </w:pPr>
          </w:p>
        </w:tc>
        <w:tc>
          <w:tcPr>
            <w:tcW w:w="14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at federal statutory rate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pre-tax earnings of corporate subsidiaries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earnout fair value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 (benefit) for income taxes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Significant components of deferred tax assets and liabilities as of December 31, 2024 and 2023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R&amp;D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and other accruals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carry-forwards and other tax attributes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Valuation allowances are established when it is more likely than not that all or a portion of a deferred tax asset will not be realized. The valuation allowance on deferred tax assets was $11,664 as of December 31, 2024 and $5,910 as of December 31, 2023, resulting in a net change of $5,754. The increase in valuation allowance of $15,115 during the period mainly relates to U.S. federal and state operating loss carryforwards and equity based compensation deferred tax assets that were deemed unrealizable. During this period, Accelsius recognized significant deferred tax liabilities from acquired intangible assets as part of the Business Combination. The deferred tax liability provided a new source of income to realize the existing deferred tax assets, which provided enough positive evidence to release the valuation allowance of $9,361. The Company and the remaining corporate subsidiaries maintained the valuation allowance as the entities have been in a pre-tax loss position, with insufficient projected taxable income (exclusive of reversing taxable temporary differences) to recognize the benefit of net deferred tax assets as of the end of the year.</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2024, the taxable entity had net operating loss carryforwards for income tax purposes of approximately $62,653 related to federal taxes, all of which may be carried forward indefinitely. The Company and certain subsidiaries also have state net operating loss (“NOL”) carryforwards in the amount of $39,262. The state NOL carryforwards begin to expire in 2038, however, some state NOL’s are able to be carried forward indefinitely.</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no material unrecognized income tax benefits or uncertain tax positions. Also, we do not expect to incur interest charges or penalties related to our tax positions,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such charges or penalties are incurred, our policy is to account for interest charges as interest expense and penalties as tax expense in the consolidated statements of operations.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tax years 2022 through 2024 remain open and subject to examination by the Internal Revenue Service and the states where the Company has nexus.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p>
      <w:pPr>
        <w:spacing w:after="0" w:line="1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and WTI warrants, which are determined to be participating securities, do not have a contractual obligation to fund losses, undistributed net losses are not allocated to them for purposes of the loss per share calculation.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EPS calculations for the Successor period from October 2, 2024 through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9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31"/>
        </w:trPr>
        <w:tc>
          <w:tcPr>
            <w:tcW w:w="9680" w:type="dxa"/>
            <w:vAlign w:val="bottom"/>
          </w:tcPr>
          <w:p>
            <w:pPr>
              <w:spacing w:after="0"/>
              <w:rPr>
                <w:sz w:val="11"/>
                <w:szCs w:val="11"/>
                <w:color w:val="auto"/>
              </w:rPr>
            </w:pPr>
          </w:p>
        </w:tc>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r>
      <w:tr>
        <w:trPr>
          <w:trHeight w:val="195"/>
        </w:trPr>
        <w:tc>
          <w:tcPr>
            <w:tcW w:w="9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(61,754)</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Undistributed loss for participating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(61,971)</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(61,971)</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96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31"/>
        </w:trPr>
        <w:tc>
          <w:tcPr>
            <w:tcW w:w="968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1,011,869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975,409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2,036,476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In addition, the Company had a convertible note to the ESG Fund as part of the 2025 Notes which was converted during the Predecessor period from January 1, 2024 through October 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14. Stock-based Compensation, the Company issued various equity awards to related parties throughout 2024. On December 9, 2024, the Company issued 1,246,722 RSUs with a grant date fair value of $15,210, and 590,163 stock options with a grant date fair value of $3,913 to a cumulative of 8 directors. On December 31, 2024, the Company issued 200,000 SARs with a grant date fair value of $7,820 to 4 directors and former directors. On March 22, 2024, the Company issued 100,000 Class C Units with a grant date fair value of $441 to 1 director under the Accelsius Subsidiary Equity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Innventure1</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2022, Innventure1 assigned its ownership interest in a portion of the Company’s PCT common stock to investors who are considered related parties of Innventure1 and the Company. The related party liability established in connection with this assignment was revalued to $53 on December 31, 2023. The change in value was included in Net gain on investments - due to related parties in the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ESG Fund. Certain expenses paid by the Company, which meet certain criteria, are reimbursed to the Company by the ESG Fund. Amounts paid by the Company and reimbursable by the ESG Fund were $105 for the Successor period from October 2, 2024 through December 31, 2024, and $50 for the Predecessor period from January 1, 2024 through October 1, 2024, and $48 for the Predecessor year ended December 31, 2023. There was a receivable of $64 and $2 as of December 31, 2024 and 2023, respectively, related to those expenses included in Due from related parties in the consolidated balance sheets.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2. Accounting Policies, the Company earns a 1-2% management fee for administrative, finance and accounting, and other back-office functions from the ESG Fund. Management fees earned from the ESG Fund were $196 for the Successor period from October 2, 2024 through December 31, 2024, and $588 for the Predecessor period from January 1, 2024 through October 1, 2024. Management fees earned from the ESG Fund totaled $789 for the Predecessor year ended December 31, 2023, which is recorded as Revenue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as of December 31, 2023 was $294 and is included in Related party payables in the consolidated balance sheets.</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2023, the Company sold 23,712 of Accelsius Class A Series 2 Units to the ESG Fund for aggregate proceeds of approximately $104. This amount is reflected in Non-controlling interests in the consolidated statements of changes in stockholders' equity (deficit).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related party transactions with AeroFlexx are described in Note 3. Investments. Additionally, in the normal course of business, the Company advances certain expenses on behalf of AeroFlexx. Amounts paid by the Company and reimbursable by AeroFlexx were $27 for the Successor period from October 2, 2024 through December 31, 2024, and $84 for the Predecessor period from January 1, 2024 through October 1, 2024, and $116 for the Predecessor year ended December 31, 2023. There was a receivable of $97 and $— as of December 31, 2024 and 2023, respectively, related to those expenses included in Due from related parties in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2024 and 2023,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Each installment payment shall be credited towards and set off against any royalty payments (described below) which may become due. As such, these installment payments serve as minimum amounts due to the MNC each calendar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royalties included in Patent installment payables on the consolidated balance sheets are due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$500 contingent upon achievement of a commercial milestone, which is not yet probable.</w:t>
      </w:r>
    </w:p>
    <w:p>
      <w:pPr>
        <w:spacing w:after="0" w:line="12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incurred a nonrefundable upfront fee of $500 under the Technology License, which is immediately expensed as incurred on December 12, 2024 and presented as an expense in the consolidated statements of operations and comprehensive income (loss) for the period ended December 31, 2024. Additionally, the Company committed to pay a semi-annual fee of $65 until ownership transfers or the Technology is no longer licensed, which is accrued on a monthly basis. During the Successor period from October 2, 2024 through December 31, 2024, $11 was recognized within General and administrative expense in the consolidated statements of operations and comprehensive income (loss).</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Technology License, the Company is committed to pay annual royalties based on Refinity related gross sales and licensing revenue starting in 2025. As of December 31, 2024, no royalty payments were made to the third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Business Segment Data</w:t>
      </w:r>
    </w:p>
    <w:p>
      <w:pPr>
        <w:spacing w:after="0" w:line="1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8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20"/>
          </w:cols>
          <w:pgMar w:left="320" w:top="117"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eliminated from segment results when management considers those transactions in assessing the results of the Technology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external customers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9"/>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10,631</w:t>
            </w:r>
          </w:p>
        </w:tc>
        <w:tc>
          <w:tcPr>
            <w:tcW w:w="0" w:type="dxa"/>
            <w:vAlign w:val="bottom"/>
          </w:tcPr>
          <w:p>
            <w:pPr>
              <w:spacing w:after="0"/>
              <w:rPr>
                <w:sz w:val="1"/>
                <w:szCs w:val="1"/>
                <w:color w:val="auto"/>
              </w:rPr>
            </w:pPr>
          </w:p>
        </w:tc>
      </w:tr>
      <w:tr>
        <w:trPr>
          <w:trHeight w:val="270"/>
        </w:trPr>
        <w:tc>
          <w:tcPr>
            <w:tcW w:w="62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depreciation not already included in Cost of sales.</w:t>
      </w:r>
    </w:p>
    <w:p>
      <w:pPr>
        <w:spacing w:after="0" w:line="11"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 change in fair value of financial liabilities, loss on conversion of promissory notes, travel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14"/>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r>
      <w:tr>
        <w:trPr>
          <w:trHeight w:val="250"/>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r>
      <w:tr>
        <w:trPr>
          <w:trHeight w:val="250"/>
        </w:trPr>
        <w:tc>
          <w:tcPr>
            <w:tcW w:w="6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50"/>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50"/>
        </w:trPr>
        <w:tc>
          <w:tcPr>
            <w:tcW w:w="6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(70,093)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r>
      <w:tr>
        <w:trPr>
          <w:trHeight w:val="250"/>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r>
    </w:tbl>
    <w:p>
      <w:pPr>
        <w:spacing w:after="0" w:line="23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long-lived assets are located entirely in the United States of America (USA). Segment assets are not reviewed by the CODM and therefore are not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and related disclosures for the period ended December 31, 2024, management has evaluated events through April 14, 2025, which is the date the consolidated financial statements were available to be issued. Events occurring after December 31, 2024 are:</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sold 422,999 of Accelsius Series A Units for aggregate proceeds of approximately $5,150. This amount will be reflected in non-controlling interests in the consolidated statements of changes in stockholders' equity (deficit) in future periods.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part of the term loan agreement with AeroFlexx, AeroFlexx did not raise equity financing up to the target amount by January 1, 2025 as discussed in Note 3. Investments. Therefore, on January 2, 2025, $7,250 of outstanding principal and accrued interest was subject to mandatory conversion. Using the price per unit of $6.83, the Company obtained 1,060,747 Class D preferred units through the mandatory conversion. Based on the increase of Class D preferred units, the Company’s updated ownership percentage in AeroFlexx is 38%.</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7, 2025, the VWAP Completion Event, as discussed in Note 10. Earnout Shares, occurred and 344,828 Sponsor Earnout Shares vested and were no longer subject to contingencies.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the Company’s SEPA with Yorkville, on January 7, 2025, the Company sold 50,000 shares of Common Stock to Yorkville for aggregate proceeds of approximately $633. On January 22, 2025, the Company issued and sold 4,617 Common Shares for aggregate proceeds of approximately $57. On January 30, 2025, the Company issued and sold 19,376 Common Shares for aggregate proceeds of approximately $235. The remaining shares that could be sold to Yorkville are 4,209,314.</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Board determined that as of January 8, 2025, the creation of Refinity, a consolidated subsidiary of the Company, satisfied the vesting condition applicable to Milestone 2 of the Company Earnout Shares. As such, 2,000,000 shares of common stock were issued on February 4, 2025 as a result of the satisfaction of the Milestone.</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22, 2025, Refinity entered into a framework agreement with a third party for research services focusing on the further development and optimization of licensed technology, as well as the enhancement and improvement of plastic recycling through pyrolysis. As part of this agreement, Refinity has agreed to pay a minimum fee of €5,000 during the period beginning May 1, 2025, and ending April 30, 2027, with the stipulation that €2,000 be paid in the first 12-month period and €3,000 in the second 12-month period.</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 2025, the Company entered into a consulting agreement with a third party for services in respect of public relations and investor communications. The agreement includes monthly compensation of 2,500 shares of the Company's common stock issued each month services are provided. The initial term of the agreement is for one year and may be terminated by either party upon seven days’ notice.</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February 3, 2025, and February 27, 2025, two of the Company’s Series 1 Promissory Notes, discussed in Note 5. Borrowings, matured in an aggregate amount of $300 and were paid as they became due.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2025, the Company issued 85,471 shares of Common Stock for financial advisory and investment banking services rendered.</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February 26, 2025, the Company entered into two Nonqualified Stock Option Agreements, which granted 140,000 nonqualified option rights (the “Option”) to two individuals, pursuant to the terms of the Plan. According to the Nonqualified Stock Option Agreements, and subject to the terms and conditions of the Nonqualified Stock Option Agreements and the Plan, upon vesting of the Options, the holders will have the option to purchase Common Stock of the Company, at an exercise price of $8.84 per share (which is equal to the Fair Market Value of the stock on the grant date). The Options have a term of ten years and will vest and become exercisable with respect to 25% of the shares of Common Stock underlying the Option on February 26, 2026 and 75% of the shares of Common Stock underlying the Option in eight substantially equal installments on each three-month anniversary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This action follows the terms outlined in the Certificate of Designation dated October 2, 2024, with a record date for the dividend set for March 5, 2025. Approved by the Board of Directors, this dividend payment is in accordance with the Investment Agreement dated September 27, 2024.</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20, 2025, the Company converted and repaid the $14,000 aggregate principal of Related party notes, as discussed in Note 5. Borrowings. The Company issued 1,732,554 of Series C Preferred Stock and paid $375 to the respective parties to settle the Related party notes. Additionally, the Company issued 578,294 of Series C Preferred Stock to settle outstanding debt for AeroFlexx.</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March 24, 2025, the Company entered into the Series C Purchase Agreements with certain purchasers (the “Purchasers”), pursuant to which the Company agreed to issue and sell to the Purchasers an aggregate of up to 275,000 shares of Series C Preferred Stock in a private placement, at a price of $10.00 per share of Series C Preferred Stock, resulting in an aggregate purchase price of approximately $2,750 before deducting fees and other estimated offering expenses. These shares are issued with an 8.0% annual cumulative dividend, a mandatory conversion to Common Stock five years after issuance, and an optional conversion, at the election of the holder, at any time prior to the Maturity Date upon the effectiveness of a registration statement by the Company registering the underlying shares of Common Stock issuable upon conversion. In connection with the Series C Purchase Agreements, the Company received an aggregate amount of $1,500 in advanced funds. In consideration of these funds, the Company issued 150,000 shares of Series C Preferred Stock to the respective parties.</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an aggregate of 300,000 shares of Series C Preferred Stock for financial advisory and merchant banking services rendered.</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(as converted, the “Conversion Shares”). On the first business day after certain closing conditions are met, including the timely filing of the Company’s Annual Report on Form 10-K for the year ended December 31, 2024,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they will bear interest at an annual rate of 18%. They will mature 15 months after the First Closing Date and can be converted into shares of the Company’s Common Stock at a conversion price to be determined. These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Roman"/>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amp;"/>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4"/>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7"/>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Roman"/>
      <w:start w:val="2"/>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upperLetter"/>
      <w:start w:val="61"/>
    </w:lvl>
  </w:abstractNum>
  <w:abstractNum w:abstractNumId="53">
    <w:nsid w:val="5FF87E05"/>
    <w:multiLevelType w:val="hybridMultilevel"/>
    <w:lvl w:ilvl="0">
      <w:lvlJc w:val="left"/>
      <w:lvlText w:val="(%1)"/>
      <w:numFmt w:val="lowerRoman"/>
      <w:start w:val="2"/>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6"/>
    </w:lvl>
  </w:abstractNum>
  <w:abstractNum w:abstractNumId="59">
    <w:nsid w:val="1381823A"/>
    <w:multiLevelType w:val="hybridMultilevel"/>
    <w:lvl w:ilvl="0">
      <w:lvlJc w:val="left"/>
      <w:lvlText w:val="(%1)"/>
      <w:numFmt w:val="lowerRoman"/>
      <w:start w:val="3"/>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4"/>
    </w:lvl>
  </w:abstractNum>
  <w:abstractNum w:abstractNumId="63">
    <w:nsid w:val="15014ACB"/>
    <w:multiLevelType w:val="hybridMultilevel"/>
    <w:lvl w:ilvl="0">
      <w:lvlJc w:val="left"/>
      <w:lvlText w:val="(%1)"/>
      <w:numFmt w:val="decimal"/>
      <w:start w:val="17"/>
    </w:lvl>
  </w:abstractNum>
  <w:abstractNum w:abstractNumId="64">
    <w:nsid w:val="5F5E7FD0"/>
    <w:multiLevelType w:val="hybridMultilevel"/>
    <w:lvl w:ilvl="0">
      <w:lvlJc w:val="left"/>
      <w:lvlText w:val="(%1)"/>
      <w:numFmt w:val="decimal"/>
      <w:start w:val="28"/>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lowerRoman"/>
      <w:start w:val="2"/>
    </w:lvl>
  </w:abstractNum>
  <w:abstractNum w:abstractNumId="72">
    <w:nsid w:val="5DC79EA8"/>
    <w:multiLevelType w:val="hybridMultilevel"/>
    <w:lvl w:ilvl="0">
      <w:lvlJc w:val="left"/>
      <w:lvlText w:val="(%1)"/>
      <w:numFmt w:val="lowerRoman"/>
      <w:start w:val="2"/>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2025-04-23T15:37:28Z</dcterms:created>
  <dcterms:modified xsi:type="dcterms:W3CDTF">2025-04-23T15:37:28Z</dcterms:modified>
</cp:coreProperties>
</file>