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14,488,342 Shares of Common Stock</w:t>
      </w:r>
    </w:p>
    <w:p>
      <w:pPr>
        <w:spacing w:after="0" w:line="147" w:lineRule="exact"/>
        <w:rPr>
          <w:sz w:val="24"/>
          <w:szCs w:val="24"/>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prospectus relates to offer and sale from time to time by the selling securityholders named in this prospectus (each a “Selling Stockholder” and collectively, the “Selling Stockholders”), or their permitted transferees, of up to 14,488,342 shares of our common stock, par value $0.0001 per share (“Common Stock”), which includes (i) up to 3,275,035 shares of Common Stock that may be issued upon conversion of Series B Preferred Stock (as defined below), (ii) up to 4,418,307 shares of Common Stock that we may issue and sell to YA II PN, Ltd., a Cayman Islands exempted company (“Yorkville”), from time to time pursuant to the Standby Equity Purchase Agreement (the “SEPA”), dated October 24, 2023, entered into with Yorkville without exceeding the Exchange Cap (as defined herein), (iii) 5,770,000 shares of Common Stock held by certain stockholders party to that certain Amended and Restated Registration Rights Agreement, dated October 2, 2024 (the “A&amp;R Registration Rights Agreement”), (iv) 25,000 shares of Common Stock issued to Roth Capital Partners LLC (“Roth”) in settlement of $250,000 of transaction costs incurred by Innventure or its affiliates for certain capital markets advisory services (accordingly, at an effective price of $10.00 per share), and (v) 1,000,000 shares of Common Stock that may be issued upon exercise of warrants (the “WTI Warrants”) to purchase Common Stock held by WTI FUND X, LLC and WTI FUND XI, LLC (together, the “WTI Lenders”). For more information on the Selling Stockholders, see the section entitled “</w:t>
      </w:r>
      <w:r>
        <w:rPr>
          <w:rFonts w:ascii="Times New Roman" w:cs="Times New Roman" w:eastAsia="Times New Roman" w:hAnsi="Times New Roman"/>
          <w:sz w:val="18"/>
          <w:szCs w:val="18"/>
          <w:i w:val="1"/>
          <w:iCs w:val="1"/>
          <w:u w:val="single" w:color="auto"/>
          <w:color w:val="0000FF"/>
        </w:rPr>
        <w:t>Selling Stockholders</w:t>
      </w:r>
      <w:r>
        <w:rPr>
          <w:rFonts w:ascii="Times New Roman" w:cs="Times New Roman" w:eastAsia="Times New Roman" w:hAnsi="Times New Roman"/>
          <w:sz w:val="18"/>
          <w:szCs w:val="18"/>
          <w:color w:val="auto"/>
        </w:rPr>
        <w:t>.”</w:t>
      </w:r>
    </w:p>
    <w:p>
      <w:pPr>
        <w:spacing w:after="0" w:line="13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35"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the Selling Stockholders will offer or sell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rPr>
        <w:t>.”</w:t>
      </w:r>
    </w:p>
    <w:p>
      <w:pPr>
        <w:spacing w:after="0" w:line="12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“INV.” On November 11, 2024, the last reported sales price of our Common Stock was $11.20 per share.</w:t>
      </w:r>
    </w:p>
    <w:p>
      <w:pPr>
        <w:spacing w:after="0" w:line="104"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10</w:t>
      </w:r>
      <w:r>
        <w:rPr>
          <w:rFonts w:ascii="Times New Roman" w:cs="Times New Roman" w:eastAsia="Times New Roman" w:hAnsi="Times New Roman"/>
          <w:sz w:val="18"/>
          <w:szCs w:val="18"/>
          <w:b w:val="1"/>
          <w:bCs w:val="1"/>
          <w:color w:val="auto"/>
        </w:rPr>
        <w:t>.</w:t>
      </w:r>
    </w:p>
    <w:p>
      <w:pPr>
        <w:spacing w:after="0" w:line="171"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12, 2024.</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240" w:type="dxa"/>
            <w:vAlign w:val="bottom"/>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iv</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8260" w:type="dxa"/>
            <w:vAlign w:val="bottom"/>
            <w:gridSpan w:val="15"/>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SUMMARY UNAUDITED PRO FORMA CONDENSED COMBINED FINANCIAL INFORMATION</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THE OFFERING</w:t>
            </w: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SUMMARY OF RISK FACTORS</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RISK FACTORS</w:t>
            </w:r>
          </w:p>
        </w:tc>
        <w:tc>
          <w:tcPr>
            <w:tcW w:w="9100" w:type="dxa"/>
            <w:vAlign w:val="bottom"/>
            <w:tcBorders>
              <w:bottom w:val="single" w:sz="8" w:color="CCEEFF"/>
            </w:tcBorders>
            <w:gridSpan w:val="21"/>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USE OF PROCEEDS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840" w:type="dxa"/>
            <w:vAlign w:val="bottom"/>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tcBorders>
              <w:bottom w:val="single" w:sz="8" w:color="CCEEFF"/>
            </w:tcBorders>
            <w:gridSpan w:val="22"/>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MANAGEMENT</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AND DIRECTOR COMPENSATION OF INNVENTURE</w:t>
            </w:r>
          </w:p>
        </w:tc>
        <w:tc>
          <w:tcPr>
            <w:tcW w:w="840" w:type="dxa"/>
            <w:vAlign w:val="bottom"/>
            <w:gridSpan w:val="7"/>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40" w:type="dxa"/>
            <w:vAlign w:val="bottom"/>
            <w:gridSpan w:val="7"/>
          </w:tcPr>
          <w:p>
            <w:pPr>
              <w:jc w:val="right"/>
              <w:spacing w:after="0" w:line="189" w:lineRule="exact"/>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2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DESCRIPTION OF SECURITIES</w:t>
            </w:r>
          </w:p>
        </w:tc>
        <w:tc>
          <w:tcPr>
            <w:tcW w:w="7840" w:type="dxa"/>
            <w:vAlign w:val="bottom"/>
            <w:gridSpan w:val="11"/>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115</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SELLING STOCKHOLDERS</w:t>
            </w:r>
          </w:p>
        </w:tc>
        <w:tc>
          <w:tcPr>
            <w:tcW w:w="8140" w:type="dxa"/>
            <w:vAlign w:val="bottom"/>
            <w:gridSpan w:val="14"/>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SHARES ELIGIBLE FOR FUTURE SALE</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122</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0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16"/>
            <w:shd w:val="clear" w:color="auto" w:fill="CCEEFF"/>
          </w:tcPr>
          <w:p>
            <w:pPr>
              <w:spacing w:after="0"/>
              <w:rPr>
                <w:sz w:val="16"/>
                <w:szCs w:val="16"/>
                <w:color w:val="auto"/>
              </w:rPr>
            </w:pP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EXPERTS</w:t>
            </w:r>
          </w:p>
        </w:tc>
        <w:tc>
          <w:tcPr>
            <w:tcW w:w="8300" w:type="dxa"/>
            <w:vAlign w:val="bottom"/>
            <w:gridSpan w:val="16"/>
          </w:tcPr>
          <w:p>
            <w:pPr>
              <w:spacing w:after="0"/>
              <w:rPr>
                <w:sz w:val="16"/>
                <w:szCs w:val="16"/>
                <w:color w:val="auto"/>
              </w:rPr>
            </w:pP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8"/>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860" w:type="dxa"/>
            <w:vAlign w:val="bottom"/>
            <w:gridSpan w:val="8"/>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127</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INDEX TO FINANCIAL STATEMENTS</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14,488,342 shares of Common Stock from time to time through any means described in the section entitled “</w:t>
      </w:r>
      <w:r>
        <w:rPr>
          <w:rFonts w:ascii="Times New Roman" w:cs="Times New Roman" w:eastAsia="Times New Roman" w:hAnsi="Times New Roman"/>
          <w:sz w:val="18"/>
          <w:szCs w:val="18"/>
          <w:i w:val="1"/>
          <w:iCs w:val="1"/>
          <w:u w:val="single" w:color="auto"/>
          <w:color w:val="0000FF"/>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Distribution</w:t>
      </w:r>
      <w:r>
        <w:rPr>
          <w:rFonts w:ascii="Times New Roman" w:cs="Times New Roman" w:eastAsia="Times New Roman" w:hAnsi="Times New Roman"/>
          <w:sz w:val="18"/>
          <w:szCs w:val="18"/>
          <w:color w:val="000000"/>
        </w:rPr>
        <w:t>.” More specific terms of any securities that the Selling Stockholders offer and sell may be provided in a prospectus supplement that describes,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among other things, the specific amounts and prices of the shares of Common Stock being offered and the terms of the offering. We will not receive any proceeds from the sale by the Selling Stockholders of the securities offered by them described in this prospectus.</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w:t>
      </w:r>
    </w:p>
    <w:p>
      <w:pPr>
        <w:spacing w:after="0" w:line="13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 Following the closing of the Business Combination, each of Learn CW and Innventure LLC are subsidiaries of Holdco, and Holdco became a publicly traded company. At the closing of the Business Combination, Holdco changed its name to “Innventure, Inc.” Innventure, Inc.’s Common Stock is listed on NASDAQ under the symbol “INV”.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1440" w:right="499" w:bottom="1440" w:gutter="0" w:footer="0" w:header="0"/>
        </w:sectPr>
      </w:pPr>
    </w:p>
    <w:bookmarkStart w:id="4" w:name="page5"/>
    <w:bookmarkEnd w:id="4"/>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are all statements other than those of historical fact, and include statements regarding the parties or the parties’ respective management team’s expectations, hopes, beliefs, intentions, plans, prospects or strategies regarding the future, including the anticipated benefits of the Business Combination described herein, including revenue growth and financial performance, product expansion and services, and the financial condition, results of operations, earnings outlook and prospects of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and beliefs of the management of the Company in light of its experience and its perception of historical trends, current conditions and expected future developments and their potential effects on the Company, as well as other factors they believe are appropriate in the circumstances. There can be no assurance that future developments affecting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by Innventure upon closing of the transaction, and the following:</w:t>
      </w:r>
    </w:p>
    <w:p>
      <w:pPr>
        <w:spacing w:after="0" w:line="133" w:lineRule="exact"/>
        <w:rPr>
          <w:sz w:val="20"/>
          <w:szCs w:val="20"/>
          <w:color w:val="auto"/>
        </w:rPr>
      </w:pPr>
    </w:p>
    <w:p>
      <w:pPr>
        <w:ind w:left="660" w:right="8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w:t>
      </w:r>
    </w:p>
    <w:p>
      <w:pPr>
        <w:spacing w:after="0" w:line="13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the Company’s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funding for its operations and future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the Company’s and the Innventure Companies’ competitors and industry;</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ability to meet, and to continue to meet, applicable regulatory requirements for the use of their products and the numerous regulatory requirements generally applicable to their products and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legal proceedings that may be instituted against the Company in connection with the completion of the Business Combination;</w:t>
      </w:r>
    </w:p>
    <w:p>
      <w:pPr>
        <w:spacing w:after="0" w:line="182" w:lineRule="exact"/>
        <w:rPr>
          <w:rFonts w:ascii="Times New Roman" w:cs="Times New Roman" w:eastAsia="Times New Roman" w:hAnsi="Times New Roman"/>
          <w:sz w:val="17"/>
          <w:szCs w:val="17"/>
          <w:color w:val="auto"/>
        </w:rPr>
      </w:pPr>
    </w:p>
    <w:p>
      <w:pPr>
        <w:ind w:left="660" w:right="58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find future opportunities to license or acquire breakthrough technology solutions from multinational corporations (“MNCs”) and to satisfy the requirements imposed by or to avoid disagreements with its current and future MNC partners;</w:t>
      </w:r>
    </w:p>
    <w:p>
      <w:pPr>
        <w:spacing w:after="0" w:line="10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Company may be deemed an investment company under the Investment Company Act, which would impose burdensome compliance requirements and restrictions on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AeroFlexx, LLC (“AFX”), to continue to rely on its single facility for all of its operations and to establish substantial commercial sales of its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AFX’s suppliers to continue to deliver necessary raw materials or other components of its products timely and to specification;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target customers, who are subject to cyclical downturns, continuing to achieve success or maintaining market share;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ability to meet applicable regulatory requirements for the use of AFX’s products in food grade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subsidiary, Accelsius Holdings LLC (“Accelsius”), to scale its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adoption, including customers and potential investors, of the viability and benefits of Accelsius’ cooling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scrutiny of Accelsius’ cooling due to their use of working fluid refrigerants that contain fluorine;</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sufficiently protect the intellectual property rights of itself and its subsidiaries, and to avoid or resolve in a timely and cost-effective manner any disputes that may arise relating to its use of the intellectual property of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the Company’s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related to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the Company and its subsidiaries.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60"/>
          </w:cols>
          <w:pgMar w:left="320" w:top="1440" w:right="4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50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795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 xml:space="preserve"> and the financial statements and related notes included in this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has launched three such companies since its inception: PureCycle Technologies, Inc. (“PureCycle” or “PCT”) in late 2015 (NASDAQ: PCT, technology sourced from The Procter &amp; Gamble Company (“P&amp;G”)), AeroFlexx in 2018 (technology sourced from P&amp;G), and Accelsius in 2022 (technology sourced from Nokia Corporation (“Nokia”)). PureCycle became a publicly traded company in 2021 and, as of the date of this prospectus, Innventure no longer has an economic interest in PureCycle.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 Delaware corporation, was originally known as Learn SPAC HoldCo, Inc., a wholly-owned direct subsidiary of Learn CW, a blank check company that was incorporated on February 2, 2021 as a Cayman Islands exempted company for the purpose of effecting a merger, share exchange, asset acquisition, share purchase, reorganization or similar business combination with one or more businesses in any industry, while focusing on education, training and education technology targets. Learn CW completed its initial public offering of units on October 13, 2021, and on the Closing Date, Learn CW consummated the Business Combination with Innventure LLC, a Delaware limited liability company (“Innventure LLC”).</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Upon the completion of the Business Combination and the other transactions contemplated (the “Transactions”) by the Business Combination agreement (the “Business Combination Agreement,” and such completion, the “Closing”), (i) LCW Merger Sub merged with and into Learn CW, with Learn CW as the surviving company, and (ii) Innventure Merger Sub merged with and into Innventure LLC, with Innventure LLC as the surviving entity. Following the mergers, each of Learn CW and Innventure LLC became a subsidiary of Holdco, and Holdco became a publicly traded company. At the Closing of the Transactions, Holdco changed its name to “Innventure,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w:t>
      </w:r>
    </w:p>
    <w:p>
      <w:pPr>
        <w:sectPr>
          <w:pgSz w:w="11900" w:h="16838" w:orient="portrait"/>
          <w:cols w:equalWidth="0" w:num="1">
            <w:col w:w="9900"/>
          </w:cols>
          <w:pgMar w:left="1000" w:top="1440" w:right="99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00"/>
          </w:cols>
          <w:pgMar w:left="1000" w:top="1440" w:right="999" w:bottom="1078"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Third Tranche will be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at any time from and after the four-year anniversary of the Closing.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13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3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Series B Preferred Certificate of Designations (as defined below), the shares of Series B Preferred Stock have a maturity date five years after the Closing Date and accrue a return equal to 8% per annum (the “Return”),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131" w:lineRule="exact"/>
        <w:rPr>
          <w:sz w:val="20"/>
          <w:szCs w:val="20"/>
          <w:color w:val="auto"/>
        </w:rPr>
      </w:pPr>
    </w:p>
    <w:p>
      <w:pPr>
        <w:ind w:right="1220"/>
        <w:spacing w:after="0" w:line="439" w:lineRule="auto"/>
        <w:rPr>
          <w:sz w:val="20"/>
          <w:szCs w:val="20"/>
          <w:color w:val="auto"/>
        </w:rPr>
      </w:pPr>
      <w:r>
        <w:rPr>
          <w:rFonts w:ascii="Times New Roman" w:cs="Times New Roman" w:eastAsia="Times New Roman" w:hAnsi="Times New Roman"/>
          <w:sz w:val="18"/>
          <w:szCs w:val="18"/>
          <w:color w:val="auto"/>
        </w:rPr>
        <w:t>For a description of the terms of the Series B Preferred Stock, see “</w:t>
      </w:r>
      <w:r>
        <w:rPr>
          <w:rFonts w:ascii="Times New Roman" w:cs="Times New Roman" w:eastAsia="Times New Roman" w:hAnsi="Times New Roman"/>
          <w:sz w:val="18"/>
          <w:szCs w:val="18"/>
          <w:i w:val="1"/>
          <w:iCs w:val="1"/>
          <w:color w:val="auto"/>
        </w:rPr>
        <w:t>Description of Securities—Series B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Closing, the Company, the Sponsor and certain other holders of shares of Common Stock entered into the A&amp;R Registration Rights Agreement. The Registration Rights Agreement provides these holders (and their permitted transferees) with the right to require the Company, at the Company’s expense, to register the Common Stock that they hold, on customary terms, including customary demand and piggyback registration rights. The Registration Rights Agreement also provides that the Company pay certain expenses of the electing holders relating to such registration and indemnify them against liabilities that may arise under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advance the Company issues in writing to Yorkville under the SEPA (each, an “Advance,” and notice of such request, an “Advance Notice”) may be in an amount of Common Stock up to the greater of (i)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selected by the Company under the SEPA. As discussed below, the Company may establish a minimum acceptable price in each Advance Notice below which the Company will not be obligated to make any sales to Yorkville.</w:t>
      </w:r>
    </w:p>
    <w:p>
      <w:pPr>
        <w:spacing w:after="0" w:line="1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106" w:lineRule="exact"/>
        <w:rPr>
          <w:sz w:val="20"/>
          <w:szCs w:val="20"/>
          <w:color w:val="auto"/>
        </w:rPr>
      </w:pPr>
    </w:p>
    <w:p>
      <w:pPr>
        <w:ind w:left="640" w:right="80" w:hanging="322"/>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Cap: </w:t>
      </w:r>
      <w:r>
        <w:rPr>
          <w:rFonts w:ascii="Times New Roman" w:cs="Times New Roman" w:eastAsia="Times New Roman" w:hAnsi="Times New Roman"/>
          <w:sz w:val="18"/>
          <w:szCs w:val="18"/>
          <w:color w:val="auto"/>
        </w:rPr>
        <w:t>Yorkville shall not purchase or acquire any shares of Common Stock that would result in it and its affiliates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aggregated basis) beneficially owning more than 9.99% of the then outstanding voting power or number of shares of Common Stock or any shares of Common Stock that, aggregated with shares issued under all other earlier Advances, would exceed 19.99% of all shares of Common Stock outstanding on the Closing Date, unless the Company obtains stockholder approval to issue shares of Common Stock in excess of the Exchange Cap in accordance with applicable NASDAQ rules or certain other requirements are met;</w:t>
      </w:r>
    </w:p>
    <w:p>
      <w:pPr>
        <w:spacing w:after="0" w:line="128" w:lineRule="exact"/>
        <w:rPr>
          <w:rFonts w:ascii="Times New Roman" w:cs="Times New Roman" w:eastAsia="Times New Roman" w:hAnsi="Times New Roman"/>
          <w:sz w:val="18"/>
          <w:szCs w:val="18"/>
          <w:color w:val="auto"/>
        </w:rPr>
      </w:pPr>
    </w:p>
    <w:p>
      <w:pPr>
        <w:ind w:left="640" w:right="140" w:hanging="322"/>
        <w:spacing w:after="0" w:line="26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Limitation: </w:t>
      </w:r>
      <w:r>
        <w:rPr>
          <w:rFonts w:ascii="Times New Roman" w:cs="Times New Roman" w:eastAsia="Times New Roman" w:hAnsi="Times New Roman"/>
          <w:sz w:val="18"/>
          <w:szCs w:val="18"/>
          <w:color w:val="auto"/>
        </w:rPr>
        <w:t>In no event shall an Advance exceed the amount of shares of Common Stock registered under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that provides for the resale from time to time of the shares of Common Stock sold pursuant the SEPA;</w:t>
      </w:r>
    </w:p>
    <w:p>
      <w:pPr>
        <w:spacing w:after="0" w:line="119" w:lineRule="exact"/>
        <w:rPr>
          <w:rFonts w:ascii="Times New Roman" w:cs="Times New Roman" w:eastAsia="Times New Roman" w:hAnsi="Times New Roman"/>
          <w:sz w:val="18"/>
          <w:szCs w:val="18"/>
          <w:color w:val="auto"/>
        </w:rPr>
      </w:pPr>
    </w:p>
    <w:p>
      <w:pPr>
        <w:ind w:left="640" w:right="60" w:hanging="322"/>
        <w:spacing w:after="0" w:line="25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Limitation: </w:t>
      </w:r>
      <w:r>
        <w:rPr>
          <w:rFonts w:ascii="Times New Roman" w:cs="Times New Roman" w:eastAsia="Times New Roman" w:hAnsi="Times New Roman"/>
          <w:sz w:val="18"/>
          <w:szCs w:val="18"/>
          <w:color w:val="auto"/>
        </w:rPr>
        <w:t>In certain instances, if the total number of Common Stock traded on NASDAQ during the applicable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129" w:lineRule="exact"/>
        <w:rPr>
          <w:rFonts w:ascii="Times New Roman" w:cs="Times New Roman" w:eastAsia="Times New Roman" w:hAnsi="Times New Roman"/>
          <w:sz w:val="18"/>
          <w:szCs w:val="18"/>
          <w:color w:val="auto"/>
        </w:rPr>
      </w:pPr>
    </w:p>
    <w:p>
      <w:pPr>
        <w:ind w:left="640" w:hanging="322"/>
        <w:spacing w:after="0" w:line="23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Acceptable Price: </w:t>
      </w:r>
      <w:r>
        <w:rPr>
          <w:rFonts w:ascii="Times New Roman" w:cs="Times New Roman" w:eastAsia="Times New Roman" w:hAnsi="Times New Roman"/>
          <w:sz w:val="18"/>
          <w:szCs w:val="18"/>
          <w:color w:val="auto"/>
        </w:rPr>
        <w:t>If the Company notifies Yorkville of a minimum acceptable price (“MAP” as defined in the SEPA),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if during the applicable period the VWAP of the Common Stock is below the specified MAP or there is no VWAP, the amount of Common Stock set forth in the Advance will be reduced by one third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provided, however, that this lower amount may be increased if certain conditions are met.</w:t>
      </w:r>
    </w:p>
    <w:p>
      <w:pPr>
        <w:spacing w:after="0" w:line="14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 made payment of Advances equal to $75.0 million. The Company has the right to terminate the SEPA at no cost or penalty upon five trading days’ prior written notice to Yorkville, provided that there are no outstanding Advance Notices for which shares of Common Stock must be issued and the Company has paid all amounts owed to Yorkville pursuant to the SEPA.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Issuance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engaged Roth to provide certain capital markets advisory services. Pursuant to that letter agreement between Innventure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and Roth, dated July 8, 2024 (the “Roth Letter Agreement”), the Company paid Roth an aggregate cash fee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on the Closing Date. In addition, on October 31, 2024, pursuant to the Roth Letter Agreement, the Company issued to Roth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 shares of Common Stock in settlement of $250,000 of transaction costs incurred by Innventure or its affiliates for certain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advisory services (accordingly, at an effective price of $10.00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738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73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December 31, 2029,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520"/>
        <w:spacing w:after="0" w:line="315"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that represent challenges that we face in connection with the successful implementation of our strategy and growth of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720"/>
          </w:cols>
          <w:pgMar w:left="1000" w:top="1440" w:right="11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404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40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75" w:lineRule="exact"/>
        <w:rPr>
          <w:sz w:val="20"/>
          <w:szCs w:val="20"/>
          <w:color w:val="auto"/>
        </w:rPr>
      </w:pPr>
    </w:p>
    <w:p>
      <w:pPr>
        <w:ind w:left="20" w:right="20"/>
        <w:spacing w:after="0" w:line="254"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(the “Summary Pro Forma Information”) gives effect to the Business Combination. The Business Combination was accounted for as a reverse recapitalization in accordance with the Generally Accepted Accounting Principles (“GAAP”). Under this method of accounting, Learn CW was treated as the “acquired” company for financial reporting purposes. Accordingly, the consolidated assets, liabilities and results of operations of Legacy Innventure (as defined in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have now become the historical financial statements of Innventure;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34" w:lineRule="exact"/>
        <w:rPr>
          <w:sz w:val="20"/>
          <w:szCs w:val="20"/>
          <w:color w:val="auto"/>
        </w:rPr>
      </w:pPr>
    </w:p>
    <w:p>
      <w:pPr>
        <w:ind w:left="20" w:right="120"/>
        <w:spacing w:after="0" w:line="254" w:lineRule="auto"/>
        <w:rPr>
          <w:sz w:val="20"/>
          <w:szCs w:val="20"/>
          <w:color w:val="auto"/>
        </w:rPr>
      </w:pPr>
      <w:r>
        <w:rPr>
          <w:rFonts w:ascii="Times New Roman" w:cs="Times New Roman" w:eastAsia="Times New Roman" w:hAnsi="Times New Roman"/>
          <w:sz w:val="18"/>
          <w:szCs w:val="18"/>
          <w:color w:val="auto"/>
        </w:rPr>
        <w:t>The Summary Pro Forma Information has been derived from, and should be read in conjunction with, the more detailed unaudited pro forma condensed combined financial information of the post-combination company appearing elsewhere in this prospectus and the accompanying notes to the unaudited pro forma condensed combined financial information. The unaudited pro forma condensed combined financial information is based upon, and should be read in conjunction with, the historical financial statements and related notes for the applicable periods included in this prospectus. The Summary Pro Forma Information has been presented for informational purposes only and is not necessarily indicative of what Innventure’s financial position or results of operations actually would have been had the Business Combination been completed as of the dates indicated. In addition, the Summary Pro Forma Information does not purport to project the future financial position or operating results of Innventure.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Summary Unaudited Pro Forma Condensed Combined Statement of Operations Data</w:t>
            </w:r>
          </w:p>
        </w:tc>
        <w:tc>
          <w:tcPr>
            <w:tcW w:w="1040" w:type="dxa"/>
            <w:vAlign w:val="bottom"/>
          </w:tcPr>
          <w:p>
            <w:pPr>
              <w:spacing w:after="0"/>
              <w:rPr>
                <w:sz w:val="13"/>
                <w:szCs w:val="13"/>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77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Six Months Ended June 30, 2024 (in thousands except share and per share data)</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 basic and diluted, Class A ordinary shares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44,602,673</w:t>
            </w:r>
          </w:p>
        </w:tc>
      </w:tr>
      <w:tr>
        <w:trPr>
          <w:trHeight w:val="421"/>
        </w:trPr>
        <w:tc>
          <w:tcPr>
            <w:tcW w:w="7700" w:type="dxa"/>
            <w:vAlign w:val="bottom"/>
          </w:tcPr>
          <w:p>
            <w:pPr>
              <w:jc w:val="center"/>
              <w:ind w:left="717"/>
              <w:spacing w:after="0"/>
              <w:rPr>
                <w:sz w:val="20"/>
                <w:szCs w:val="20"/>
                <w:color w:val="auto"/>
              </w:rPr>
            </w:pPr>
            <w:r>
              <w:rPr>
                <w:rFonts w:ascii="Times New Roman" w:cs="Times New Roman" w:eastAsia="Times New Roman" w:hAnsi="Times New Roman"/>
                <w:sz w:val="14"/>
                <w:szCs w:val="14"/>
                <w:b w:val="1"/>
                <w:bCs w:val="1"/>
                <w:color w:val="auto"/>
              </w:rPr>
              <w:t>Summary Unaudited Pro Forma Condensed Combined Statement of Operations Data</w:t>
            </w:r>
          </w:p>
        </w:tc>
        <w:tc>
          <w:tcPr>
            <w:tcW w:w="104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7700" w:type="dxa"/>
            <w:vAlign w:val="bottom"/>
            <w:tcBorders>
              <w:bottom w:val="single" w:sz="8" w:color="auto"/>
            </w:tcBorders>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Year Ended December 31, 2023 (in thousands except share and per share data)</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28"/>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900"/>
          </w:cols>
          <w:pgMar w:left="980" w:top="1440" w:right="10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47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840"/>
          </w:cols>
          <w:pgMar w:left="1020" w:top="1440" w:right="10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 that may be offered and sold from</w:t>
      </w:r>
    </w:p>
    <w:p>
      <w:pPr>
        <w:spacing w:after="0" w:line="14" w:lineRule="exact"/>
        <w:rPr>
          <w:sz w:val="20"/>
          <w:szCs w:val="20"/>
          <w:color w:val="auto"/>
        </w:rPr>
      </w:pPr>
    </w:p>
    <w:p>
      <w:pPr>
        <w:ind w:left="160" w:right="60"/>
        <w:spacing w:after="0" w:line="226" w:lineRule="auto"/>
        <w:rPr>
          <w:sz w:val="20"/>
          <w:szCs w:val="20"/>
          <w:color w:val="auto"/>
        </w:rPr>
      </w:pPr>
      <w:r>
        <w:rPr>
          <w:rFonts w:ascii="Times New Roman" w:cs="Times New Roman" w:eastAsia="Times New Roman" w:hAnsi="Times New Roman"/>
          <w:sz w:val="18"/>
          <w:szCs w:val="18"/>
          <w:color w:val="auto"/>
        </w:rPr>
        <w:t>time to time by the Selling Stockholders named herein or their permitted transferees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14,488,342 shares of Common Stock, which includes (i) up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3,275,035 shares of Common Stock that may be issued upon conversion of Series B Preferred Stock, (ii) up to 4,418,307 shares of Common Stock that we may issue and sell to Yorkville, from time to time pursuant to the</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SEPA (without exceeding the Exchange Cap), (iii) 5,770,000 shares of Common Stock held by certain stockholders party to the A&amp;R Registration Rights Agreement, (iv) 25,000 shares of Common Stock</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issued to Roth, and (v) 1,000,000 shares of Common Stock that may be issued upon exercise of the WTI Warrants.</w:t>
      </w:r>
    </w:p>
    <w:p>
      <w:pPr>
        <w:spacing w:after="0" w:line="103" w:lineRule="exact"/>
        <w:rPr>
          <w:sz w:val="20"/>
          <w:szCs w:val="20"/>
          <w:color w:val="auto"/>
        </w:rPr>
      </w:pPr>
    </w:p>
    <w:p>
      <w:pPr>
        <w:sectPr>
          <w:pgSz w:w="11900" w:h="16838" w:orient="portrait"/>
          <w:cols w:equalWidth="0" w:num="2">
            <w:col w:w="4320" w:space="120"/>
            <w:col w:w="5400"/>
          </w:cols>
          <w:pgMar w:left="1020" w:top="1440" w:right="10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49,522,673 (as of October 25, 2024)</w:t>
            </w:r>
          </w:p>
        </w:tc>
        <w:tc>
          <w:tcPr>
            <w:tcW w:w="0" w:type="dxa"/>
            <w:vAlign w:val="bottom"/>
          </w:tcPr>
          <w:p>
            <w:pPr>
              <w:spacing w:after="0"/>
              <w:rPr>
                <w:sz w:val="1"/>
                <w:szCs w:val="1"/>
                <w:color w:val="auto"/>
              </w:rPr>
            </w:pPr>
          </w:p>
        </w:tc>
      </w:tr>
      <w:tr>
        <w:trPr>
          <w:trHeight w:val="2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We will not receive any of the proceeds from such sales of the shares of</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w w:val="99"/>
              </w:rPr>
              <w:t>our Common Stock by the Selling Stockholders. However, we may receive</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(i) up to $75.0 million in aggregate gross proceeds from sales of shares of</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Common Stock to Yorkville pursuant to the SEPA, from time to time in</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our discretion after the date of the registration statement that includes this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prospectus and subject to satisfaction of other conditions in the SEPA, and</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(ii) de minimis gross proceeds upon exercise of the WTI Warrants, to the</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extent such warrants are exercised for cash. We will bear all costs,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expenses and fees in connection with the registration of our Common</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Stock. The Selling Stockholders will bear all commissions, discounts and</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certain other limited expenses, if any, attributable to their respective sales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rPr>
              <w:t>of our Common Stock.</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Unless we inform you otherwise in a prospectus supplement or free</w:t>
            </w: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6260" w:type="dxa"/>
            <w:vAlign w:val="bottom"/>
            <w:gridSpan w:val="7"/>
          </w:tcPr>
          <w:p>
            <w:pPr>
              <w:ind w:left="860"/>
              <w:spacing w:after="0" w:line="181" w:lineRule="exact"/>
              <w:rPr>
                <w:sz w:val="20"/>
                <w:szCs w:val="20"/>
                <w:color w:val="auto"/>
              </w:rPr>
            </w:pPr>
            <w:r>
              <w:rPr>
                <w:rFonts w:ascii="Times New Roman" w:cs="Times New Roman" w:eastAsia="Times New Roman" w:hAnsi="Times New Roman"/>
                <w:sz w:val="18"/>
                <w:szCs w:val="18"/>
                <w:color w:val="auto"/>
              </w:rPr>
              <w:t>writing prospectus, we intend to use the net proceeds from the issuance of</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6260" w:type="dxa"/>
            <w:vAlign w:val="bottom"/>
            <w:gridSpan w:val="7"/>
          </w:tcPr>
          <w:p>
            <w:pPr>
              <w:ind w:left="860"/>
              <w:spacing w:after="0" w:line="176" w:lineRule="exact"/>
              <w:rPr>
                <w:sz w:val="20"/>
                <w:szCs w:val="20"/>
                <w:color w:val="auto"/>
              </w:rPr>
            </w:pPr>
            <w:r>
              <w:rPr>
                <w:rFonts w:ascii="Times New Roman" w:cs="Times New Roman" w:eastAsia="Times New Roman" w:hAnsi="Times New Roman"/>
                <w:sz w:val="18"/>
                <w:szCs w:val="18"/>
                <w:color w:val="auto"/>
                <w:w w:val="99"/>
              </w:rPr>
              <w:t>shares to Yorkville pursuant to the SEPA and from the exercise of the WTI</w:t>
            </w: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6260" w:type="dxa"/>
            <w:vAlign w:val="bottom"/>
            <w:gridSpan w:val="7"/>
          </w:tcPr>
          <w:p>
            <w:pPr>
              <w:ind w:left="860"/>
              <w:spacing w:after="0" w:line="184" w:lineRule="exact"/>
              <w:rPr>
                <w:sz w:val="20"/>
                <w:szCs w:val="20"/>
                <w:color w:val="auto"/>
              </w:rPr>
            </w:pPr>
            <w:r>
              <w:rPr>
                <w:rFonts w:ascii="Times New Roman" w:cs="Times New Roman" w:eastAsia="Times New Roman" w:hAnsi="Times New Roman"/>
                <w:sz w:val="18"/>
                <w:szCs w:val="18"/>
                <w:color w:val="auto"/>
              </w:rPr>
              <w:t>Warrants for general corporate purposes, which may include acquisitions</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or other strategic investments or repayment of outstanding indebtedness.</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of WTI Warrants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$0.01 per share of Common Stock</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“INV”</w:t>
            </w:r>
          </w:p>
        </w:tc>
        <w:tc>
          <w:tcPr>
            <w:tcW w:w="0" w:type="dxa"/>
            <w:vAlign w:val="bottom"/>
          </w:tcPr>
          <w:p>
            <w:pPr>
              <w:spacing w:after="0"/>
              <w:rPr>
                <w:sz w:val="1"/>
                <w:szCs w:val="1"/>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w:t>
            </w:r>
            <w:r>
              <w:rPr>
                <w:rFonts w:ascii="Times New Roman" w:cs="Times New Roman" w:eastAsia="Times New Roman" w:hAnsi="Times New Roman"/>
                <w:sz w:val="18"/>
                <w:szCs w:val="18"/>
                <w:i w:val="1"/>
                <w:iCs w:val="1"/>
                <w:color w:val="0000FF"/>
              </w:rPr>
              <w:t>Risk</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6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i w:val="1"/>
                <w:iCs w:val="1"/>
                <w:color w:val="0000FF"/>
              </w:rPr>
              <w:t>Factors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the other information in this</w:t>
            </w:r>
          </w:p>
        </w:tc>
        <w:tc>
          <w:tcPr>
            <w:tcW w:w="32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0" w:type="dxa"/>
            <w:vAlign w:val="bottom"/>
            <w:gridSpan w:val="6"/>
          </w:tcPr>
          <w:p>
            <w:pPr>
              <w:spacing w:after="0" w:line="142" w:lineRule="exact"/>
              <w:rPr>
                <w:sz w:val="20"/>
                <w:szCs w:val="20"/>
                <w:color w:val="auto"/>
              </w:rPr>
            </w:pPr>
            <w:r>
              <w:rPr>
                <w:rFonts w:ascii="Times New Roman" w:cs="Times New Roman" w:eastAsia="Times New Roman" w:hAnsi="Times New Roman"/>
                <w:sz w:val="16"/>
                <w:szCs w:val="16"/>
                <w:color w:val="auto"/>
              </w:rPr>
              <w:t>prospectus for a discussion of the factors you should consider carefully</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6260" w:type="dxa"/>
            <w:vAlign w:val="bottom"/>
            <w:gridSpan w:val="7"/>
          </w:tcPr>
          <w:p>
            <w:pPr>
              <w:ind w:left="860"/>
              <w:spacing w:after="0"/>
              <w:rPr>
                <w:sz w:val="20"/>
                <w:szCs w:val="20"/>
                <w:color w:val="auto"/>
              </w:rPr>
            </w:pPr>
            <w:r>
              <w:rPr>
                <w:rFonts w:ascii="Times New Roman" w:cs="Times New Roman" w:eastAsia="Times New Roman" w:hAnsi="Times New Roman"/>
                <w:sz w:val="18"/>
                <w:szCs w:val="18"/>
                <w:color w:val="auto"/>
              </w:rPr>
              <w:t>before you decide to invest in our Common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40"/>
          </w:cols>
          <w:pgMar w:left="1020" w:top="1440" w:right="10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immediately following this summary. Some of these principal risks include the following:</w:t>
      </w:r>
    </w:p>
    <w:p>
      <w:pPr>
        <w:spacing w:after="0" w:line="106" w:lineRule="exact"/>
        <w:rPr>
          <w:sz w:val="20"/>
          <w:szCs w:val="20"/>
          <w:color w:val="auto"/>
        </w:rPr>
      </w:pPr>
    </w:p>
    <w:p>
      <w:pPr>
        <w:ind w:left="640" w:right="4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principal revenues are expected to be earned in the future through its subsidiaries and through AeroFlexx and Accelsius (the “Innventure Companies”), and Innventure depends on its subsidiaries for cash.</w:t>
      </w:r>
    </w:p>
    <w:p>
      <w:pPr>
        <w:spacing w:after="0" w:line="107" w:lineRule="exact"/>
        <w:rPr>
          <w:rFonts w:ascii="Times New Roman" w:cs="Times New Roman" w:eastAsia="Times New Roman" w:hAnsi="Times New Roman"/>
          <w:sz w:val="18"/>
          <w:szCs w:val="18"/>
          <w:color w:val="auto"/>
        </w:rPr>
      </w:pPr>
    </w:p>
    <w:p>
      <w:pPr>
        <w:ind w:left="640" w:right="18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MNCs.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171" w:lineRule="exact"/>
        <w:rPr>
          <w:rFonts w:ascii="Times New Roman" w:cs="Times New Roman" w:eastAsia="Times New Roman" w:hAnsi="Times New Roman"/>
          <w:sz w:val="18"/>
          <w:szCs w:val="18"/>
          <w:color w:val="auto"/>
        </w:rPr>
      </w:pPr>
    </w:p>
    <w:p>
      <w:pPr>
        <w:ind w:left="640" w:right="18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171" w:lineRule="exact"/>
        <w:rPr>
          <w:rFonts w:ascii="Times New Roman" w:cs="Times New Roman" w:eastAsia="Times New Roman" w:hAnsi="Times New Roman"/>
          <w:sz w:val="18"/>
          <w:szCs w:val="18"/>
          <w:color w:val="auto"/>
        </w:rPr>
      </w:pPr>
    </w:p>
    <w:p>
      <w:pPr>
        <w:ind w:left="640" w:right="6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WTI Facility may impair Innventure LLC’s, the Company’s and the Operating Companies’ financial and operating flexibility.</w:t>
      </w:r>
    </w:p>
    <w:p>
      <w:pPr>
        <w:spacing w:after="0" w:line="107" w:lineRule="exact"/>
        <w:rPr>
          <w:rFonts w:ascii="Times New Roman" w:cs="Times New Roman" w:eastAsia="Times New Roman" w:hAnsi="Times New Roman"/>
          <w:sz w:val="18"/>
          <w:szCs w:val="18"/>
          <w:color w:val="auto"/>
        </w:rPr>
      </w:pPr>
    </w:p>
    <w:p>
      <w:pPr>
        <w:ind w:left="640" w:right="3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Innventure will sell under the SEPA to Yorkville, or the actual gross proceeds resulting from those sales.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expects to require additional financing to sustain its operations and without it Innventure may not be able to continue operations.</w:t>
      </w:r>
    </w:p>
    <w:p>
      <w:pPr>
        <w:spacing w:after="0" w:line="107" w:lineRule="exact"/>
        <w:rPr>
          <w:rFonts w:ascii="Times New Roman" w:cs="Times New Roman" w:eastAsia="Times New Roman" w:hAnsi="Times New Roman"/>
          <w:sz w:val="18"/>
          <w:szCs w:val="18"/>
          <w:color w:val="auto"/>
        </w:rPr>
      </w:pPr>
    </w:p>
    <w:p>
      <w:pPr>
        <w:ind w:left="640" w:right="16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7" w:lineRule="exact"/>
        <w:rPr>
          <w:rFonts w:ascii="Times New Roman" w:cs="Times New Roman" w:eastAsia="Times New Roman" w:hAnsi="Times New Roman"/>
          <w:sz w:val="18"/>
          <w:szCs w:val="18"/>
          <w:color w:val="auto"/>
        </w:rPr>
      </w:pPr>
    </w:p>
    <w:p>
      <w:pPr>
        <w:ind w:left="640" w:right="42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Stock is likely to be highly volatile, and you may lose some or all of your investment.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the Common Stock may depress its stock price.</w:t>
      </w:r>
    </w:p>
    <w:p>
      <w:pPr>
        <w:spacing w:after="0" w:line="171" w:lineRule="exact"/>
        <w:rPr>
          <w:rFonts w:ascii="Times New Roman" w:cs="Times New Roman" w:eastAsia="Times New Roman" w:hAnsi="Times New Roman"/>
          <w:sz w:val="18"/>
          <w:szCs w:val="18"/>
          <w:color w:val="auto"/>
        </w:rPr>
      </w:pPr>
    </w:p>
    <w:p>
      <w:pPr>
        <w:ind w:left="640" w:right="52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121" w:lineRule="exact"/>
        <w:rPr>
          <w:rFonts w:ascii="Times New Roman" w:cs="Times New Roman" w:eastAsia="Times New Roman" w:hAnsi="Times New Roman"/>
          <w:sz w:val="18"/>
          <w:szCs w:val="18"/>
          <w:color w:val="auto"/>
        </w:rPr>
      </w:pPr>
    </w:p>
    <w:p>
      <w:pPr>
        <w:jc w:val="both"/>
        <w:ind w:left="640" w:right="340" w:hanging="322"/>
        <w:spacing w:after="0" w:line="26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12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80"/>
          </w:cols>
          <w:pgMar w:left="1000" w:top="1440" w:right="101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819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 w:right="26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7" w:lineRule="exact"/>
        <w:rPr>
          <w:rFonts w:ascii="Times New Roman" w:cs="Times New Roman" w:eastAsia="Times New Roman" w:hAnsi="Times New Roman"/>
          <w:sz w:val="18"/>
          <w:szCs w:val="18"/>
          <w:color w:val="auto"/>
        </w:rPr>
      </w:pPr>
    </w:p>
    <w:p>
      <w:pPr>
        <w:ind w:left="322" w:right="40" w:hanging="322"/>
        <w:spacing w:after="0" w:line="289" w:lineRule="auto"/>
        <w:tabs>
          <w:tab w:leader="none" w:pos="31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03" w:lineRule="exact"/>
        <w:rPr>
          <w:rFonts w:ascii="Times New Roman" w:cs="Times New Roman" w:eastAsia="Times New Roman" w:hAnsi="Times New Roman"/>
          <w:sz w:val="17"/>
          <w:szCs w:val="17"/>
          <w:color w:val="auto"/>
        </w:rPr>
      </w:pPr>
    </w:p>
    <w:p>
      <w:pPr>
        <w:ind w:left="322" w:right="160" w:hanging="322"/>
        <w:spacing w:after="0" w:line="266"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21"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currently relies on a single facility for all of its operations.</w:t>
      </w:r>
    </w:p>
    <w:p>
      <w:pPr>
        <w:spacing w:after="0" w:line="171" w:lineRule="exact"/>
        <w:rPr>
          <w:rFonts w:ascii="Times New Roman" w:cs="Times New Roman" w:eastAsia="Times New Roman" w:hAnsi="Times New Roman"/>
          <w:sz w:val="18"/>
          <w:szCs w:val="18"/>
          <w:color w:val="auto"/>
        </w:rPr>
      </w:pPr>
    </w:p>
    <w:p>
      <w:pPr>
        <w:ind w:left="322" w:right="140" w:hanging="322"/>
        <w:spacing w:after="0" w:line="266"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rFonts w:ascii="Times New Roman" w:cs="Times New Roman" w:eastAsia="Times New Roman" w:hAnsi="Times New Roman"/>
          <w:sz w:val="18"/>
          <w:szCs w:val="18"/>
          <w:color w:val="auto"/>
        </w:rPr>
      </w:pPr>
    </w:p>
    <w:p>
      <w:pPr>
        <w:ind w:left="322" w:right="22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07" w:lineRule="exact"/>
        <w:rPr>
          <w:rFonts w:ascii="Times New Roman" w:cs="Times New Roman" w:eastAsia="Times New Roman" w:hAnsi="Times New Roman"/>
          <w:sz w:val="18"/>
          <w:szCs w:val="18"/>
          <w:color w:val="auto"/>
        </w:rPr>
      </w:pPr>
    </w:p>
    <w:p>
      <w:pPr>
        <w:ind w:left="322" w:right="40" w:hanging="322"/>
        <w:spacing w:after="0" w:line="266"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rFonts w:ascii="Times New Roman" w:cs="Times New Roman" w:eastAsia="Times New Roman" w:hAnsi="Times New Roman"/>
          <w:sz w:val="18"/>
          <w:szCs w:val="18"/>
          <w:color w:val="auto"/>
        </w:rPr>
      </w:pPr>
    </w:p>
    <w:p>
      <w:pPr>
        <w:ind w:left="322" w:right="14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is an early-stage company, and its limited operating history makes it difficult to evaluate its future prospects and the risks and challenges it may encounter.</w:t>
      </w:r>
    </w:p>
    <w:p>
      <w:pPr>
        <w:spacing w:after="0" w:line="107" w:lineRule="exact"/>
        <w:rPr>
          <w:rFonts w:ascii="Times New Roman" w:cs="Times New Roman" w:eastAsia="Times New Roman" w:hAnsi="Times New Roman"/>
          <w:sz w:val="18"/>
          <w:szCs w:val="18"/>
          <w:color w:val="auto"/>
        </w:rPr>
      </w:pPr>
    </w:p>
    <w:p>
      <w:pPr>
        <w:ind w:left="322" w:right="28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w:t>
      </w:r>
    </w:p>
    <w:p>
      <w:pPr>
        <w:spacing w:after="0" w:line="107" w:lineRule="exact"/>
        <w:rPr>
          <w:rFonts w:ascii="Times New Roman" w:cs="Times New Roman" w:eastAsia="Times New Roman" w:hAnsi="Times New Roman"/>
          <w:sz w:val="18"/>
          <w:szCs w:val="18"/>
          <w:color w:val="auto"/>
        </w:rPr>
      </w:pPr>
    </w:p>
    <w:p>
      <w:pPr>
        <w:ind w:left="322" w:right="20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107" w:lineRule="exact"/>
        <w:rPr>
          <w:rFonts w:ascii="Times New Roman" w:cs="Times New Roman" w:eastAsia="Times New Roman" w:hAnsi="Times New Roman"/>
          <w:sz w:val="18"/>
          <w:szCs w:val="18"/>
          <w:color w:val="auto"/>
        </w:rPr>
      </w:pPr>
    </w:p>
    <w:p>
      <w:pPr>
        <w:ind w:left="322" w:right="4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07" w:lineRule="exact"/>
        <w:rPr>
          <w:rFonts w:ascii="Times New Roman" w:cs="Times New Roman" w:eastAsia="Times New Roman" w:hAnsi="Times New Roman"/>
          <w:sz w:val="18"/>
          <w:szCs w:val="18"/>
          <w:color w:val="auto"/>
        </w:rPr>
      </w:pPr>
    </w:p>
    <w:p>
      <w:pPr>
        <w:ind w:left="322" w:hanging="322"/>
        <w:spacing w:after="0" w:line="261"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5" w:lineRule="exact"/>
        <w:rPr>
          <w:rFonts w:ascii="Times New Roman" w:cs="Times New Roman" w:eastAsia="Times New Roman" w:hAnsi="Times New Roman"/>
          <w:sz w:val="18"/>
          <w:szCs w:val="18"/>
          <w:color w:val="auto"/>
        </w:rPr>
      </w:pPr>
    </w:p>
    <w:p>
      <w:pPr>
        <w:ind w:left="322" w:right="62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107" w:lineRule="exact"/>
        <w:rPr>
          <w:rFonts w:ascii="Times New Roman" w:cs="Times New Roman" w:eastAsia="Times New Roman" w:hAnsi="Times New Roman"/>
          <w:sz w:val="18"/>
          <w:szCs w:val="18"/>
          <w:color w:val="auto"/>
        </w:rPr>
      </w:pPr>
    </w:p>
    <w:p>
      <w:pPr>
        <w:ind w:left="322" w:right="1000" w:hanging="322"/>
        <w:spacing w:after="0" w:line="282" w:lineRule="auto"/>
        <w:tabs>
          <w:tab w:leader="none" w:pos="31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timely and effectively implement controls and procedures required by Section 404(a) of the SarbanesOxley Act could negatively impact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542"/>
          </w:cols>
          <w:pgMar w:left="1318" w:top="1440" w:right="1039" w:bottom="1440" w:gutter="0" w:footer="0" w:header="0"/>
        </w:sectPr>
      </w:pPr>
    </w:p>
    <w:bookmarkStart w:id="15" w:name="page16"/>
    <w:bookmarkEnd w:id="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Learn CW and Innventure and the accompanying notes. Innventure’s business, financial condition or results of operations could be affected materially and adversely by any of the risks discussed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subsidiaries and through the Innventure Companies, and Innventure depends on its subsidiaries for cash.</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Innventure’s principal operation is to partner with MNCs to acquire new intellectual property through newly-created entities where Innventure supports the initial funding and management of the company. Innventure also conducts operations through its subsidiaries, including the investment management services provided to Innventus ESG Fund I, L.P. (the “ESG Fund”).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or any subsidiary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 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subsidiaries from making distributions, paying dividends or making loans to Innventure.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MNCs.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MNCs to create and operate new entities that generate future revenues. If Innventure is unable to reach agreements with MNCs on acceptable terms for license or acquisition of intellectual property related to certain technology solutions, Innventure may have to curtail the founding and operating of new Operating Companies (as defined below).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1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MNC partners or have disagreements with those MNC partners, their relationships with these partners could deteriorate, which could have a material adverse effect on the business of Innventure and the Innventure Companies.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P&amp;G and Nokia, and any agreements they may enter with future MNC partners, they may be required to obtain or provide certain permits, licenses or other authorizations, provide certain fiscal indemnification to their MNC partners and meet various other terms and conditions. If Innventure and the Innventure Companies fail to comply with the terms and conditions of the applicable MNC agreement, they may incur liabilities to their MNC partners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MNC partners could be impeded and the underlying value of Innventure’s business could decline significantly.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up to $20 million will be made available after October 22, 2024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receipt of any funds under the WTI Facility is subject to the satisfaction of certain conditions by certain deadlines,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1440" w:right="399" w:bottom="1440" w:gutter="0" w:footer="0" w:header="0"/>
        </w:sectPr>
      </w:pPr>
    </w:p>
    <w:bookmarkStart w:id="17" w:name="page18"/>
    <w:bookmarkEnd w:id="17"/>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Innventure is unable to satisfy the conditions, certain of which are outside of its control, set forth in the Loan Documents with respect to a particular tranche, Innventure will not receive the funds otherwise available under that tranche and, if Innventure is unable to satisfy the conditions, certain of which are outside of its control, set forth in any of the tranches, Innventure will receive no funds from the WTI Facility.</w:t>
      </w:r>
    </w:p>
    <w:p>
      <w:pPr>
        <w:spacing w:after="0" w:line="1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These restrictions will be imposed upon Innventure LLC, the Company and the Operating Companies until March 31, 2025, even if no WTI Facility loans are made by that date.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WTI on a timely basis, or at all.</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WTI Facility will be available to Innventure when requested, or at all. The restrictions imposed by the WTI Facility on Innventure LLC, the Company and the Operating Companies may make it more difficult for them to operate their businesses or implement their growth plans going forward. Furthermore, these restrictions will be imposed upon Innventure LLC, the Company and the Operating Companies until March 31, 2025, even if no funds are provided to Innventure pursuant to the WTI Facility.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to Yorkville, or the actual gross proceeds resulting from those sales.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Innventure’s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w:t>
      </w:r>
    </w:p>
    <w:p>
      <w:pPr>
        <w:spacing w:after="0" w:line="1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although the SEPA provides that Innventure may sell up to an aggregate of $75.0 million of its Common Stock to Yorkville, Innventure is only registering the resale by Yorkville of up to 4,418,307 shares of Innventure’s Common Stock that may be issued without exceeding the 9.99% prong of the Exchange Cap. If Innventure elects to issue and sell to Yorkville all of the shares being registered for resale to Yorkville under this prospectus,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being registered for resale by Yorkville under this prospectus in order to receive the aggregate gross proceeds equal to $75.0 million under the SEPA and (ii) if Innventure is able to sell more shares than the shares being registered for resale by Yorkville under this prospectus while still complying with the Exchange Cap, then Innventure will need to file with the SEC one or more additional registration statements to register under the Securities Act the resale by Yorkville of any such additional shares of Innventure’s Common Stock over the shares being registered for resale by Yorkville under this prospectus and such registration statements would need to be declared effective by the SEC, in each case before Innventure may elect to sell any additional shares of Innventure’s Common Stock to Yorkville under the SEPA, a process which will take time and incur additional expense.</w:t>
      </w:r>
    </w:p>
    <w:p>
      <w:pPr>
        <w:spacing w:after="0" w:line="13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Any issuance and sale by Innventure under the SEPA of a substantial amount of shares of Common Stock in addition to the shares being registered for resale to Yorkville under this prospectus could cause additional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dilution to Innventure’s stockholders. The number of shares of Innventure’s Common Stock ultimately offered for resale by Yorkville is dependent upon the number of shares of Common Stock, if any, Innventure ultimately sells to Yorkville under the SEPA.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as a source of funding.</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SEPA, Innventure may, at its discretion, issue and sell to Yorkville up to $75.0 million of shares of Innventure’s Common Stock under the SEPA from time-to-time. The purchase price per share for the shares of Common Stock that Innventure may elect to sell to Yorkville under the SEPA will fluctuate based on the market prices of Innventure’s Common Stock for each purchase made pursuant to the SEPA, if any. Accordingly, it is not currently possible to predict the number of shares that will be issued and sold to Yorkville, the actual purchase price per share to be paid by Yorkville for those shares, if any, or the actual gross proceeds to be raised in connection with those sales.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Innventure’s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0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research and development,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at-will and may end at any point in time. In addition, all of Innventure and the Innventure Companies’ employees are at-will, which means that either they or the employee may terminate their employment at any time.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3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3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 for the years ended December 31, 2023 and December 31, 2022 for Innventure LLC that includes an explanatory paragraph expressing substantial doubt in Innventure’s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partnerships, including partnerships with MNCs. Additionally, if Innventure is unable to continue as a going concern, investors, including holders of Common Stock, may lose some or all of their investment.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many others, such as:</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Innventure’s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Innventure’s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Common Stock by Innventure or its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shareholder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0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1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may depress its stock price.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Subject to certain exceptions, the Lock-Up Agreements (as defined below) provide for certain restrictions on transfer with respect to Common Stock held by certain stockholders of Innventure. Such restriction began upon the Closing Date and will end upon the earlier of (A) the expiration of one year after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merger, liquidation, stock exchange, reorganization or other similar transaction after the Closing that results in all of the public stockholders of the Company having the right to exchange their Common Stock for cash securities or other property.</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However, following the expiration of the applicable lock-up period, such equityholders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12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0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Bylaws contain provisions that could significantly reduce the value of the Common Stock to a potential acquiror or delay or prevent changes in control or changes in our management without the consent of Innventure’s Board of Directors (the “Board”). The provisions in Innventure’s charter documents include the following:</w:t>
      </w:r>
    </w:p>
    <w:p>
      <w:pPr>
        <w:spacing w:after="0" w:line="122" w:lineRule="exact"/>
        <w:rPr>
          <w:sz w:val="20"/>
          <w:szCs w:val="20"/>
          <w:color w:val="auto"/>
        </w:rPr>
      </w:pPr>
    </w:p>
    <w:p>
      <w:pPr>
        <w:ind w:left="660" w:right="6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w:t>
      </w:r>
    </w:p>
    <w:p>
      <w:pPr>
        <w:spacing w:after="0" w:line="171"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acquiror from conducting a solicitation of proxies to elect the acquiror’s own slate of directors or otherwise attempting to obtain control of Innventure;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left="660" w:right="2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(“DGCL”), which will prevent Innventure from engaging in a business combination with any holder of 15% or more of its capital stock unless the holder has held the stock for three years or, among other exceptions, the Board has approved the transaction.</w:t>
      </w:r>
    </w:p>
    <w:p>
      <w:pPr>
        <w:spacing w:after="0" w:line="11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Securities Exchange Act of 1934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of 2002, reduced disclosure obligations regarding executive compensation and exemptions from the requirements of holding a nonbinding advisory vote on executive compensation and stockholder approval of any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previously approved. Innventure will remain an emerging growth company until the earlier of (1) December 31, 2029, (2) the last day of the fiscal year</w:t>
      </w:r>
    </w:p>
    <w:p>
      <w:pPr>
        <w:spacing w:after="0" w:line="27" w:lineRule="exact"/>
        <w:rPr>
          <w:sz w:val="20"/>
          <w:szCs w:val="20"/>
          <w:color w:val="auto"/>
        </w:rPr>
      </w:pPr>
    </w:p>
    <w:p>
      <w:pPr>
        <w:ind w:right="220" w:firstLine="8"/>
        <w:spacing w:after="0" w:line="255"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3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0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the Innventure may adversely affect the market price of the Common Stock or otherwise dilute all other stockholders.</w:t>
      </w:r>
    </w:p>
    <w:p>
      <w:pPr>
        <w:spacing w:after="0" w:line="10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the future, the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and preferred shares, if issued, and lenders with respect to other borrowings would receive a distribution of Innventure’s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the Innventure’s control, which may adversely affect the amount, timing and nature of the Innventure’s future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3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in the United States requires management to make estimates and assumptions that affect the amounts reported in the financial statements and accompanying notes. Innventure will base its estimates on historical experience, known trends and events, and various other factors that it believes to be reasonable under the circumstances, as provide in the section entitled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Court of Chancery of the State of Delaware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13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LLC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Innventure LLC's financial statements, certain material weaknesses were identified in Innventure LLC’s internal control over financial reporting. A material weakness is a deficiency, or combination of deficiencies, in internal control over financial reporting such that there is a reasonable possibility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material misstatement of Innventure's interim or annual consolidated financial statements will not be prevented or detected on a timely basis. The material weaknesses identified were as follows:</w:t>
      </w:r>
    </w:p>
    <w:p>
      <w:pPr>
        <w:spacing w:after="0" w:line="108" w:lineRule="exact"/>
        <w:rPr>
          <w:sz w:val="20"/>
          <w:szCs w:val="20"/>
          <w:color w:val="auto"/>
        </w:rPr>
      </w:pPr>
    </w:p>
    <w:p>
      <w:pPr>
        <w:ind w:left="660" w:right="260" w:hanging="328"/>
        <w:spacing w:after="0" w:line="289"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 LLC's system of internal controls over financial reporting failed to prevent or detect material adjustments necessary to appropriately present certain complex and significant unusual transactions in accordance with GAAP due primarily to insufficient staffing of personnel possessing the appropriate accounting and financial reporting knowledge and experience to review and monitor third-party consultants;</w:t>
      </w:r>
    </w:p>
    <w:p>
      <w:pPr>
        <w:spacing w:after="0" w:line="103"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LLC's system of internal controls over financial reporting did not include necessary information technology general controls including related to (i) periodic user access reviews, (ii) user provisioning and de-provisioning, (iii) restriction of privileged access, (iv) authentication settings;</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LLC did not have sufficient controls related to review of accounting treatment related to equity of publicly traded securities that it holds. As a result, there were several material audit adjustments related to these areas including adjustment of unrealized gains/losses on shares of PCT to fair value;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Innventure LLC's system of internal controls over financial reporting did not include adequate segregation of duties or review of periodic account reconciliations and financial reporting prepared by accounting personnel, leading to material misstatements in the financial statements relating to the value of the liability of PCT shares owed to others and the change in the liability of shares owed to others.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Effective internal controls are necessary for Innventure to provide reliable financial reports and prevent fraud. Innventure continues to evaluate steps to remediate the material weaknesses. Innventure has engaged external advisors with subject matter expertise to address these material weaknesses and is in the process of finalizing and implementing remediation plans which are expected to address the underlying causes. Furthermore, Innventure has engaged additional external resources to assess its control environment and expects to further engage these external advisors to provide assistance with all elements of the design of the company's program for internal controls over financial reporting, including:</w:t>
      </w:r>
    </w:p>
    <w:p>
      <w:pPr>
        <w:spacing w:after="0" w:line="129" w:lineRule="exact"/>
        <w:rPr>
          <w:sz w:val="20"/>
          <w:szCs w:val="20"/>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Innventure's accounting and finance functions by hiring additional employees within its accounting and finance departments, which has not yet been initiated, and co-sourcing with third parties to augment Innventure’s accounting and finance functions;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formal duties, processes and responsibilities within Innventure's accounting and finance systems;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controls relating to identification and treatment of unusual significant accounting matters within the financial close and reporting process on a go forward basis;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controls around review of accounting treatment related to equity of publicly traded securities.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These remediation measures may be time consuming, costly, and might place significant demands on Innventure's financial and operational resources. The specific time frames needed to fully remediate the identified material weaknesses have not yet been determined.</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cannot assure you that these measures will adequately remediate the material weaknesses described above. The implementation of these remediation measures is in the early stages and will require testing and validation of the design and operating effectiveness of Innventure's internal controls over multiple financial reporting cycles. As a result, because it is not clear if Innventure will be able to fully remediate the material weaknesses in a timely manner, there is a possibility that these control deficiencies or others may result in a material misstatement of Innventure's annual or interim financial statements that would not be prevented or detected on a timely basis.</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 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the SEC, and other regulatory authorities, and become subject to litigation from investors and stockholders, which could harm its reputation and its financial condition, or divert financial and management resources from its core business.</w:t>
      </w:r>
    </w:p>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its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its ability to borrow;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burdens discussed above would require additional expense and attention from management for which Innventure has not accounted.</w:t>
      </w:r>
    </w:p>
    <w:p>
      <w:pPr>
        <w:spacing w:after="0" w:line="1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CEO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AeroFlexx’s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currently relies on a single facility for all of its operations.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AFX currently relies solely on the operations at its facility in West Chester, Ohio (the “West Chester Facility”). Adverse changes or developments affecting the West Chester Facility could impair AFX’s ability to produce its packaging and its business and prospects, which would negatively affect its financial condition and results of operations. Any shutdown or period of reduced production at the West Chester Facility, which may be caused by regulatory noncompliance or other issues, as well as other factors beyond its control, such as severe weather conditions, natural disaster, fire, power interruption, work stoppage, disease outbreaks or pandemics, equipment failure, delay in supply delivery, or shortages of material, equipment, or labor, would significantly disrupt AFX’s ability to grow and produce liquid packaging products in a timely manner, meet its contractual obligations and operate its business. AFX’s equipment is costly to replace or repair, and AFX’s equipment supply chains may be disrupted in connection with pandemics, trade wars or other factors. If any material amount of AFX’s machinery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were damaged, it would be unable to predict when, if at all, it could replace or repair such machinery or find co-manufacturers with suitable alternative machinery, which could adversely affect AFX’s business, financial condition, results of operations and prospects. Performance guarantees may not be sufficient to cover damages or losses, or the guarantors under such guarantees may not have the ability to pay. Any insurance coverage AFX has may not be sufficient to cover all of its potential losses and may not continue to be available to AFX on acceptable terms, or at all.</w:t>
      </w:r>
    </w:p>
    <w:p>
      <w:pPr>
        <w:spacing w:after="0" w:line="12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fourth quarter of 2024.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AFX’s target customers, who are subject to cyclical downturns, to achieve success or maintain market share could adversely impact AFX’s sales and operating margins.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AFX’s plastic packaging can be used in the production of various consumer products. A customer’s ability to successfully develop, manufacture and market those products is integral to AFX’s success. Cyclical downturns and changing consumer preferences may negatively affect businesses that use AFX’s products, which could adversely affect sales and operating margins. Other factors that could adversely affect the business include (i) failure by a key customer to achieve success or maintain share in markets in which they sell products containing AFX’s materials, including as a result of customer preferences for products other than plastics, (ii) key customers using products developed by others that replace AFX’s business with such customers, (iii) delays in a key customer rolling out products utilizing new technologies developed by AFX, and (iv) operational decisions by a key customer that result in component substitution, inventory reductions and similar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 is an early-stage company, and its limited operating history makes it difficult to evaluate its future prospects and the risks and challenges it may encounter.</w:t>
      </w:r>
    </w:p>
    <w:p>
      <w:pPr>
        <w:spacing w:after="0" w:line="10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AFX is early in the development of its commercial production capacity. Its limited operating history makes it difficult to evaluate AFX’s future prospects and the risks and challenges it may encounter. Risks and challenges AFX has faced or expects to face include, but are not limited to, its ability to:</w:t>
      </w:r>
    </w:p>
    <w:p>
      <w:pPr>
        <w:spacing w:after="0" w:line="8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its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products of acceptable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its revenue and budget for and manage its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its current and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its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10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If AFX fails to address the risks and difficulties that it faces, including those associated with the challenges listed above, its business, financial condition, results of operations, prospects and that of Innventure, could be adversely affected. Further, because AFX has limited historical financial data and operates in a highly competitive market, any predictions about its future revenue and expenses may not be as accurate as they would be if AFX had a longer operating history or operated in a more predictable market. AFX has encountered in the past, and will encounter in the future, risks and uncertainties frequently experienced by growing companies with limited operating histories in rapidly changing industries. If AFX’s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AFX’s ability to establish substantial commercial sales of its products is subject to many risks, any of which could prevent or delay revenue growth and adversely impact its customer relationships, business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AFX’s products may not be approved or accepted by customers, and may not be able to be sold profitably at prices sufficient to establish demand.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customers for AFX products generally have established manufacturing processes and arrangements with suppliers of their product components and may have a resistance to changing these processes and components. These potential customers frequently impose lengthy and complex product qualification procedures on their suppliers, influenced by consumer preference, manufacturing considerations such as process changes and capital and other costs associated with transitioning to alternative components, supplier operating history, established business relationships and agreements, regulatory issues, product liability and other factors, many of which are unknown to, or not well understood by, us. Satisfying these processes may take many months. Similarly, AFX customers may have a resistance to accepting alternative compositions for those products. Additionally, AFX may be subject to product safety testing and may be required to meet certain regulatory and/or product safety standards. Meeting these standards can be a time-consuming and expensive process, and Innventure and AFX may invest substantial time and resources into such qualification efforts without ultimately securing approval.</w:t>
      </w:r>
    </w:p>
    <w:p>
      <w:pPr>
        <w:spacing w:after="0" w:line="13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If AFX is unable to convince these potential customers and the consumers who purchase end-products containing AFX products that use of such products is to their benefit, AFX will not be successful in entering those markets and its business will be adversely affected. Successfully marketing AFX’s products requires that the company continue to improve production, logistics, quality, sales, marketing, digital, managerial, compliance, and related capabilities or make arrangements with third parties to perform these services. If AFX is unable to establish adequate marketing, sales and distribution capabilities, whether independently or with third parties, AFX may not be able to appropriately commercialize such products. There is no assurance that AFX will be able to successfully maintain or increase sales and respond to shifting consumer and Consumer Packaged Goods (“CPG”) buying requirements.</w:t>
      </w:r>
    </w:p>
    <w:p>
      <w:pPr>
        <w:spacing w:after="0" w:line="11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w:t>
      </w:r>
      <w:r>
        <w:rPr>
          <w:rFonts w:ascii="Times New Roman" w:cs="Times New Roman" w:eastAsia="Times New Roman" w:hAnsi="Times New Roman"/>
          <w:sz w:val="18"/>
          <w:szCs w:val="18"/>
          <w:i w:val="1"/>
          <w:iCs w:val="1"/>
          <w:color w:val="auto"/>
        </w:rPr>
        <w:t>Guidance for Industry - Use of Recycled Plastics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Food Packaging: Chemistry Considerations (August 2006)</w:t>
      </w:r>
      <w:r>
        <w:rPr>
          <w:rFonts w:ascii="Times New Roman" w:cs="Times New Roman" w:eastAsia="Times New Roman" w:hAnsi="Times New Roman"/>
          <w:sz w:val="18"/>
          <w:szCs w:val="18"/>
          <w:color w:val="auto"/>
        </w:rPr>
        <w:t>.” In order for AFX’s products to be used in food grade applications, AFX will be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with customers or third-party co-manufacturers that possess the required food certifications to do the filling of AFX’s package.</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partnerships would require significant time, effort, and financial resources to complete, and may not result in a successful production partnership. All of the above would have an adverse effect on AFX’s business, financial condition, results of operations and prospects.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in those countries and AFX’s business, financial condition, results of operations and prospects will be adversely affected.</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ensuring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Accelsius’ Operations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Accelsius is an early-stage company, and its limited operating history makes it difficult to evaluate its future prospects and the risks and challenges it may encounter.</w:t>
      </w:r>
    </w:p>
    <w:p>
      <w:pPr>
        <w:spacing w:after="0" w:line="10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Accelsius has been focused on developing and commercializing data center cooling products since its inception in 2022 and has just delivered its first customer proof-of-concept pilots in Q2 2024. This limited operating history makes it difficult to evaluate Accelsius’ future prospects and the risks and challenges it may encounter. Risks and challenges Accelsius has faced or expects to face include, but are not limited to, its ability to:</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its data center cooling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data center cooling products of acceptable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 of its connectivity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its revenue and budget for and manage its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it operates;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its current and future products, and manage its supply chain and supplier relationships related to its current and future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and inventory vendors;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its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it operates;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its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its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itself in any legal proceeding that may arise and enforce its rights in any legal proceedings it may initiate;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mitigate the adverse effects on its business of any public health emergencies, natural disasters, widespread travel disruptions, security risks including IT security, data privacy, cyber risks, international conflicts, geopolitical tension and other events beyond its control.</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Accelsius fails to address the risks and difficulties that it faces, including those associated with the challenges listed above, its business, financial condition, results of operations, prospects and that of Innventure, could be adversely affected. Further, because Accelsius has limited historical financial data and operates in a rapidly 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60"/>
          </w:cols>
          <w:pgMar w:left="320" w:top="1440" w:right="419" w:bottom="1440" w:gutter="0" w:footer="0" w:header="0"/>
        </w:sectPr>
      </w:pPr>
    </w:p>
    <w:bookmarkStart w:id="32" w:name="page33"/>
    <w:bookmarkEnd w:id="32"/>
    <w:p>
      <w:pPr>
        <w:spacing w:after="0" w:line="14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and highly competitive market, any predictions about its future revenue and expenses may not be as accurate as they would be if Accelsius had a longer operating history or operated in a more predictable market. Accelsius has encountered in the past, and will encounter in the future, risks and uncertainties frequently experienced by growing companies with limited operating histories in rapidly changing industries. If Accelsius’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results of operations and prospects could be adversely affected.</w:t>
      </w:r>
    </w:p>
    <w:p>
      <w:pPr>
        <w:spacing w:after="0" w:line="11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cooling products because they are based on a relatively novel and complex technology.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cooling products because they are based on a relatively novel and complex technology. There can be no assurance that Accelsius’ products will be understood, approved, or accepted by customers and potential investors or that Accelsius will be able to sell its products profitably at competitive prices and with features sufficient to establish demand. If Accelsius is unable to convince these potential customers of the utility and value of its products or that its cooling solutions are superior to those they currently use, Accelsius will not be successful in entering those markets and its business and results of operations will be adversely affected. If potential investors are skeptical of the success of Accelsius’ cooling products, its ability to raise capital and the value of Innventure stock may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U.S. may elect to curtail the use of polyfluoroalkyl substances (PFAS), including hydrofluoroolefins (HFOs) and hydrochlorofluoroolefins (HCFOs), due to their persistence in the environment, their global warming potential, or their ozone depletion potential. While Accelsius is working to ensure industry best practices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intellectual property rights of itself and the Innventure Companies and may encounter disputes from time to time relating to its use of the intellectual property of third parties.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intellectual property acquired or licensed from MNCs. Innventure monitors and protects against activities that might infringe, dilute, misappropriate or otherwise violate that intellectual property and relies on the relevant patent, trademark and other laws of the U.S. and other countries. However, Innventure, the Innventure Companies, and their MNC partners may be unable to prevent their employees, consultants or other third parties from infringing, diluting or misappropriating their intellectual property or from otherwise violating obligations with respect to their intellectual property and confidential information, which could have a material adverse effect on Innventure and the Innventure Companies’ business, financial condition, results of operations and prospects.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intellectual property rights, there is no certainty that Innventure’s, the Innventure Companies’ or their MNC partners’ intellectual property rights will provide them with substantial protection or commercial benefit. Despite Innventure, the Innventure Companies’ and their MNC partners’ efforts to protect their intellectual property, some of their innovations may not be protectable, and their intellectual property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intellectual property rights than the laws of the U.S. and present greater risks of infringement, misappropriation, dilution or other misuse. To the extent Innventure, the Innventure Companies, and their MNC partners cannot protect their intellectual property and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unauthorized use and misuse of that intellectual property could harm their competitive position and have a material adverse effect on Innventure’s business, financial condition, results of operations and prospects.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Innventure’s efforts to protect these rights, unauthorized third parties may attempt to duplicate or copy the proprietary aspects of its technology and processes. Innventure’s competitors and other third parties independently may design around or develop similar technology or otherwise duplicate Innventure’s services or products such that Innventure could not assert its intellectual property rights against them. In addition, Innventure’s contractual arrangements may not effectively prevent disclosure of its intellectual property and confidential and proprietary information or provide an adequate remedy in the event of an unauthorized disclosure. Measures in place may not prevent misappropriation or infringement of Innventure’s intellectual property or proprietary information and the resulting loss of competitive advantage, and Innventure may be required to litigate to protect its intellectual property and proprietary information from misappropriation or infringement by others, which is expensive, could cause a diversion of resources and may not be successful.</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also may encounter disputes from time to time concerning intellectual property rights of others, and it may not prevail in these disputes. Third parties may raise claims against Innventure alleging that Innventure, its employees, consultants or other third parties retained or indemnified by Innventure, infringe, dilute, misappropriate or otherwise violate their intellectual property rights. Some third-party intellectual property rights may be extremely broad, and it may not be possible for Innventure to conduct its operations in such a way as to avoid all alleged violations of such intellectual property rights and thus, Innventure cannot be certain that its technologies or products and services do not infringe valid patents, trademarks, copyrights or other proprietary rights held by third parties. Given the complex, rapidly changing and competitive technological and business environment in which Innventure operates, and the potential risks and uncertainties of intellectual property-related litigation, an assertion of an infringement claim against Innventure may cause Innventure to spend significant amounts to defend the claim, even if Innventure ultimately prevails,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4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Innventure. Even in instances where Innventure believes that claims and allegations of intellectual property infringement against it are without merit, defending against such claims is time consuming and expensive and could result in the diversion of time and attention of Innventure’s management and employees. In addition, although in some cases a third-party may have agreed to indemnify Innventure for such costs, such indemnifying party may refuse or be unable to uphold its contractual obligations. In other cases, insurance may not cover potential claims of this type adequately or at all, and Innventure may be required to pay monetary damages, which may be significant.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unable to take actions to effectively mitigate the effect of the resulting higher costs, Innventure’s business, financial condition, results of operations and prospects could be adversely impacted.</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Federal Reserve recently raised interest rates multiple times in response to concerns about inflation and it may raise them again. 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claims or investigations may be time-consuming, costly, divert management resources, or otherwise have a material adverse effect on its business or results of operations.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intellectual property,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Furthermore, data privacy laws continue to evolve in various jurisdictions, including the scope of consumer and commercial privacy protections. It is possible that data privacy laws, including those that may develop regarding new technologies such as artificial intelligence,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Innventure’s performance relating to environmental, social and governance (“ESG”) factors may impose additional costs and expose it to new risks.</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investors, employees, customers and other stakeholders concerning corporate responsibility, specifically related to ESG matters. Some investors may use these non-financial performance factors to guide their investment strategies and, in some cases, may choose not to invest in Innventure if they believe its policies and actions relating to corporate responsibility are inadequate. The growing investor demand for measurement of non-financial performance is addressed by third-party providers of sustainability assessments and ratings with respect to public companies. The criteria by which Innventure’s corporate responsibility practices are assessed may change due to changes in the sustainability landscape, which could cause it to undertake costly initiatives to satisfy such new criteria. If Innventure elects not to or is unable to satisfy such new criteria, investors may conclude that its policies and/or actions with respect to corporate social responsibility are inadequate. Innventure may face reputational damage in the event that it does not meet the ESG standards set by various constituencies.</w:t>
      </w:r>
    </w:p>
    <w:p>
      <w:pPr>
        <w:spacing w:after="0" w:line="13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 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The first detailed draft rules under that approach were published in December 2021. Most countries are expected to introduce new rules in line with the Two Pillar approach for the first time in 2024, although different countries are likely to implement these changes at different times and in different ways, through their individual agreement to tax treaty changes and through changes to their own domestic tax laws.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first pillar will first establish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second pillar will establish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Innventure and the Innventure Companies could be adversely affected due to its income being taxed at higher effective rates, once these new rules come into force.</w:t>
      </w:r>
    </w:p>
    <w:p>
      <w:pPr>
        <w:spacing w:after="0" w:line="11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will incur significant increased expenses and administrative burdens as a public company, which could have an adverse effect on its business, financial condition and results of operations.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Innventure will face increased legal, accounting, administrative and other costs and expenses as a public company that Innventure LLC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(United States) and the securities exchanges, impose additional reporting and other obligations on public companies. Compliance with public company requirements will increase costs and make certain activities more time-consuming. A number of those requirements will require Innventure to carry out activities Innventure has not done previously. For example, Innventure has created new board committees and adopted new internal controls and disclosure controls and procedures. In addition, additional expenses associated with SEC reporting requirements will be incurred. Furthermore, if any issues in complying with those requirements are identified (for example, if the auditors identify material weaknesses in addition to those disclosed herein or a significant deficiency in the internal control over financial reporting), Innventure could incur additional costs rectifying those issues, and the existence of those issues could adversely affect Innventure’s reputation or investor perceptions of it. It may also be more expensive to obtain director and officer liability insurance in such a situation. Risks associated with Innventure’s status as a public company may make it more difficult to attract and retain qualified persons to serve on the Board or as executive officers. The additional reporting and other obligations imposed by these rules and regulations will increase legal and financial compliance costs and the costs of related legal, accounting and administrative activities. These increased costs will require Innventure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3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failure to timely and effectively implement controls and procedures required by Section 404(a) of the Sarbanes-Oxley Act could negatively impact its business.</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Innventure LLC was not subject to Section 404 of the Sarbanes-Oxley Act. However, Innventure will in the future be required to provide management’s attestation on internal controls in accordance with the Sarbanes-Oxley Act. The standards required for a public company under Section 404(a) of the Sarbanes-Oxley Act are significantly more stringent than those required of Innventure LLC as a privately held company. Management may not be able to effectively and timely implement controls and procedures that adequately respond to the increased regulatory compliance and reporting requirements that will be applicable. If Innventure is not able to implement the additional requirements of Section 404(a) in a timely manner or with adequate compliance, it may not be able to assess whether its internal controls over financial reporting are effective, which may subject it to adverse regulatory consequences and could harm investor confidence and the market price of its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ind w:right="2160" w:firstLine="2164"/>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FINANCIAL INFORMATION </w:t>
      </w: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w:t>
      </w:r>
      <w:r>
        <w:rPr>
          <w:rFonts w:ascii="Times New Roman" w:cs="Times New Roman" w:eastAsia="Times New Roman" w:hAnsi="Times New Roman"/>
          <w:sz w:val="18"/>
          <w:szCs w:val="18"/>
          <w:b w:val="1"/>
          <w:bCs w:val="1"/>
          <w:color w:val="auto"/>
        </w:rPr>
        <w:t>Introduction</w:t>
      </w:r>
    </w:p>
    <w:p>
      <w:pPr>
        <w:spacing w:after="0" w:line="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Innventure is providing the following unaudited pro forma condensed combined financial information to aid you in your analysis of the financial aspects of the Business Combination.</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Learn CW was a blank check company incorporated on February 21, 2021 as a Cayman Islands exempted company for the purpose of effecting a merger, share exchange, asset acquisition, share purchase, reorganization or similar business combination with one or more businesses. On October 13, 2021, Learn CW consummated its initial public offering (the “IPO”) of 23,000,000 units, which included the issuance of 3,000,000 units as a result of the underwriter’s full exercise of their over-allotment option (the “Units”), each Unit consisting of one Class A ordinary share of the Company, par value $0.0001 per share (the “Public Shares”) and one-half of one redeemable warrant of the Company (each, a “Public Warrant”), each whole Public Warrant entitling the holder thereof to purchase one Class A ordinary share for $11.50 per share, subject to adjustment. The Units were sold at a price of $10.00 per Unit, and the IPO generated gross proceeds of $230,000,000. Simultaneously with the closing of the IPO, Learn CW consummated a private placement (the “Private Placement”) with the Sponsor of an aggregate of 7,146,000 private placement warrants at a price of $1.00 per Private Placement Warrant, generating gross proceeds to the Company of $7,146,000. Following the closing of the IPO on October 13, 2021, a total of $230,000,000 ($10.00 per Public Unit) of the net proceeds from the IPO and the Private Placement were deposited in a trust account (the “Trust Account”) established for the benefit of the Company’s public stockholders at a U.S. based trust account.</w:t>
      </w:r>
    </w:p>
    <w:p>
      <w:pPr>
        <w:spacing w:after="0" w:line="1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11, 2023, Learn CW held an extraordinary general meeting of stockholders to approve amendments to the Cayman constitutional documents (such proposal to be voted on, the “Extension Amendment Proposal”), at which Learn CW shareholders approved the Extension Amendment. Approximately 59% of the Public Shares in the Trust were redeemed in connection with the Extension Amendment with a proportional reduction in the Trust Account after the satisfaction of such redemptions.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(together with its subsidiaries) founds, funds, and operates companies with a focus on transformative, sustainable technology solutions acquired or licensed from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 Innventure’s headquarters is located in Orlando, Florida.</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Learn CW held an extraordinary general meeting of its shareholders to, among other things, approve the Business Combination of Learn CW, Legacy Innventure (as defined below), and Holdco, pursuant to the transactions contemplated by the Business Combination Agreement. On October 2, 2024, Learn CW and Innventure LLC consummated the Business Combination. Following the closing of the Business Combination, each of Learn CW and Innventure LLC became a subsidiary of Holdco, Holdco became a publicly traded company, and Holdco changed its name to “Innventure, Inc.” (“INV”).</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aggregate consideration (the “Merger Consideration”) paid to the holders of Innventure LLC’s outstanding equity and profits interests and warrants, other than the Class PCTA Units and the Class I Units (such holders, the “Innventure Members”), at the Closing consists of a number of shares of Common Stock equal to (i) (A) $435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million minus (B) the outstanding indebtedness as of the Closing (not including Indebtedness from any Additional Financing (terms used as defined in the Business Combination Agreement)) plus (C) cash and cash equivalents (not including cash from any Additional Financing) held by Innventure LLC and its direct and indirect subsidiaries (“Legacy Innventure”) as of the Closing, divided by (ii) $10.00. A portion of the aggregate Merger Consideration also included right to receive certain Company Earnout Shares (as defined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Business Combination</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Business Combination has been accounted for as a reverse recapitalization. Under this method of accounting, Learn CW has been treated as the “acquired” company for financial reporting purposes. This determination is based on the fact that subsequent to the Business Combination:</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equity holders have a majority of the voting power of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comprises all of the ongoing operations of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 has appointed a majority of the governing body of Innventure,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senior management comprises all of the senior management of Innventure.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the consolidated assets, liabilities and results of operations of Legacy Innventure have now become the historical financial statements of the combined entity; the assets, liabilities and results of operations of Learn CW were consolidated with Legacy Innventure beginning on the Closing Date. For accounting purposes, the financial statements of the combined entity represent a continuation of the financial statements of Legacy Innventure. The net assets of Learn CW are stated at historical costs, with no goodwill or other intangible assets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2024 gives pro forma effect to the Business Combination as if it had been consummated as of June 30, 2024. The unaudited pro forma condensed combined statements of operations for the six months ended June 30, 2024 and for the year ended December 31, 2023 give pro forma effect to the Business Combination as if it had been consummated as of January 1, 2023, the beginning of the earliest period presented. The unaudited pro forma condensed combined financial information should be read in conjunction with:</w:t>
      </w:r>
    </w:p>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Legacy Innventure and the historical audited financial statements of Learn CW as of and for the year ended December 31, 2023, included in this prospectus;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Legacy Innventure and the historical unaudited condensed financial statements of Learn CW as of and for the six months ended June 30, 2024, included in this prospectus;</w:t>
      </w:r>
    </w:p>
    <w:p>
      <w:pPr>
        <w:spacing w:after="0" w:line="10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entitled “</w:t>
      </w:r>
      <w:r>
        <w:rPr>
          <w:rFonts w:ascii="Times New Roman" w:cs="Times New Roman" w:eastAsia="Times New Roman" w:hAnsi="Times New Roman"/>
          <w:sz w:val="18"/>
          <w:szCs w:val="18"/>
          <w:i w:val="1"/>
          <w:iCs w:val="1"/>
          <w:color w:val="auto"/>
        </w:rPr>
        <w:t>Learn CW Management’s Discussion and Analysis of Financial Condition and Results of Operations</w:t>
      </w:r>
      <w:r>
        <w:rPr>
          <w:rFonts w:ascii="Times New Roman" w:cs="Times New Roman" w:eastAsia="Times New Roman" w:hAnsi="Times New Roman"/>
          <w:sz w:val="18"/>
          <w:szCs w:val="18"/>
          <w:color w:val="auto"/>
        </w:rPr>
        <w:t>” in the proxy statement/consent solicitation statement/prospectus (the “Definitive Proxy Statement”) filed with the SEC on September 10, 2024 (the “Definitive Proxy Statement”)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this prospectus; and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Proposal No. 1—The Business Combination Proposal</w:t>
      </w:r>
      <w:r>
        <w:rPr>
          <w:rFonts w:ascii="Times New Roman" w:cs="Times New Roman" w:eastAsia="Times New Roman" w:hAnsi="Times New Roman"/>
          <w:sz w:val="18"/>
          <w:szCs w:val="18"/>
          <w:color w:val="auto"/>
        </w:rPr>
        <w:t>,” and other financial information included in the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Business Combination. It sets forth and is derived from:</w:t>
      </w:r>
    </w:p>
    <w:p>
      <w:pPr>
        <w:spacing w:after="0" w:line="108" w:lineRule="exact"/>
        <w:rPr>
          <w:sz w:val="20"/>
          <w:szCs w:val="20"/>
          <w:color w:val="auto"/>
        </w:rPr>
      </w:pPr>
    </w:p>
    <w:p>
      <w:pPr>
        <w:jc w:val="both"/>
        <w:ind w:left="660" w:right="50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Innventure’s historical unaudited condensed consolidated financial statements as of and for the six months ended June 30, 2024, and Legacy Innventure’s historical audited consolidated financial statements as of and for the year ended December 31, 2023, as included in this prospectus, respectively;</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 CW’s historical unaudited condensed financial statements as of and for the six months ended June 30, 2024, and Learn CW’s historical audited financial statements as of and for the year ended December 31, 2023, as included in this prospectus, respectively;</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transaction accounting adjustments to give effect to the Business Combination on the unaudited condensed combined balance sheet as of June 30, 2024, as if the Business Combination closed on June 30, 2024; and</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to give effect to the Business Combination on the unaudited condensed combined statement of operations for the year ended December 31, 2023 and for the six months ended June 30, 2024, as if the Business Combination closed on January 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number of shares of Common Stock outstanding following the consummation of the Business Combination: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capitalization at Closing</w:t>
            </w: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r>
      <w:tr>
        <w:trPr>
          <w:trHeight w:val="23"/>
        </w:trPr>
        <w:tc>
          <w:tcPr>
            <w:tcW w:w="7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Innventure Members</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Learn CW Sponsor</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Learn CW independent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Sundry investors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shares of Common Stock outstanding at closing of the Transactions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Pr>
          <w:p>
            <w:pPr>
              <w:spacing w:after="0"/>
              <w:rPr>
                <w:sz w:val="19"/>
                <w:szCs w:val="19"/>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40" w:hanging="332"/>
        <w:spacing w:after="0" w:line="259"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38,494,999 shares of Common Stock issued at the Closing as the Merger Consideration. This excludes issuance of up to 5,000,000 of Common Stock (the “Company Earnout Shares”) because at Closing none of the Milestones were achieved and therefore, considered a liability of Innventure and not an equity interest at Closing.</w:t>
      </w:r>
    </w:p>
    <w:p>
      <w:pPr>
        <w:ind w:left="340" w:right="140" w:hanging="332"/>
        <w:spacing w:after="0" w:line="27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Gives effect to the forfeiture of: (i) 750,000 Learn CW Class B Ordinary Shares pursuant to the Sponsor Support Agreement across all scenarios presented; and excludes 344,866 shares of Common Stock issued pursuant to the Sponsor Support Agreement the Sponsors received at Closing (the “Sponsor Earnout Shares”), subject to transfer restrictions and potential forfeit if the Milestones are not achieved within seven years because this interest is considered a liability to the Sponsor and not an equity interest at Closing.</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purport to project the future financial position or operating results of Innventure following the Business Combination. The unaudited pro forma adjustments represent management’s estimates based on information currently available as of the date of these unaudited pro forma condensed combined financial statements and are subject to change as additional information becomes available and analyses are performed. The assumptions and estimates underlying the unaudited pro forma adjustments are described in the accompanying notes. Actual results may differ materially from the assumptions used, including in respect of the matters further described in Note 1 hereto, to present the unaudited pro forma condensed combined financial information. Legacy Innventure and Learn CW have not had any historical relationship prior to the Business Combination. Accordingly, no pro forma adjustments were required to eliminate activities between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8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Learn CW</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6"/>
                <w:szCs w:val="16"/>
                <w:color w:val="auto"/>
              </w:rPr>
            </w:pPr>
          </w:p>
        </w:tc>
        <w:tc>
          <w:tcPr>
            <w:tcW w:w="13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8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21,156</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 b, h, i, j, k, l</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from related parties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12,221</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21,056</w:t>
            </w:r>
          </w:p>
        </w:tc>
        <w:tc>
          <w:tcPr>
            <w:tcW w:w="1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33,749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held in trust account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k</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(80,537)</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Unitholders’ Capital</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payables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party notes payable -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 current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 installment payable -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27,780</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net of current portion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promissory note, net</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promissory note due to related party,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liability</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liability</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58,099</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58,099</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Patent installment payable, net of 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57,117</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101,006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Capital</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Class A ordinary shares; 9,338,421 shares at redemption</w:t>
            </w:r>
          </w:p>
        </w:tc>
        <w:tc>
          <w:tcPr>
            <w:tcW w:w="26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(101,593)</w:t>
            </w:r>
          </w:p>
        </w:tc>
        <w:tc>
          <w:tcPr>
            <w:tcW w:w="1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c</w:t>
            </w: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w:t>
            </w:r>
          </w:p>
        </w:tc>
        <w:tc>
          <w:tcPr>
            <w:tcW w:w="2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 Class I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 - Class PCTA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Unitholders' Deficit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 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Innventure Series B Preferred Stock</w:t>
            </w:r>
          </w:p>
        </w:tc>
        <w:tc>
          <w:tcPr>
            <w:tcW w:w="26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 l</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Preferred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B-1 Preferred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Units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Units</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Preferred stock, $0.0001 par value; 1,000,000 shares</w:t>
            </w:r>
          </w:p>
        </w:tc>
        <w:tc>
          <w:tcPr>
            <w:tcW w:w="26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authorized; none issued or outstanding</w:t>
            </w:r>
          </w:p>
        </w:tc>
        <w:tc>
          <w:tcPr>
            <w:tcW w:w="26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ordinary shares, $0.0001 par value; 200,000,000</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shares authorized; None issued and outstanding</w:t>
            </w: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(excluding 9,338,421 shares subject to possible</w:t>
            </w:r>
          </w:p>
        </w:tc>
        <w:tc>
          <w:tcPr>
            <w:tcW w:w="560" w:type="dxa"/>
            <w:vAlign w:val="bottom"/>
          </w:tcPr>
          <w:p>
            <w:pPr>
              <w:spacing w:after="0"/>
              <w:rPr>
                <w:sz w:val="12"/>
                <w:szCs w:val="12"/>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5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3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B ordinary shares, $0.0001 par value; 20,000,000</w:t>
            </w: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shares authorized; 5,750,000 shares issued and</w:t>
            </w:r>
          </w:p>
        </w:tc>
        <w:tc>
          <w:tcPr>
            <w:tcW w:w="5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5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w:t>
            </w:r>
          </w:p>
        </w:tc>
        <w:tc>
          <w:tcPr>
            <w:tcW w:w="56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24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c, d, e, f, g, h, m</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 e, j, m</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(91,366)</w:t>
            </w: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18,288</w:t>
            </w:r>
          </w:p>
        </w:tc>
        <w:tc>
          <w:tcPr>
            <w:tcW w:w="0" w:type="dxa"/>
            <w:vAlign w:val="bottom"/>
          </w:tcPr>
          <w:p>
            <w:pPr>
              <w:spacing w:after="0"/>
              <w:rPr>
                <w:sz w:val="1"/>
                <w:szCs w:val="1"/>
                <w:color w:val="auto"/>
              </w:rPr>
            </w:pPr>
          </w:p>
        </w:tc>
      </w:tr>
      <w:tr>
        <w:trPr>
          <w:trHeight w:val="22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Unitholders’ Deficit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(36,061)</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Total Liabilities, Mezzanine Capital, and</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340" w:type="dxa"/>
            <w:vAlign w:val="bottom"/>
            <w:vMerge w:val="continue"/>
          </w:tcPr>
          <w:p>
            <w:pPr>
              <w:spacing w:after="0"/>
              <w:rPr>
                <w:sz w:val="7"/>
                <w:szCs w:val="7"/>
                <w:color w:val="auto"/>
              </w:rPr>
            </w:pPr>
          </w:p>
        </w:tc>
        <w:tc>
          <w:tcPr>
            <w:tcW w:w="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32,392</w:t>
            </w:r>
          </w:p>
        </w:tc>
        <w:tc>
          <w:tcPr>
            <w:tcW w:w="80" w:type="dxa"/>
            <w:vAlign w:val="bottom"/>
          </w:tcPr>
          <w:p>
            <w:pPr>
              <w:spacing w:after="0"/>
              <w:rPr>
                <w:sz w:val="7"/>
                <w:szCs w:val="7"/>
                <w:color w:val="auto"/>
              </w:rPr>
            </w:pPr>
          </w:p>
        </w:tc>
        <w:tc>
          <w:tcPr>
            <w:tcW w:w="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102,065</w:t>
            </w:r>
          </w:p>
        </w:tc>
        <w:tc>
          <w:tcPr>
            <w:tcW w:w="100" w:type="dxa"/>
            <w:vAlign w:val="bottom"/>
          </w:tcPr>
          <w:p>
            <w:pPr>
              <w:spacing w:after="0"/>
              <w:rPr>
                <w:sz w:val="7"/>
                <w:szCs w:val="7"/>
                <w:color w:val="auto"/>
              </w:rPr>
            </w:pPr>
          </w:p>
        </w:tc>
        <w:tc>
          <w:tcPr>
            <w:tcW w:w="5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(80,537)</w:t>
            </w:r>
          </w:p>
        </w:tc>
        <w:tc>
          <w:tcPr>
            <w:tcW w:w="1480" w:type="dxa"/>
            <w:vAlign w:val="bottom"/>
          </w:tcPr>
          <w:p>
            <w:pPr>
              <w:spacing w:after="0"/>
              <w:rPr>
                <w:sz w:val="7"/>
                <w:szCs w:val="7"/>
                <w:color w:val="auto"/>
              </w:rPr>
            </w:pPr>
          </w:p>
        </w:tc>
        <w:tc>
          <w:tcPr>
            <w:tcW w:w="5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53,920</w:t>
            </w:r>
          </w:p>
        </w:tc>
        <w:tc>
          <w:tcPr>
            <w:tcW w:w="0" w:type="dxa"/>
            <w:vAlign w:val="bottom"/>
          </w:tcPr>
          <w:p>
            <w:pPr>
              <w:spacing w:after="0"/>
              <w:rPr>
                <w:sz w:val="1"/>
                <w:szCs w:val="1"/>
                <w:color w:val="auto"/>
              </w:rPr>
            </w:pPr>
          </w:p>
        </w:tc>
      </w:tr>
      <w:tr>
        <w:trPr>
          <w:trHeight w:val="178"/>
        </w:trPr>
        <w:tc>
          <w:tcPr>
            <w:tcW w:w="3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Unitholders' Deficit</w:t>
            </w: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48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40" w:type="dxa"/>
            <w:vAlign w:val="bottom"/>
          </w:tcPr>
          <w:p>
            <w:pPr>
              <w:spacing w:after="0"/>
              <w:rPr>
                <w:sz w:val="13"/>
                <w:szCs w:val="1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Learn</w:t>
            </w:r>
          </w:p>
        </w:tc>
        <w:tc>
          <w:tcPr>
            <w:tcW w:w="200" w:type="dxa"/>
            <w:vAlign w:val="bottom"/>
          </w:tcPr>
          <w:p>
            <w:pPr>
              <w:spacing w:after="0"/>
              <w:rPr>
                <w:sz w:val="13"/>
                <w:szCs w:val="13"/>
                <w:color w:val="auto"/>
              </w:rPr>
            </w:pPr>
          </w:p>
        </w:tc>
        <w:tc>
          <w:tcPr>
            <w:tcW w:w="11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00" w:type="dxa"/>
            <w:vAlign w:val="bottom"/>
          </w:tcPr>
          <w:p>
            <w:pPr>
              <w:spacing w:after="0"/>
              <w:rPr>
                <w:sz w:val="17"/>
                <w:szCs w:val="17"/>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revenue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58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color w:val="auto"/>
                <w:w w:val="96"/>
              </w:rPr>
              <w:t>aa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3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45,793</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(44,676)</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 xml:space="preserve">(1,869) </w:t>
            </w:r>
            <w:r>
              <w:rPr>
                <w:rFonts w:ascii="Times New Roman" w:cs="Times New Roman" w:eastAsia="Times New Roman" w:hAnsi="Times New Roman"/>
                <w:sz w:val="14"/>
                <w:szCs w:val="14"/>
                <w:color w:val="auto"/>
              </w:rPr>
              <w:t>ff</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(8,809) </w:t>
            </w:r>
            <w:r>
              <w:rPr>
                <w:rFonts w:ascii="Times New Roman" w:cs="Times New Roman" w:eastAsia="Times New Roman" w:hAnsi="Times New Roman"/>
                <w:sz w:val="14"/>
                <w:szCs w:val="14"/>
                <w:color w:val="auto"/>
              </w:rPr>
              <w:t>bb</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investments – related parties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(556) </w:t>
            </w:r>
            <w:r>
              <w:rPr>
                <w:rFonts w:ascii="Times New Roman" w:cs="Times New Roman" w:eastAsia="Times New Roman" w:hAnsi="Times New Roman"/>
                <w:sz w:val="14"/>
                <w:szCs w:val="14"/>
                <w:color w:val="auto"/>
              </w:rPr>
              <w:t>dd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(460) </w:t>
            </w:r>
            <w:r>
              <w:rPr>
                <w:rFonts w:ascii="Times New Roman" w:cs="Times New Roman" w:eastAsia="Times New Roman" w:hAnsi="Times New Roman"/>
                <w:sz w:val="14"/>
                <w:szCs w:val="14"/>
                <w:color w:val="auto"/>
              </w:rPr>
              <w:t>cc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(11,694)</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(8,889)</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(26,488)</w:t>
            </w: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(53,565)</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 xml:space="preserve">(5,366) </w:t>
            </w:r>
            <w:r>
              <w:rPr>
                <w:rFonts w:ascii="Times New Roman" w:cs="Times New Roman" w:eastAsia="Times New Roman" w:hAnsi="Times New Roman"/>
                <w:sz w:val="14"/>
                <w:szCs w:val="14"/>
                <w:color w:val="auto"/>
              </w:rPr>
              <w:t>ee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3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(48,060)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A ordinary</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75"/>
        </w:trPr>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ordinary</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21,602,673</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 Class B ordinary shares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17" w:right="3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Innventure</w:t>
            </w: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Learn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r>
      <w:tr>
        <w:trPr>
          <w:trHeight w:val="195"/>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6"/>
                <w:szCs w:val="16"/>
                <w:color w:val="auto"/>
              </w:rPr>
            </w:pPr>
          </w:p>
        </w:tc>
        <w:tc>
          <w:tcPr>
            <w:tcW w:w="13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14"/>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(24,746)</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 operating (Expense)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 xml:space="preserve">(935) </w:t>
            </w:r>
            <w:r>
              <w:rPr>
                <w:rFonts w:ascii="Times New Roman" w:cs="Times New Roman" w:eastAsia="Times New Roman" w:hAnsi="Times New Roman"/>
                <w:sz w:val="14"/>
                <w:szCs w:val="14"/>
                <w:color w:val="auto"/>
              </w:rPr>
              <w:t>ii</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6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99"/>
              </w:rPr>
              <w:t>gg</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3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(22,994)</w:t>
            </w:r>
          </w:p>
        </w:tc>
      </w:tr>
      <w:tr>
        <w:trPr>
          <w:trHeight w:val="250"/>
        </w:trPr>
        <w:tc>
          <w:tcPr>
            <w:tcW w:w="4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6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color w:val="auto"/>
                <w:w w:val="99"/>
              </w:rPr>
              <w:t>hh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70"/>
        </w:trPr>
        <w:tc>
          <w:tcPr>
            <w:tcW w:w="44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6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controlling interests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(4,217)</w:t>
            </w:r>
          </w:p>
        </w:tc>
        <w:tc>
          <w:tcPr>
            <w:tcW w:w="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(21,438)</w:t>
            </w:r>
          </w:p>
        </w:tc>
      </w:tr>
      <w:tr>
        <w:trPr>
          <w:trHeight w:val="224"/>
        </w:trPr>
        <w:tc>
          <w:tcPr>
            <w:tcW w:w="4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 per share (Note 2)</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A ordinary</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175"/>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 ordinary</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shares/common stock</w:t>
            </w:r>
          </w:p>
        </w:tc>
        <w:tc>
          <w:tcPr>
            <w:tcW w:w="2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35,264,251</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44,602,673</w:t>
            </w: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share, Class B ordinary</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176"/>
        </w:trPr>
        <w:tc>
          <w:tcPr>
            <w:tcW w:w="4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B ordinary</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7" w:right="379" w:bottom="1440" w:gutter="0" w:footer="0" w:header="0"/>
        </w:sectPr>
      </w:pPr>
    </w:p>
    <w:bookmarkStart w:id="45" w:name="page46"/>
    <w:bookmarkEnd w:id="4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STATEMENTS</w:t>
      </w:r>
    </w:p>
    <w:p>
      <w:pPr>
        <w:spacing w:after="0" w:line="17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presented for illustrative purposes only and is not necessarily indicative of the operating results and financial position that would have been achieved had the Business Combination occurred on the dates indicated.</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Innventure has elected not to present management adjustments and will only be presenting transaction accounting adjustments in the accompanying unaudited pro forma condensed combined financial information. There are no autonomous entity adjustments required because Legacy Innventure existed autonomously prior to the Business Combination. The historical financial information has been adjusted to reflect the pro forma adjustments that are directly attributable to the Business Combination.</w:t>
      </w:r>
    </w:p>
    <w:p>
      <w:pPr>
        <w:spacing w:after="0" w:line="1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 The pro forma basic and diluted earnings per share amounts presented in the unaudited pro forma condensed combined statement of operations are based upon the weighted average number of Innventure shares outstanding for the year ended December 31, 2023 and for the six months ended June 30, 2024, assuming the Business Combination occurred on January 1, 2023.</w:t>
      </w:r>
    </w:p>
    <w:p>
      <w:pPr>
        <w:spacing w:after="0" w:line="12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Transactions allowed Learn CW Public Warrants to be reclassified to equity. As such, the Learn CW Public Warrants were remeasured at fair value at closing and transferred at that value to equity. The equity classified public warrants will not be subject to subsequent remeasurement.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adjustments included in the unaudited pro forma condensed combined balance sheet as of June 30, 2024 are as follows: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Accounting Adjustments:</w:t>
      </w:r>
    </w:p>
    <w:p>
      <w:pPr>
        <w:spacing w:after="0" w:line="173" w:lineRule="exact"/>
        <w:rPr>
          <w:sz w:val="20"/>
          <w:szCs w:val="20"/>
          <w:color w:val="auto"/>
        </w:rPr>
      </w:pPr>
    </w:p>
    <w:p>
      <w:pPr>
        <w:ind w:left="660" w:right="260" w:hanging="328"/>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$11,342 of funds held in the Trust Account to cash that became available following the Business Combination together with the redemption by shareholders of their Class A common stock in exchange for $90,701 in cash.</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incremental transaction costs incurred by Innventure of approximately $6,717 (increasing accumulated deficit), the reclassification of accrued transaction costs and accounts payable amounting to $710 and $7,160, respectively, that were paid upon Closing and the reclassification of prepaid expenses - transaction costs amounting to $100 and the reclassification of other current liabilities (deferred credits for transaction costs) amounting to $587. The net reduction in cash of this adjustment was $15,074.</w:t>
      </w:r>
    </w:p>
    <w:p>
      <w:pPr>
        <w:spacing w:after="0" w:line="12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$10,892 of shares of Learn CW’s Class A ordinary shares subject to possible redemption to permanent equity (Common Stock of $1 and Additional paid-in capital of $10,891).</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recapitalization of $54,754 of Innventure Units, the issuance of 43,494,999 shares of Common Stock to Innventure Unitholders as consideration for the reverse recapitalization and the conversion of Learn CW’s Class B ordinary shares to Common Stock (together $5) with a net increase of $54,749 in Additional paid-in capital.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Learn CW historical accumulated deficit of $14,731 by reducing Additional paid-in capital upon Closing.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(i) Company Earnout Shares contingently issuable to the Innventure Members at Closing and (ii) Sponsor Earnout Shares that are issued at Closing but subject to the same earnout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ind w:left="660" w:right="180"/>
        <w:spacing w:after="0" w:line="255" w:lineRule="auto"/>
        <w:rPr>
          <w:sz w:val="20"/>
          <w:szCs w:val="20"/>
          <w:color w:val="auto"/>
        </w:rPr>
      </w:pPr>
      <w:r>
        <w:rPr>
          <w:rFonts w:ascii="Times New Roman" w:cs="Times New Roman" w:eastAsia="Times New Roman" w:hAnsi="Times New Roman"/>
          <w:sz w:val="18"/>
          <w:szCs w:val="18"/>
          <w:color w:val="auto"/>
        </w:rPr>
        <w:t>contingencies; and reflected as a liability with a corresponding decrease in Additional paid-in capital. The preliminary fair value of $58,099 was determined based on the closing stock price of LCW on October 2, 2024. A Monte Carlo simulation was completed which approximated the closing stock price because the probability that the contingencies will be resolved is considered to be virtually certain. The fair values of the Company Earnout Shares and the Sponsor Earnout Shares are subject to change as additional information becomes available and additional analyses are performed. Such changes could be material once the final valuation is determined at the Closing of the Business Combination. Subsequent changes in the fair value of the earnout liability will flow through the consolidated statement of operations until contingencies are resolved and shares are issued and the liability is transferred at its final fair value to equity.</w:t>
      </w:r>
    </w:p>
    <w:p>
      <w:pPr>
        <w:spacing w:after="0" w:line="135" w:lineRule="exact"/>
        <w:rPr>
          <w:sz w:val="20"/>
          <w:szCs w:val="20"/>
          <w:color w:val="auto"/>
        </w:rPr>
      </w:pPr>
    </w:p>
    <w:p>
      <w:pPr>
        <w:ind w:left="660" w:right="44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of $1,725 to account for reclassification of Learn CW Public Warrants from liabilities to stockholders’ equity thereby increasing Additional paid-in capital.</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cash deposited of $6,559 through September 30, 2024 and the issuance of Class A preferred units of Accelsius in the amount of $3,175 (reflected as an increase in Non-controlling interest) and Series B preferred units of Innventure in the amount of $3,384 (reflected as an increase in Additional paid-in capital), subsequent to June 30, 2024. Also reflects additional cash deposited at Closing of $11,020 for the issuance of Innventure Series B Preferred Shares.</w:t>
      </w:r>
    </w:p>
    <w:p>
      <w:pPr>
        <w:spacing w:after="0" w:line="1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repayment of the Learn CW Convertible Promissory Note due to the Sponsor which becomes repayable at Closing in the amount of $3,800.</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 of the execution on August 20, 2024 and August 22, 2024 of two unsecured short-term promissory note with related parties for $10,000 plus a $1,000 loan fee and $2,000 plus interest at 11.5%, respectively. Later on October 1, 2024, terms of both these notes were restated with one note consisting of a principal amount of $10,000 plus interest at 15.99% and the other note consisting of $1,000 plus interest of 13.5% interest. Both notes are repayable on January 31, 2025.</w:t>
      </w:r>
    </w:p>
    <w:p>
      <w:pPr>
        <w:spacing w:after="0" w:line="125"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transfer of $450 from cash to the Learn CW Trust Account after June 30, 2024 that was required to be deposited into the Trust Account to extend the period of time Learn CW has to consummate a business combination.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equity issuance costs paid at Closing in the amount of $441.</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negative Additional paid-in capital balance of $2,081 to accumulated deficit.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Innventure did not pay the one-time anticipated cash award at Closing in the amount of $2,800 because given the level of redemptions and continuing need for cash the Company has deferred and potentially may cancel these payments. As such the potential cash award is no longer recognized as a pro forma adjustment. Furthermore, at Closing Innventure had not yet undertaken compensation studies to decide upon the appropriate executive compensation package which may include some element of stock-based compensation. Therefore, no pro forma adjustment has been recorded.</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statements of operations for the year ended December 31, 2023, are as follows:</w:t>
      </w:r>
    </w:p>
    <w:p>
      <w:pPr>
        <w:spacing w:after="0" w:line="108" w:lineRule="exact"/>
        <w:rPr>
          <w:sz w:val="20"/>
          <w:szCs w:val="20"/>
          <w:color w:val="auto"/>
        </w:rPr>
      </w:pPr>
    </w:p>
    <w:p>
      <w:pPr>
        <w:ind w:left="660" w:right="80" w:hanging="328"/>
        <w:spacing w:after="0" w:line="266"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incremental transaction costs incurred by Innventure of approximately $14,794 as if incurred on January 1, 2023, the date the Business Combination occurred for the purposes of the unaudited pro forma condensed combined statement of operations. This is a non-recurring item.</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(bb)Reflects elimination of investment income and unrealized loss on investments held in the Trust Account.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elimination of fair value movements related to the reclassification of Learn CW Public Warrants from liability to equity classification.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left="660" w:right="80" w:hanging="323"/>
        <w:spacing w:after="0" w:line="282" w:lineRule="auto"/>
        <w:rPr>
          <w:sz w:val="20"/>
          <w:szCs w:val="20"/>
          <w:color w:val="auto"/>
        </w:rPr>
      </w:pPr>
      <w:r>
        <w:rPr>
          <w:rFonts w:ascii="Times New Roman" w:cs="Times New Roman" w:eastAsia="Times New Roman" w:hAnsi="Times New Roman"/>
          <w:sz w:val="18"/>
          <w:szCs w:val="18"/>
          <w:color w:val="auto"/>
        </w:rPr>
        <w:t>(dd)Reflects the elimination of the gain on settlement of deferred underwriting fees following the resignation of the underwriters from their role in the Business Combination and their agreement to waive their deferred underwriting fees.</w:t>
      </w:r>
    </w:p>
    <w:p>
      <w:pPr>
        <w:spacing w:after="0" w:line="108" w:lineRule="exact"/>
        <w:rPr>
          <w:sz w:val="20"/>
          <w:szCs w:val="20"/>
          <w:color w:val="auto"/>
        </w:rPr>
      </w:pPr>
    </w:p>
    <w:p>
      <w:pPr>
        <w:ind w:left="660" w:right="100" w:hanging="328"/>
        <w:spacing w:after="0" w:line="266" w:lineRule="auto"/>
        <w:tabs>
          <w:tab w:leader="none" w:pos="6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2023, based on the interest rate and principal amounts applicable on the final date (subsequent to the amendment and restatement of the notes).</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pro forma adjustments included in the unaudited pro forma condensed combined statement of operations for the six months ended June 30, 2024 are as follows: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(gg)Reflects the elimination of fair value movements related to the reclassification of Learn CW Public Warrants from liability to equity classification.</w:t>
      </w:r>
    </w:p>
    <w:p>
      <w:pPr>
        <w:spacing w:after="0" w:line="171" w:lineRule="exact"/>
        <w:rPr>
          <w:sz w:val="20"/>
          <w:szCs w:val="20"/>
          <w:color w:val="auto"/>
        </w:rPr>
      </w:pPr>
    </w:p>
    <w:p>
      <w:pPr>
        <w:ind w:left="660" w:right="100" w:hanging="323"/>
        <w:spacing w:after="0" w:line="266" w:lineRule="auto"/>
        <w:rPr>
          <w:sz w:val="20"/>
          <w:szCs w:val="20"/>
          <w:color w:val="auto"/>
        </w:rPr>
      </w:pPr>
      <w:r>
        <w:rPr>
          <w:rFonts w:ascii="Times New Roman" w:cs="Times New Roman" w:eastAsia="Times New Roman" w:hAnsi="Times New Roman"/>
          <w:sz w:val="18"/>
          <w:szCs w:val="18"/>
          <w:color w:val="auto"/>
        </w:rPr>
        <w:t>(hh)Reflects the allocation of income loss to Class PCTA and Class I Units in form of net income to non-controlling interests as these units will be present in the combined entity post Business Combination. The amount allocated to these units is based on the amount accreted during the period for the portions of business related to these units.</w:t>
      </w:r>
    </w:p>
    <w:p>
      <w:pPr>
        <w:spacing w:after="0" w:line="122" w:lineRule="exact"/>
        <w:rPr>
          <w:sz w:val="20"/>
          <w:szCs w:val="20"/>
          <w:color w:val="auto"/>
        </w:rPr>
      </w:pPr>
    </w:p>
    <w:p>
      <w:pPr>
        <w:ind w:left="660" w:right="240" w:hanging="328"/>
        <w:spacing w:after="0" w:line="266" w:lineRule="auto"/>
        <w:tabs>
          <w:tab w:leader="none" w:pos="6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interest expense related to debt financing raised in the form of unsecured promissory notes as described in adjustment (j) above. Interest is calculated, assuming the notes were outstanding from January 1, 2024, based on the interest rate and principal amounts applicable on the final date (subsequent to the amendment and restatement of the notes).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loss per share is calculated using the historical weighted average shares outstanding, and the issuance of additional shares in connection with the Business Combination, assuming the shares were outstanding since January 1, 2023. As the Business Combination and related equity transactions are being reflected as if they had occurred at the beginning of the periods presented, the calculation of weighted average shares outstanding for basic and diluted net loss per share assumes that the shares issuable relating to the Business Combination have been outstanding for the entirety of all periods presented. This calculation is retroactively adjusted to eliminate the shares actually redeemed, for the entire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considering the actual redemptions into cash of Common Stock for the year ended December 31, 2023 and for the six months ended June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Pro forma net loss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44,602,673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Pro forma net loss per share – basic and diluted </w:t>
            </w:r>
            <w:r>
              <w:rPr>
                <w:rFonts w:ascii="Times New Roman" w:cs="Times New Roman" w:eastAsia="Times New Roman" w:hAnsi="Times New Roman"/>
                <w:sz w:val="23"/>
                <w:szCs w:val="23"/>
                <w:b w:val="1"/>
                <w:bCs w:val="1"/>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Innventure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Sundry investors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44,602,673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9"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the net loss by the 8% preferential cumulative dividends due to Innventure Series B Preferred Stockholders in the amount of $882 and $441 for the year ended December 31, 2023 and six months ended June 30, 2024, respectively, as if these shares had been outstanding since January 1, 2023.</w:t>
      </w:r>
    </w:p>
    <w:p>
      <w:pPr>
        <w:ind w:left="340" w:right="20" w:hanging="332"/>
        <w:spacing w:after="0" w:line="26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Learn CW Public Warrants, Learn CW Private Warrants and Series B preferred shares, and shares issuable under the SEPA are anti-dilutive and are not included in the calculation of diluted net loss per share. There are currently 11,500,000 Learn CW Public Warrants and 7,146,000 Learn CW Private Warrants outstanding. Each such warrant entitles the holder to purchase one Class A ordinary share at an exercise price of $11.50 per share. Subject to the terms of the Warrant Agreement, these warrants are not exercisable until 30 days after the consummation of a business combination. There are 1,102,000 Series B Preferred Shares outstanding. Each preferred share is convertible to common shares at a price of $12.50 per share (subject to adjustment upon certain circumstances). The SEPA allows for the drawdown of capital in exchange for a maximum of 9.99% of the outstanding voting common shares. The 5,000,000 potentially dilutive Company Earnout Shares were excluded from the computation of pro forma net loss per share, basic and diluted, because issuance of such shares is contingent upon the satisfaction of certain conditions which were not satisfied by the end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in late 2015 (technology sourced from P&amp;G), AeroFlexx in 2018 (technology sourced from P&amp;G), and Accelsius in 2022 (technology sourced from Nokia). PureCycle became a publicly traded company in 2021 and, as of the date of this prospectus, Innventure no longer has an economic interest in PureCycle.</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advantages,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Operating Companies and potentially maximizing value for investors and other stakeholders. As part of the new “Disruptive Conglomerate Model,” as described in more detail below,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AeroFlexx, Accelsius and Innventure’s future subsidiary companies that Innventure founds, funds, and operates going forward (the “Operating Companies”). We are currently deploying this advanced approach with Accelsius, and we will continue to deploy it following the Business Combination.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(who has been determined to be our Chief Operating Decision Maker), we have identified two reportable segments: (i) Corporate and (ii) Technology.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two types of revenue: (i) Management fee income - related parties and (ii) Consulting revenue.</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fee income is related to revenue earned from the investment management services provided to the ESG Fund and management services provided to AeroFlexx. The ESG Fund was formed to make venture capital investments in and contribute capital to the Operating Companies. Pursuant to a management services agreement with the ESG Fund, Innventure earns management fees for providing investment management services to the ESG Fund, which include administrative, finance and accounting services, and other back-office functions for the ESG Fund. Management fee income is a percentage of the contributed capital pursuant to the contractual terms of the management services agreement.</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Consulting revenue includes revenue generated from investigative analysis, due diligence and opportunity assessment services provided to third-party customers. Consulting revenue is recognized as the services are provided to the customer as we complete our relevant analysis or deliverables for the customer.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includes costs related to occupancy, travel and entertainment, communications and information services, insurance and other general items related directly to our operations. These expenses are net of amounts incurred on behalf of the ESG Fund investors and other related parties in which we have determined we are an agent in the transaction. General and administrative expense reflects costs incurred on behalf of the ESG Fund in which we have determined it is an obligation of ours or those costs which have exceeded the reimbursement cap for fees incurred related to legal and accounting expenses of $800.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 includes costs related to advertising, website expenses, communications, branding and other marketing 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 includes consulting, lab equipment and servers, and supplies and material samples related to development of our cooling technology.</w:t>
      </w:r>
    </w:p>
    <w:p>
      <w:pPr>
        <w:spacing w:after="0" w:line="108"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R&amp;D expense also includes our acquisition of in-process R&amp;D consisting of various patents held by an unrelated third-party and access to the aforementioned third-party’s unpublished R&amp;D, unpatented inventions, and other intellectual property relating to the development of our cooling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and outstanding loans.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(loss) gain on investments relates to the mark-to-market of PCT stock. PCT stock held by Innventure LLC relates to both Innventure LLC's investment in PCT and PCT stock held on behalf of Innventure PCTA unitholders.</w:t>
      </w:r>
    </w:p>
    <w:p>
      <w:pPr>
        <w:spacing w:after="0" w:line="108"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gains/losses in connection with sales of PCT stock held by Innventure LLC as well as the impact of the distribution of PCT stock per the direction of the PCTA unitholders and related releases of the unrealized change in fair value of the PCT stock is also recorded within net (loss) gain on investments.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 – due to related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gain on investments due to related party are the PCT stock liabilities due to related parties that are marked-to-market.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determined that certain features under the Accelsius convertible promissory note required bifurcation from the debt host agreement in accordance with ASC 815, “Derivatives and Hedging”. Accordingly, we recognized a derivative liability at fair value for this instrument in our consolidated balance sheets and adjusted the carrying value of the liability to fair value at each reporting period until the option underlying the instrument was exercised or expired. The instrument was exercised in March 2024. The changes in fair value were assessed quarterly and recorded in our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income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Equity method investment (loss) income represents our approximately 31% interest in AeroFlexx as of June 30, 2024 that is accounted for under the equity method, in addition to our approximately 5% interest in the ESG 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Loss on conversion of promissory notes due to extinguishment represents the loss resulting from the conversion of promissory notes to equity instruments by comparing the fair value of shares issued in exchange for the carrying value of the extinguished debt and related embedded derivative.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loss primarily consists of realized loss on warrant modification which represents a modification expense realized in connection with the exchange of certain option warrant holders’ warrants for new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a controlling interest in Accelsius and, therefore, we consolidate Accelsius’ operating results for financial statement purposes. Net income attributable to non-controlling interest represents the portion of net income attributable to the non-controlling Accelsius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 Months Ended June 30, 2024 and 2023 (in thousands, except as otherwise noted) (Unaudited)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2024 (Unaudited)</w:t>
            </w:r>
          </w:p>
        </w:tc>
        <w:tc>
          <w:tcPr>
            <w:tcW w:w="3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 (Unaudited)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4,981.0 %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158.5 %</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173.0 %</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176"/>
        </w:trPr>
        <w:tc>
          <w:tcPr>
            <w:tcW w:w="3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loss on investments – due to related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fair value of embedded</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derivative liability</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175"/>
        </w:trPr>
        <w:tc>
          <w:tcPr>
            <w:tcW w:w="33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11,208.9 %</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Income Attributable to</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164.8 %</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Revenue was $447 for the six months ended June 30, 2024, as compared to $619 for the six months ended June 30, 2023, a decrease of $172, or 27.8%. The decrease was primarily due to $0 consulting revenue being generated in the six months ended June 30, 2024 compared to $175 for the six months ended June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$16,283 for the six months ended June 30, 2024 as compared to $5,824 for the six months ended June 30, 2023, an increase of $10,459, or 179.6%. This increase in expenditure was primarily attributed to an increase in outside services such as professional services, legal fees, and consulting fees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a result of costs related to the Business Combination. The remaining increase in expenditure was due to increased headcount. </w:t>
      </w:r>
      <w:r>
        <w:rPr>
          <w:rFonts w:ascii="Times New Roman" w:cs="Times New Roman" w:eastAsia="Times New Roman" w:hAnsi="Times New Roman"/>
          <w:sz w:val="18"/>
          <w:szCs w:val="18"/>
          <w:b w:val="1"/>
          <w:bCs w:val="1"/>
          <w:i w:val="1"/>
          <w:iCs w:val="1"/>
          <w:color w:val="auto"/>
        </w:rPr>
        <w:t>Sales and Marketing</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Sales and marketing expense was $2,549 for the six months ended June 30, 2024 as compared to $1,206 for the six months ended June 30, 2023, an increase of $1,343, or 111.4%. This was primarily due to the increase in the headcount and related compensation costs within the sales and marketing team for the Technology segment. The remaining increase in expenditure was due to an increase in public relations expenses, website expenses, marketing efforts and events, and expenses incurred in connection with market analysis.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$3,433 for the six months ended June 30, 2024 as compared to $1,582 for the six months ended June 30, 2023, an increase of $1,851 or 117.0%. This was primarily due to increased headcount and the related compensation costs within the R&amp;D team for the Technology segment and new product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expense, net was $448 for the six months ended June 30, 2024, which was relatively flat as compared to $476 for the six months ended June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gain on investments was $4,399 for the six months ended June 30, 2024 as compared to $9,430 for the six months ended June 30, 2023, an decrease of $5,031, or 53.4%. This was primarily driven by the change in value of exchange traded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 - Due to Related Parties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on investments – due to related parties was $160 for the six months ended June 30, 2024 as compared to $337 for the six months ended June 30, 2023, a decrease of $177, or 52.5%, which was due to the change in fair value of exchange-traded investments owed to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Change in fair value of embedded derivative liability was a loss of $478 for the six months ended June 30, 2024 as compared to a loss of $41 for the six months ended June 30, 2023, an increase of $437, or 1065.9%. This was due to changes in valuation of notes converted into equity during in the first quarter of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Income</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Equity method investment income was $784 for the six months ended June 30, 2024, as compared to $381 for the six months ended June 30, 2023, an increase of $403, or 105.8%. The increase was due to Innventure's allocation of unrealized gains on the ESG Fund, offset by Innventure's portion of allocated loss on the AeroFlexx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Loss on conversion of promissory notes was $1,119 for the six months ended June 30, 2024, as compared to $0 for the six months ended June 30, 2023, an increase of $1,119. This was due to the automatic conversion of promissory notes in the first quarter of 2024 into equity instruments which was treated as an extinguishment thereby generating a loss. There was no equivalent transaction in the first half of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was $6,333 for the six months ended June 30, 2024, as compared to $56 for the six months ended June 30, 2023, an increase of $6,277, or 11,208.9%. This was due to Accelsius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00"/>
          </w:cols>
          <w:pgMar w:left="320" w:top="1440" w:right="379" w:bottom="1440" w:gutter="0" w:footer="0" w:header="0"/>
        </w:sectPr>
      </w:pPr>
    </w:p>
    <w:bookmarkStart w:id="54" w:name="page55"/>
    <w:bookmarkEnd w:id="54"/>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generating approximately $6,053 in additional net loss subject to allocable percentage for the six months ended June 30, 2024 as compared to the six months ended June 30, 2023 as well as an increase in non-controlling interest unitholders.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 (in thousands, except as otherwise noted)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consolidated operating results for the periods indicated and percentage of revenue for each line item.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50"/>
        </w:trPr>
        <w:tc>
          <w:tcPr>
            <w:tcW w:w="3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177.0 %</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2,219.8 %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2,718.8 %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gain on investments – due to related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 attributable to non-controlling</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396.4 %</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 LLC</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(2,761.4)%</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-4097020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-4097020</wp:posOffset>
            </wp:positionV>
            <wp:extent cx="59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-4097020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-4097020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-4097020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Revenue was $1,117 for the year ended December 31, 2023 as compared to $942 for the year ended December 31, 2022, an increase of $175, or 18.6%. This was primarily due to $225 of non-recurring consulting revenue generated from services to certain third parties, in addition to a new management services agreement with AeroFlexx that was entered into during 2023. Revenue was only generated by our Corporate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was $17,589 for the year ended December 31, 2023 as compared to $9,011 for the year ended December 31, 2022, an increase of $8,578, or 95.2%, with $5,681 related primarily to professional service fees incurred in connection with the Business Combination. The remaining increase in expenditures was due to increase in headcount for the startup of the Accelsius business as well as professional service fees, legal fees, and facility costs for Accelsius.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Sales and marketing expense was $3,205 for the year ended December 31, 2023 as compared to $1,157 for the year ended December 31, 2022, an increase of $2,048, or 177.0%, with approximately half of the increase related to an increase in headcount within the sales and marketing team for Accelsius. The remaining increase in expenditures was due to facility and outside marketing services costs related to Accelsius.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R&amp;D expense was $4,001 for the year ended December 31, 2023 as compared to $15,443 for the year ended December 31, 2022, a decrease of $11,442, or 74.1%. R&amp;D expenses for the year ended 2022 included $14,350 of costs incurred relating to the to the acquisition of in-process R&amp;D in an asset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Interest expense was $1,224 for the year ended December 31, 2023 as compared to $890 for the year ended December 31, 2022, an increase of $334, or 37.5%, which was primarily driven by additional interest on the convertible note with the ESG Fund, partially offset by a reduction of debt to the Series 2 noteholders.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on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on investments was $6,448 for the year ended December 31, 2023 as compared to $7,196 for the year ended December 31, 2022, a decrease of</w:t>
      </w:r>
    </w:p>
    <w:p>
      <w:pPr>
        <w:spacing w:after="0" w:line="2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$748, or 10.4%. This was due to a greater decrease in the share price of PCT common stock during 2022 relative to 2023. Additionally, we held less shares of PCT common stock during 2023 relative to 2022, resulting in a lower net change in unrealized appreciation on investments. This was partially offset by our realized gain on distribution of investments due to the volume of PCTA units distributed in 2023 relative to 2022.</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on Investments – Due to Related Parties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gain on investments due to related party was $232 for the year ended December 31, 2023, which was relatively flat as compared to $238 for the year ended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Embedded Derivative Liability</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 in fair value of embedded derivative liability was $766 for the year ended December 31, 2023 as compared to an unrecognized loss of $65 for the year ended December 31, 2022, which represented the embedded feature bifurcated as part of Accelsius’ convertible note.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Equity method investment loss was $632 for the year ended December 31, 2023 as compared to $63 for the year ended December 31, 2022, an increase of $569, or 903.2%. The loss of $632 recognized represented a nonrecurring allocated loss from the ESG Fund of $202 and a non-recurring allocated loss from investment in AeroFlexx of $430.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loss consists of a realized loss on warrant modification which was $0 for the year ended December 31, 2023 as compared to $140 for the year ended December 31, 2022. This was related to the warrant modification in 2022, whereby certain warrant holders exchanged their old warrants for new warrants, resulting in a realized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Non-controlling Interest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Loss attributable to non-controlling interest was $139 for the year ended December 31, 2023, as compared to $28 for the year ended December 31, 2022, an increase of $111, or 396.4%. This was due to the increase in Accelsius loss subject to allocable percentage during the year ended December, 31 2023 as compared to the year ended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(in thousands, except as otherwise noted)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on-hand and operating expenditure commitments. Our liquidity needs are to meet working capital requirements and operating expense obligations. To date, and prior to the Business Combination, we have financed our operations primarily through cash flows from investing and financing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projections, we believe we, together with our Operating Companies, will require approximately $25,000 to meet our and our Operating Companies liquidity requirements for the 12 months after the completion of the Business Combination.</w:t>
      </w:r>
    </w:p>
    <w:p>
      <w:pPr>
        <w:spacing w:after="0" w:line="12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expect to satisfy our liquidity requirements following the Business Combination through cash on hand, cash generated from the operations of our Operating Companies, and available cash remaining in the Trust Account (minimum amount of $8,431), the SEPA with Yorkville (maximum amount of $75,000), as well as potential additional financings completed by the Company, Learn CW, or our Operating Companies following the Business Combination. During the six months ended June 30, 2024, the Corporate and Technology segments each raised approximately $10,548 and $11,293 of additional capital financing, in comparison to each segment raising approximately $3,389 and $0 during the six months ended June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17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borrowed $10,000 from Glockner Family Venture Fund (the “Glockner Lender”), a Florida limited partnership affiliated with Glockner Enterprises, as bridge financing until the Closing of the Transactions. The outstanding principal amount and loan fee are due upon the later of October 15, 2024 and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On August 22, 2024, pursuant to an unsecured promissory note (the “Scott Bridge Note”), Innventure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Glockner Bridge Note. Any amounts due under the Glockner Bridge Note and the Scott Bridge Note may each be repaid in lieu of cash, at the option of the Glockner Lender and Dr. Scott, respectively, in shares of preferred stock.</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$1,000 as a loan fee, which has not yet been repaid. As of the date hereof, no amounts have been paid under the A&amp;R Glockner Bridge Note. As described above, Mr. Donnally serves as the managing member of the Glockner Family Venture Fund’s general partner, Bellringer Consulting Group LLC.</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 which has not yet been paid. As of the date hereof, no amounts have been repaid under the A&amp;R Scott Bridge Note.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WTI Loan and Security Agreement</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and the WTI Lenders entered into a joinder agreement, pursuant to which the Company became a co-borrower under the Loan and Security Agreement and related loan documents (collectively, the “Loan Documents”).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$50,000 (the “WTI Facility”), of which (i) up to $20,000 will be made available after the WTI Closing Date and through November 15, 2024 (the “First Tranche”); (ii) up to $15,000 will be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without limitation, (x) with respect to the First Tranche, available cash (after giving effect to the loans to be made under the First Tranche) of $35,000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Borrowings under the First Tranche, the Second Tranche and the Third Tranche will accrue interest at a rate per annum equal to the greater of (i) the “prime rate” of interest, as published by The Wall Street Journal on the date that the WTI Lenders prepare the promissory notes for the borrowings under such tranche, plus 5.00% and (ii) 13.50% and will amortize, after an interest only period of 12 months in the case of the First Tranche and 6 months in the case of each of the Second Tranche and the Third Tranche, in equal monthly installments over a period of thirty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$15,000 (in the aggregate), subject to adjustment to the extent a WTI Warrant is partially exercised, in lieu of exercise upon a change of control or at any time from and after the four-year anniversary of the Closing. Each of WTI Fund X, LLC and WTI Fund XI, LLC will also have the option to purchase up to $5,000 (in the aggregate) or such amount as is necessary for each of WTI Fund X, LLC and WTI Fund XI, LLC to maintain its pro rata ownership in certain future financings conducted by the Company, subject to customary exclusions.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six months ended June 30, 2024 and June 30, 2023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183.1 %</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338.9 %</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-633730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-633730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-633730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years ended December 31, 2023 and December 31, 2022 are summarized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w w:val="98"/>
              </w:rPr>
              <w:t>(9,526)</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left="556"/>
              <w:spacing w:after="0"/>
              <w:rPr>
                <w:sz w:val="20"/>
                <w:szCs w:val="20"/>
                <w:color w:val="auto"/>
              </w:rPr>
            </w:pPr>
            <w:r>
              <w:rPr>
                <w:rFonts w:ascii="Times New Roman" w:cs="Times New Roman" w:eastAsia="Times New Roman" w:hAnsi="Times New Roman"/>
                <w:sz w:val="18"/>
                <w:szCs w:val="18"/>
                <w:color w:val="auto"/>
                <w:w w:val="98"/>
              </w:rPr>
              <w:t>(6,150)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8"/>
              </w:rPr>
              <w:t>7,502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 increase in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8"/>
                <w:szCs w:val="18"/>
                <w:color w:val="auto"/>
                <w:w w:val="98"/>
              </w:rPr>
              <w:t>(8,174)</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-633730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-633730</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-633730</wp:posOffset>
            </wp:positionV>
            <wp:extent cx="59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were $16,391 for the six months ended June 30, 2024 as compared to $7,387 for the six months ended June 30, 2023, an increase of $9,004, or 121.9%. The increase is primarily related to change in net loss related to changes in the fair value of our investments and other financial instruments, additional costs incurred in connection with the Business Combination, and increased employee compensation costs associated with increased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were $19,476 for the year ended December 31, 2023 as compared to $9,950 for the year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to net cash used by operating activities is primarily related to the additional costs incurred in connection with the Business Combination.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$4,377 for the six months ended June 30, 2024 as compared to cash flows used in investing activities of $1,546 for the six months ended June 30, 2023, an increase of $2,831 or 183.1%. The increase is primarily related to loans to an equity method investee and acquisitions of property, plant and equipment; which is partially offset by a receipt of a distribution received from an equity method investee and proceeds received from sales of PCT's stock.</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$4,667 for the year ended December 31, 2023 as compared to cash flows provided by investing activities of $1,483 for the year ended December 31, 2022. The change is primarily related to the investment of additional equity in an equity method investee as well as the acquisition of property, plant and equipment, partially offset by a receipt of a distribution received from an equity method investee.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$20,274 for the six months ended June 30, 2024 as compared to $4,619 for the six months ended June 30, 2023, an increase of $15,655 or 338.9%. The increase is primarily related proceeds from issuance of capital, partially offset by increased repayment of debt.</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flows provided by financing activities were $19,174 for the year ended December 31, 2023 as compared to $11,672 for the year ended December 31, 2022. The increase to net cash provided by financing activities primarily relates to proceeds from the issuance of our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17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Refer to Note 5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condensed consolidated financial statements for the three and six months ended June 30, 2024 included elsewhere in this prospectus for a discussion of our indebtedness.</w:t>
      </w:r>
    </w:p>
    <w:p>
      <w:pPr>
        <w:spacing w:after="0" w:line="106"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In combination with the capital raises and in order to finance continued operations and transaction costs, Innventure LLC converted $396 of Series 1 Promissory Notes into Class B Preferred Units as detailed in the condensed consolidated financial statements for the six months ended June 30, 2024. Furthermore, Innventure LLC extended eligible Series 1 Promissory Notes with an aggregate outstanding principal of $422 for an additional 12-month period with an average increase to the related interest rate of 3%.</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during the six months ended June 30, 2024, our 8% convertible promissory notes were converted into 693,480 of Accelsius Series A units in the amount of $6,755, thereby reducing indebtedness accordingly.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48"/>
        </w:trPr>
        <w:tc>
          <w:tcPr>
            <w:tcW w:w="3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-488315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-488315</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-488315</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-488315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-488315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these conditions raise substantial doubt about our ability to continue as a going concern within one year after the date that our consolidated financial statements included elsewhere in this prospectus are issued.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133"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financing;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Innventure’s Business – The independent registered public accounting firm for Innventure has expressed substantial doubt about the ability of Innventure to continue as a going concern and Innventure may not be able to obtain additional financing to fund the operations and growth of the business.”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3"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color w:val="auto"/>
        </w:rPr>
        <w:t>Refer to Note 2,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xml:space="preserve"> to our consolidated financial statements for the year ended December 31, 2023 included elsewhere in this prospectus for a discussion of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We are owner-operators who take what we believe to be breakthrough technologies from early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three such companies since inception: PureCycle in late 2015 (technology sourced from P&amp;G), AeroFlexx in 2018 (technology sourced from P&amp;G), and Accelsius in 2022 (technology sourced from Nokia). PureCycle became a publicly traded company in 2021 and, as of the date of this prospectus, Innventure no longer has an economic interest in PureCycle.</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Innventure’s approach to identifying and commercializing disruptive technology opportunities has a multi-decade history and is designed to help mitigate the risks associated with building start-up businesses by sourcing technology from MNCs. One important part of our approach is our existing and ongoing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B2B customers, (4) the ability to create sustainable competitive advantage, (5) the projected ability to generate rapid, sizable financial returns and (6) the potential to create target enterprise value of at least $1 billion. DownSelect uses the proprietary MNC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MNC technology solution and use the initial business plans developed during our DownSelect process as the basis to launch a new “Innventure Company” with funding from our balance sheet.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has targeted exits for our new companies at 5-7 years after inception through a sale, initial public offering or merger, including a merger with a special purpose acquisition company. We now believe this approach can result in exiting companies prior to their maximum shareholder value.</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and hold companies, generating positive cash flows of one or more majority-owned new Innventure companies and potentially maximizing value for investors and other stakeholders. As part of the new “Disruptive Conglomerate Model,” as described in more detail below, Innventure intends to retain majority (or sole) ownership. We believe that holding companies allows those companies to mature further and gives us the opportunity to derive greater value from those companies over the long term. While a sale or other disposition of one or more of our companies could occur in the future, exit transactions are not expected to be a factor in the business plans for Operating Companies. We are currently deploying this advanced approach with Accelsius, and we will continue to deploy it following the Business Combination.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was founded in 2015 and currently operates its business under a Delaware limited liability company that was formed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led by Gregory W. (Bill) Haskell, our Chief Executive Officer and Manager (“CEO”); David Yablunosky, our Chief Financial Officer (“CFO”); our Founders, Mike Otworth, who also serves as our Executive Chairman, and Dr. John Scott, who also serves as our Chief Strategy Officer; and a strong team of senior leaders that bring experience and expertise in scaling start-ups, capital markets, operations, marketing, and technology evaluation.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Below is the current organization chart of Innventure, including AeroFlexx and Accelsius. As depicted below, as of October 28, 2024, Innventure LLC owns 29.7% of AeroFlexx, and the remainder of AeroFlexx is collectively owned by Innventure and AeroFlexx directors, officers and employees (9.7%); Innventus ESG Fund I, L.P. (32.5%); and investors external to Innventure and AeroFlexx (28.1%). Further, as of October 28, 2024, Innventure LLC owns 55.6% of Accelsius, and the remainder of Accelsius is collectively owned by Innventure and Accelsius directors, officers, and employees (25.7%), Innventus ESG Fund I, L.P. (4.3%), and investors external to Innventure and Accelsius (14.4%). Innventure, through Innventure LLC as its subsidiary, owns 29.7% and 55.6% of AeroFlexx and Accelsius,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96520</wp:posOffset>
            </wp:positionV>
            <wp:extent cx="3780155" cy="5048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80155" cy="504888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60"/>
          </w:cols>
          <w:pgMar w:left="320" w:top="1440" w:right="419" w:bottom="1440" w:gutter="0" w:footer="0" w:header="0"/>
          <w:type w:val="continuous"/>
        </w:sectPr>
      </w:pPr>
    </w:p>
    <w:bookmarkStart w:id="63" w:name="page64"/>
    <w:bookmarkEnd w:id="63"/>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ESG Fund was formed on August 17, 2018, and commenced operations on the same day. The ESG Fund was formed to make venture capital (“VC”) investments in and contribute capital to the Innventure Companies and new Operating Companies. Innventure’s wholly owned subsidiaries, Innventure Management Services, LLC (“Management Services”) and Innventure GP LLC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2022 alone, the top 100 companies by research and development (“R&amp;D”) expenditure spent over $700 billion on research and development. Many patents fail to be licensed or commercialized for various reasons, including misalignment with core business strategies, lack of commercialization resources, and poor timing in the market. While MNCs excel at developing well-protected technologies for their existing businesses, we believe that few MNCs do well at creating entirely new disruptive businesses in new categories of business. Our goal is to partner with MNCs to commercialize these high potential, but stranded, technology assets, providing a return on the R&amp;D investment, and, most importantly, creating products and services based on those stranded technology solutions that will benefit the MNCs and their customers. The MNC technology solution typically comes with a strong intellectual property (“IP”) portfolio, market data that supports business plan development, and channel access that helps accelerate the commercialization timeline for the disruptive new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 Loop Partnership Model with Multinational Corporations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Closed Loop partnership model with MNCs is designed to capitalize on our respective complementary capabilities. MNCs fund extensive R&amp;D which creates technology solutions with the potential to satisfy significant unmet market needs. We use the term “Closed Loop partnership model” to describe an ongoing collaboration between Innventure and its MNC partners in which the MNC provides (1) proprietary insights and data about the markets they serve, particularly focusing on unmet needs or unsolved customer problems in those markets; (2) IP-protected technology solutions that satisfy those unmet needs; and (3) access to the market via existing channels and/or customers. In furtherance of our Closed Loop partnership model, Innventure assesses the relevant technology solution and, if it meets Innventure's rigorous screening criteria, Innventure seeks to acquire the solution and use it as the basis for a new Innventure company. The optimal Closed Loop partnership is one in which the MNC itself is an initial customer for the product or service of the new Innventure company and where early adoption of the solution by the MNC helps enable rapid growth of the new company. Alternatively, the Closed Loop partnership model is also enhanced when the MNC partner provides access to other early adopter customers, which can similarly enable rapid growth of the new company.</w:t>
      </w:r>
    </w:p>
    <w:p>
      <w:pPr>
        <w:spacing w:after="0" w:line="14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Innventure has developed a systematic approach, known as DownSelect, designed to increase the likelihood of commercial success and potential impact of disruptive opportunities in the market. The Innventure model is designed to be collaborative, providing benefit to and creating new economic value for both the MNC and Innventure. Innventure's management team has significant institutional experience in the commercialization of disruptive opportunities and includes a group of seasoned entrepreneurs and business executives who have founded, built, operated and grown numerous ventures over the last 30 years, including Gregory W. (Bill) Haskell, Mike Otworth, Dr. John Scott, Andy Meyer, Josh Claman, James Donnally and other members of the Innventure team.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to MNCs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Closed Loop partnership model offers various potential benefits to our MNC partners, including the following:</w:t>
      </w:r>
    </w:p>
    <w:p>
      <w:pPr>
        <w:spacing w:after="0" w:line="169" w:lineRule="exact"/>
        <w:rPr>
          <w:sz w:val="20"/>
          <w:szCs w:val="20"/>
          <w:color w:val="auto"/>
        </w:rPr>
      </w:pPr>
    </w:p>
    <w:p>
      <w:pPr>
        <w:ind w:left="660" w:right="66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Focused Commercialization</w:t>
      </w:r>
      <w:r>
        <w:rPr>
          <w:rFonts w:ascii="Times New Roman" w:cs="Times New Roman" w:eastAsia="Times New Roman" w:hAnsi="Times New Roman"/>
          <w:sz w:val="18"/>
          <w:szCs w:val="18"/>
          <w:color w:val="auto"/>
        </w:rPr>
        <w:t>: Innventure’s experienced entrepreneurs are dedicated to the commercialization of the disruptive opportunity,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allowing the MNC to focus on its core businesses. We believe this focused, external commercialization increases speed to market for the technology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8" w:lineRule="exact"/>
        <w:rPr>
          <w:sz w:val="20"/>
          <w:szCs w:val="20"/>
          <w:color w:val="auto"/>
        </w:rPr>
      </w:pPr>
    </w:p>
    <w:p>
      <w:pPr>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Accelerated Execution</w:t>
      </w:r>
      <w:r>
        <w:rPr>
          <w:rFonts w:ascii="Times New Roman" w:cs="Times New Roman" w:eastAsia="Times New Roman" w:hAnsi="Times New Roman"/>
          <w:sz w:val="18"/>
          <w:szCs w:val="18"/>
          <w:color w:val="auto"/>
        </w:rPr>
        <w:t>: Innventure brings deep entrepreneurial experience to transform an innovative technology solution from proof-of-concept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disruptive Innventure Company. This gives the MNC and its customers access to commercialized products, potentially accelerating revenue growth for the MNC while also providing a return-on-investment for a technology asset that would at minimum require significant investment and corporate resources to commercialize and at worst would be orphaned and remain uncommercialized.</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Management Approach</w:t>
      </w:r>
      <w:r>
        <w:rPr>
          <w:rFonts w:ascii="Times New Roman" w:cs="Times New Roman" w:eastAsia="Times New Roman" w:hAnsi="Times New Roman"/>
          <w:sz w:val="18"/>
          <w:szCs w:val="18"/>
          <w:color w:val="auto"/>
        </w:rPr>
        <w:t>: As a company comprised of founders, owners, and operators, Innventure aims to both fund the cost of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scaling and aims to manage the operations of the Innventure Company, with the goal of allowing the MNC to benefit from the finished product without the burden of further investment of capital and other resources.</w:t>
      </w:r>
    </w:p>
    <w:p>
      <w:pPr>
        <w:spacing w:after="0" w:line="11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Growth</w:t>
      </w:r>
      <w:r>
        <w:rPr>
          <w:rFonts w:ascii="Times New Roman" w:cs="Times New Roman" w:eastAsia="Times New Roman" w:hAnsi="Times New Roman"/>
          <w:sz w:val="18"/>
          <w:szCs w:val="18"/>
          <w:color w:val="auto"/>
        </w:rPr>
        <w:t>: As the new Innventure Company grows and wins in the market, Innventure shares value with the MNC, providing the basis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increasing the MNC’s enterprise value. Innventure shares value with MNCs through a combination of one or more of the following: upfront technology/IP acquisition or licensing fees, milestone payments, royalties, preferential offtake terms and/or equity in the new Innventure Company. Each deal is unique and is negotiated to ensure optimal value share for the MNC and Innventure.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Benefits to Innventure</w:t>
      </w:r>
    </w:p>
    <w:p>
      <w:pPr>
        <w:spacing w:after="0" w:line="175"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For Innventure, the Closed Loop partnership model seeks to provide access to disruptive, MNC-developed technology solutions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120" w:lineRule="exact"/>
        <w:rPr>
          <w:sz w:val="20"/>
          <w:szCs w:val="20"/>
          <w:color w:val="auto"/>
        </w:rPr>
      </w:pPr>
    </w:p>
    <w:p>
      <w:pPr>
        <w:ind w:left="660" w:right="14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Advantage</w:t>
      </w:r>
      <w:r>
        <w:rPr>
          <w:rFonts w:ascii="Times New Roman" w:cs="Times New Roman" w:eastAsia="Times New Roman" w:hAnsi="Times New Roman"/>
          <w:sz w:val="18"/>
          <w:szCs w:val="18"/>
          <w:color w:val="auto"/>
        </w:rPr>
        <w:t>: The partnership with an MNC provides unique access to MNC technologies and the information needed to help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 disruptive technology solution in the context of specific unmet market needs. Using both data from the MNC and its own evaluations, Innventure determines if the opportunity should progress to a new Innventure Company.</w:t>
      </w:r>
    </w:p>
    <w:p>
      <w:pPr>
        <w:spacing w:after="0" w:line="119"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Developed Technology Solutions</w:t>
      </w:r>
      <w:r>
        <w:rPr>
          <w:rFonts w:ascii="Times New Roman" w:cs="Times New Roman" w:eastAsia="Times New Roman" w:hAnsi="Times New Roman"/>
          <w:sz w:val="18"/>
          <w:szCs w:val="18"/>
          <w:color w:val="auto"/>
        </w:rPr>
        <w:t>: MNCs invest significant time, money, and technical expertise in developing and protecting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solutions that satisfy unmet market needs for them and their customers. This all occurs well before Innventure acquires the technology solution. A new Innventure Company receives the technology solution—including intellectual property such as patents and trade secrets, product prototypes, manufacturing equipment, and other assets—and has access to the MNC’s technical expertise for transfer and early industrialization of the technology, all of which helps reduce commercialization time, save money, and mitigate common risks inherent to start-ups.</w:t>
      </w:r>
    </w:p>
    <w:p>
      <w:pPr>
        <w:spacing w:after="0" w:line="129" w:lineRule="exact"/>
        <w:rPr>
          <w:rFonts w:ascii="Times New Roman" w:cs="Times New Roman" w:eastAsia="Times New Roman" w:hAnsi="Times New Roman"/>
          <w:sz w:val="18"/>
          <w:szCs w:val="18"/>
          <w:color w:val="auto"/>
        </w:rPr>
      </w:pPr>
    </w:p>
    <w:p>
      <w:pPr>
        <w:jc w:val="both"/>
        <w:ind w:left="660" w:right="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 Data Set</w:t>
      </w:r>
      <w:r>
        <w:rPr>
          <w:rFonts w:ascii="Times New Roman" w:cs="Times New Roman" w:eastAsia="Times New Roman" w:hAnsi="Times New Roman"/>
          <w:sz w:val="18"/>
          <w:szCs w:val="18"/>
          <w:color w:val="auto"/>
        </w:rPr>
        <w:t>: MNCs also spend significant time and money developing deep, proprietary market knowledge, which is very difficult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new venture to replicate. MNCs provide Innventure with highly robust data, including market insights and customer testing, to understand unmet market needs and to assess the technology solution and potential business models.</w:t>
      </w:r>
    </w:p>
    <w:p>
      <w:pPr>
        <w:spacing w:after="0" w:line="119"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Customer Adoption</w:t>
      </w:r>
      <w:r>
        <w:rPr>
          <w:rFonts w:ascii="Times New Roman" w:cs="Times New Roman" w:eastAsia="Times New Roman" w:hAnsi="Times New Roman"/>
          <w:sz w:val="18"/>
          <w:szCs w:val="18"/>
          <w:color w:val="auto"/>
        </w:rPr>
        <w:t>: We believe MNCs will be motivated to catalyze market adoption by becoming early customers and/or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access to facilitate the initial customer base to drive financial and strategic value. In some cases, MNCs may choose to sign offtake agreements with the new company and/or facilitate access to prospective customers within their sphere of influence (e.g., suppliers or customers). Additionally, we believe that having the MNC as the original “inventor” of the technology solution brings immediate credibility to the new Innventure Company which can lead to greater interest from potential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Today</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Innventure’s business model is the culmination of lessons learned over the past three decades. In 1993, when the first version of what is now Innventure was created, we studied both failed and successful startups to understand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00"/>
          </w:cols>
          <w:pgMar w:left="320" w:top="1440" w:right="379" w:bottom="1440" w:gutter="0" w:footer="0" w:header="0"/>
        </w:sectPr>
      </w:pPr>
    </w:p>
    <w:bookmarkStart w:id="65" w:name="page66"/>
    <w:bookmarkEnd w:id="65"/>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how to identify and manage risks to achieve a higher success rate for early-stage companies. We believe we have built a repeatable, systematic, risk managed approach to business building that is substantially different from traditional VC models. Unlike the typical VC portfolio approach, in which VCs make many investments, assuming that only a small percentage will succeed, Innventure invests deeply in a limited number of companies that we vet, launch, build, fund and operate. The Innventure model is designed to help mitigate the significant risks inherent to establishing and building disruptive businesses.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Using our proprietary DownSelect approach, we focus on assessing and mitigating risk well before the new Innventure Company is formed. When we do launch, we believe new Operating Companies are more mature than typical startups, due to the MNC’s extensive investment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DownSelect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DownSelect is Innventure’s systematic evaluation, risk mitigation, and company creation methodology. Our approach to building businesses starts with identifying disruptive technology solutions developed and protected with intellectual property by MNCs that satisfy well understood and validated unmet market needs. We define this combination of an understood market problem and a disruptive technology solution as an opportunity. In the rigorous, phased DownSelect process, we assess each opportunity for its disruptive potential, likelihood for accelerated early adoption driven by economic value creation for B2B customers, competitive advantage, ability to generate rapid, sizable financial returns, and potential to create a target enterprise value of at least $1 billion. We also assess how the implementation of the opportunity will advance the sustainability goals of the MNCs and their customers. Innventure uses this analysis to decide which opportunities to commercialize and develops an initial go-to-market strategy and business plan for a new Innventure Company built around these opportunities. Once an opportunity is selected via the proprietary DownSelect process, Innventure negotiates with the MNC to acquire or license the IP related to the opportunity and establishes and funds an Innventure Company subsidiary to commercialize the opportunity.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Innventure DownSelect process focuses on four attributes that we believe greatly enhance the likelihood of success.</w:t>
      </w:r>
    </w:p>
    <w:p>
      <w:pPr>
        <w:spacing w:after="0" w:line="169" w:lineRule="exact"/>
        <w:rPr>
          <w:sz w:val="20"/>
          <w:szCs w:val="20"/>
          <w:color w:val="auto"/>
        </w:rPr>
      </w:pPr>
    </w:p>
    <w:p>
      <w:pPr>
        <w:ind w:left="66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Designed to help reduce technology and business risk</w:t>
      </w:r>
      <w:r>
        <w:rPr>
          <w:rFonts w:ascii="Times New Roman" w:cs="Times New Roman" w:eastAsia="Times New Roman" w:hAnsi="Times New Roman"/>
          <w:sz w:val="18"/>
          <w:szCs w:val="18"/>
          <w:color w:val="auto"/>
        </w:rPr>
        <w:t>: Well-researched, prototyped, and well-protected technology solutions on which MNCs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spent significant R&amp;D time and money and for which the MNCs have market and customer data that Innventure uses as a key input to deeply understand market needs and to help define robust go-to-market strategies and overall business plans.</w:t>
      </w:r>
    </w:p>
    <w:p>
      <w:pPr>
        <w:spacing w:after="0" w:line="119" w:lineRule="exact"/>
        <w:rPr>
          <w:rFonts w:ascii="Times New Roman" w:cs="Times New Roman" w:eastAsia="Times New Roman" w:hAnsi="Times New Roman"/>
          <w:sz w:val="18"/>
          <w:szCs w:val="18"/>
          <w:color w:val="auto"/>
        </w:rPr>
      </w:pPr>
    </w:p>
    <w:p>
      <w:pPr>
        <w:ind w:left="660" w:right="440" w:hanging="328"/>
        <w:spacing w:after="0" w:line="28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Technology solutions with significant, tangible sustainability benefits (e.g., those that help MNCs (or others) meet their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goals).</w:t>
      </w:r>
    </w:p>
    <w:p>
      <w:pPr>
        <w:spacing w:after="0" w:line="104"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 clear path to early customers</w:t>
      </w:r>
      <w:r>
        <w:rPr>
          <w:rFonts w:ascii="Times New Roman" w:cs="Times New Roman" w:eastAsia="Times New Roman" w:hAnsi="Times New Roman"/>
          <w:sz w:val="18"/>
          <w:szCs w:val="18"/>
          <w:color w:val="auto"/>
        </w:rPr>
        <w:t>: Available MNC market and customer data, other Innventure primary and secondary research and MNC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 access can be critical elements Innventure leverages to drive early market adoption.</w:t>
      </w:r>
    </w:p>
    <w:p>
      <w:pPr>
        <w:spacing w:after="0" w:line="104" w:lineRule="exact"/>
        <w:rPr>
          <w:rFonts w:ascii="Times New Roman" w:cs="Times New Roman" w:eastAsia="Times New Roman" w:hAnsi="Times New Roman"/>
          <w:sz w:val="18"/>
          <w:szCs w:val="18"/>
          <w:color w:val="auto"/>
        </w:rPr>
      </w:pPr>
    </w:p>
    <w:p>
      <w:pPr>
        <w:ind w:left="660" w:right="240" w:hanging="328"/>
        <w:spacing w:after="0" w:line="26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Opportunity to create a target enterprise value of at least $1 billion</w:t>
      </w:r>
      <w:r>
        <w:rPr>
          <w:rFonts w:ascii="Times New Roman" w:cs="Times New Roman" w:eastAsia="Times New Roman" w:hAnsi="Times New Roman"/>
          <w:sz w:val="18"/>
          <w:szCs w:val="18"/>
          <w:color w:val="auto"/>
        </w:rPr>
        <w:t>: Focus on disruptive technology solutions that have the potential to scale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quickly and transform industries and/or markets. Innventure only launches companies that we believe have a reasonable pathway to achieving a target enterprise value of at least $1 billion.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Innventure is highly selective. We reviewed more than 100 opportunities from 2015 to 2022 and selected three as the basis for launching new Operating Companies. We are also very comfortable saying “No” to opportunities that fail to meet our rigorous DownSelect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DownSelect process consists of four separate phases, with successive phases building on work done in the previous phases and deepening the level of analyses done as opportunities progress through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80010</wp:posOffset>
            </wp:positionV>
            <wp:extent cx="5589270" cy="1654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927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1 – Opportunity Screen: </w:t>
      </w:r>
      <w:r>
        <w:rPr>
          <w:rFonts w:ascii="Times New Roman" w:cs="Times New Roman" w:eastAsia="Times New Roman" w:hAnsi="Times New Roman"/>
          <w:sz w:val="18"/>
          <w:szCs w:val="18"/>
          <w:color w:val="auto"/>
        </w:rPr>
        <w:t>Innventure’s team screens opportunities that are reflective of the four dimensions of the DownSelect Process; (1) MNC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(2) Significant Market Need, (3) Transformative Solution and (4) Strategic Execution. We analyze high level business, financial, and technology issues to determine if the opportunity meets our key success criteria.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 Critical Factor Assessment: </w:t>
      </w:r>
      <w:r>
        <w:rPr>
          <w:rFonts w:ascii="Times New Roman" w:cs="Times New Roman" w:eastAsia="Times New Roman" w:hAnsi="Times New Roman"/>
          <w:sz w:val="18"/>
          <w:szCs w:val="18"/>
          <w:color w:val="auto"/>
        </w:rPr>
        <w:t>We identify, assess, and prioritize an opportunity’s critical success and risk factors and develop a plan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12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Phase 3 – Comprehensive Quantification: </w:t>
      </w:r>
      <w:r>
        <w:rPr>
          <w:rFonts w:ascii="Times New Roman" w:cs="Times New Roman" w:eastAsia="Times New Roman" w:hAnsi="Times New Roman"/>
          <w:sz w:val="18"/>
          <w:szCs w:val="18"/>
          <w:color w:val="auto"/>
        </w:rPr>
        <w:t>The Innventure team conducts a comprehensive review across all DownSelect dimensions. A core focus 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analysis and strategy of the immediate new value created for customers. We quantify the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ensure critical assumptions are validated.</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an opportunity that successfully passes through Phase 3, the DownSelect team, in collaboration with Innventure senior leadership, recommends to the Board that the opportunity move to Phase 4 and proceed to create a new Innventure Company.</w:t>
      </w:r>
    </w:p>
    <w:p>
      <w:pPr>
        <w:spacing w:after="0" w:line="1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4 – Strategy &amp; Formation: </w:t>
      </w:r>
      <w:r>
        <w:rPr>
          <w:rFonts w:ascii="Times New Roman" w:cs="Times New Roman" w:eastAsia="Times New Roman" w:hAnsi="Times New Roman"/>
          <w:sz w:val="18"/>
          <w:szCs w:val="18"/>
          <w:color w:val="auto"/>
        </w:rPr>
        <w:t>We set the initial strategy, including go-to-market strategies and initial business plan, for the Innventure Company,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technology via licensing or ownership, and create the new company.</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ensure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Companies and maintained control at least through early scaling. As part of the new Disruptive Conglomerate Model, Innventure intends to retain majority (or sole) ownership.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Model in 2024 and Beyond</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continue to advance the Innventure model, we are moving to an approach designed to allow us to build, hold and operate companies, generating positive cash flows of one or more majority-owned new Operating Companies and potentially maximizing value for investors and other stakeholders. We believe that the new approach will give us the opportunity to derive greater value from those companies as we operate them over the long term. While a sale or other disposition of one or more of our companies could occur in the future, exit transactions are not expected to be a factor in the business plans for Innventure Companies. We are currently deploying this advanced approach.</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that the Disruptive Conglomerate Model will take time to develop meaningful earnings to drive enterprise value. We believe that adoption of this model over time will result in greater potential overall investor returns, driven by earnings growth and the expected growth in value of the underlying Operating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as a Value Driver</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believe sustainability issues create new markets and are primary drivers of revenue, cost, and risk that impact value creation for long-term business performance for many of the verticals in which Innventure focuses. MNCs are increasingly focused on sustainability. The Innventure model is designed to help our MNC partners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Technologies, Innventure Companies not only have the potential to create economic value but have also progressed products that have potential for significant positive impact on the environment.</w:t>
      </w:r>
    </w:p>
    <w:p>
      <w:pPr>
        <w:spacing w:after="0" w:line="133" w:lineRule="exact"/>
        <w:rPr>
          <w:sz w:val="20"/>
          <w:szCs w:val="20"/>
          <w:color w:val="auto"/>
        </w:rPr>
      </w:pPr>
    </w:p>
    <w:p>
      <w:pPr>
        <w:ind w:left="660" w:right="20" w:hanging="328"/>
        <w:spacing w:after="0" w:line="26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PureCycle: </w:t>
      </w:r>
      <w:r>
        <w:rPr>
          <w:rFonts w:ascii="Times New Roman" w:cs="Times New Roman" w:eastAsia="Times New Roman" w:hAnsi="Times New Roman"/>
          <w:sz w:val="18"/>
          <w:szCs w:val="18"/>
          <w:color w:val="auto"/>
        </w:rPr>
        <w:t>Purifies and recycles post-industrial and post-consumer polypropylene waste back to a like virgin grade polymer, usable across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applications and markets. PureCycle became a publicly traded company in 2021 and, as of the date of this prospectus, Innventure no longer has an economic interest in PureCycle.</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AeroFlexx: </w:t>
      </w:r>
      <w:r>
        <w:rPr>
          <w:rFonts w:ascii="Times New Roman" w:cs="Times New Roman" w:eastAsia="Times New Roman" w:hAnsi="Times New Roman"/>
          <w:sz w:val="18"/>
          <w:szCs w:val="18"/>
          <w:color w:val="auto"/>
        </w:rPr>
        <w:t>Combines the best attributes of flexible pouches and rigid bottles to provide CPG companies with a novel, curbside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liquid package that uses up to 85% less virgin plastic,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 2025.</w:t>
      </w:r>
    </w:p>
    <w:p>
      <w:pPr>
        <w:spacing w:after="0" w:line="12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Accelsius: </w:t>
      </w:r>
      <w:r>
        <w:rPr>
          <w:rFonts w:ascii="Times New Roman" w:cs="Times New Roman" w:eastAsia="Times New Roman" w:hAnsi="Times New Roman"/>
          <w:sz w:val="18"/>
          <w:szCs w:val="18"/>
          <w:color w:val="auto"/>
        </w:rPr>
        <w:t>Delivers a transformative industry solution to thermal management to CPUs and GPUs in datacenter and telecommunications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has delivered customer proof-of-concept pilots in Q2 2024.</w:t>
      </w:r>
    </w:p>
    <w:p>
      <w:pPr>
        <w:spacing w:after="0" w:line="13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Innventure is committed to long-term sustainability and making the planet a better place to live for all, while simultaneously creating significant enterprise value for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view our competition through two frameworks: competition to acquire technologies from MNCs and competition faced by our new Innventure Company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Technology Acquirers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believe we have a unique offering for MNCs looking to monetize and commercialize their R&amp;D. We believe VC firms who are active in the market typically do not possess the in-house business creation and operations management that is at the core of the Innventure strategy. Some VCs invest in companies who license IP from universities, nonprofit research institutes, or national laboratories. In those cases, the VC needs to spend significant time and effort building an initial team and starting the business, then transferring and often further incubating technology, developing products, and defining business plans. We don’t believe any VCs have a business model that is as comprehensive, vertical agnostic and focused on creating new companies that can achieve a target enterprise value of at least $1 billion as Innventure.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Other potential competition might include individual entrepreneurs looking to purchase technology solutions from an MNC. We believe that while individual entrepreneurs may have the right technical or business skills, they frequently lack the credibility and financial resources to meet the requirements for the top, most disruptive technologies resident in MNCs. We also believe these entrepreneurs can lack the resources and business infrastructure to quickly establish a new company, reducing the likelihood of a successful commercialization process. Members of Innventure’s core team have put into practice various components of the DownSelect model for choosing opportunities to scale over the past thirty years. This history along with our ability to work in partnership with MNCs are key drivers of Innventure’s success to date and critical to Innventure’s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Company 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and Accelsius are provided below in the business sections related to each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an opportunity that meets all DownSelect criteria and for which Innventure enters into a contract with an MNC partner, Innventure focuses on acquiring full commercial control of the application of all IP related to the specific opportunity. Each contract that leverages IP from an MNC is unique and specific terms and conditions are crafted to help ensure fair, long-term value sharing among Innventure, the new Innventure Company, and the MNC partner. Such a contract typically involves Innventure acquiring the IP for use in defined applications and geographies, and Innventure’s objective is always to ensure maximum freedom to practice (with unlimited access and control as the primary goal) across many applications, industries, markets, and geographies for the new company which will be built around and ultimately take ownership of the IP. In selected cases, Innventure will license IP instead of fully acquiring the rights, but the license must ensure that Innventure and the new company has full access to practice and commercialize a technology solution defined by the IP across the broadest set of applications, industries, markets, and geographies consistent with the business agreement with the MNC. Also in selected cases, Innventure may agree to a limited number of applications, industries, markets, and/or geographies if the MNC intends to use the IP in one or more existing business(es), and Innventure often provides the MNC with a grant-back license to practice the IP for their own business but not for sale or sharing with other non-wholly owned enterprises.</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new Innventure Company, including AeroFlexx and Accelsius, develops company-specific IP strategies that build on and expand their IP portfolios to ensure protection of processes, products, services, business models, and other innovations and support the continued growth of the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Compensation and Rewards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Culture</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focus on building a workforce that is responsive to customer needs, attentive to being efficient and cost conscious for our financial stakeholders, and innovative in seeking to create new disruptive companies. We actively recruit diverse talent and seek to build a culture reflective of the desires and the needs of the customers we partner with and serve. We actively support equal opportunity employment and provide a working environment of equity and inclusion for all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employed 134 employees and key contractors across Innventure, AeroFlexx, and Accelsius as of November 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 and Corporate Information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6900 Tavistock Lakes Blvd, Suite 400 Orlando, FL 32827. We believe these facilities are adequate for our current needs and that suitable additional space will be available as needed.</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phone number is (321) 209-6787. Our website is www.innventure.com. Information contained on or accessible through our website is not incorporated by reference into this prospectus and should not be considered a part of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by incorporating recycled content and can be curbside recyclable where all plastic bottles are accepted. Prior to filling, the package is shipped in a freight efficient flat pak format that reduces supply chain cost and complexity.</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product is also designed to solve the challenges of shipping liquids in the e-commerce channel while equally performing in traditional brick and mortar retail channels. It is ISTA-6 Amazon approved for both prep-free packaging (“PFP”) and ship in own container (“SIOC”), allowing customers to ship liquids more easily via the e-commerce channel. It helps eliminate damage from breakage, leakage, and rugged handling throughout the entire distribution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 such as induction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seals, plastic overwrap, bubble wrap, foam peanuts and any non-compliance charge backs can be valuable to both brand customers and end-use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127635</wp:posOffset>
            </wp:positionV>
            <wp:extent cx="5349240"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third quarter of 2024. AeroFlexx plans to add converter lines at other manufacturing locations as future business demands warrant. AeroFlexx anticipates adding fillers, sold or leased to MNCs or co-manufacturing partners to match converter throughput and customer demand. As AeroFlexx partners with MNCs, fillers will be co-located at or near locations where customers formulate their liquid product or at strategically located contract manufacturers, both of which will receive flat paks produced directly by AeroFlexx that provide for seamless integration into the client’s value chain.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Superior sustainability benefits are integral to AeroFlexx’s package design and overall value proposition:</w:t>
      </w:r>
    </w:p>
    <w:p>
      <w:pPr>
        <w:spacing w:after="0" w:line="16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Virgin Plastic Avoidance</w:t>
      </w:r>
      <w:r>
        <w:rPr>
          <w:rFonts w:ascii="Times New Roman" w:cs="Times New Roman" w:eastAsia="Times New Roman" w:hAnsi="Times New Roman"/>
          <w:sz w:val="18"/>
          <w:szCs w:val="18"/>
          <w:color w:val="auto"/>
        </w:rPr>
        <w:t>: Uses up to 85% less virgin plastic compared with rigid bottle/cap/label alternatives.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Curbside Recyclability</w:t>
      </w:r>
      <w:r>
        <w:rPr>
          <w:rFonts w:ascii="Times New Roman" w:cs="Times New Roman" w:eastAsia="Times New Roman" w:hAnsi="Times New Roman"/>
          <w:sz w:val="18"/>
          <w:szCs w:val="18"/>
          <w:color w:val="auto"/>
        </w:rPr>
        <w:t>: Curbside recyclability where all plastic bottles are accepted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Package Circularity</w:t>
      </w:r>
      <w:r>
        <w:rPr>
          <w:rFonts w:ascii="Times New Roman" w:cs="Times New Roman" w:eastAsia="Times New Roman" w:hAnsi="Times New Roman"/>
          <w:sz w:val="18"/>
          <w:szCs w:val="18"/>
          <w:color w:val="auto"/>
        </w:rPr>
        <w:t>: AeroFlexx packaging can incorporate up to 50% recycled content without compromise.</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 Cycle Analysis</w:t>
      </w:r>
      <w:r>
        <w:rPr>
          <w:rFonts w:ascii="Times New Roman" w:cs="Times New Roman" w:eastAsia="Times New Roman" w:hAnsi="Times New Roman"/>
          <w:sz w:val="18"/>
          <w:szCs w:val="18"/>
          <w:color w:val="auto"/>
        </w:rPr>
        <w:t>: By considering source reduction, recycled content, recyclability and eliminating excess packaging material in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AeroFlexx can deliver up to 83% less waste to landfills, 69% GHG reduction, and 73% less water use.</w:t>
      </w:r>
    </w:p>
    <w:p>
      <w:pPr>
        <w:spacing w:after="0" w:line="104" w:lineRule="exact"/>
        <w:rPr>
          <w:rFonts w:ascii="Times New Roman" w:cs="Times New Roman" w:eastAsia="Times New Roman" w:hAnsi="Times New Roman"/>
          <w:sz w:val="18"/>
          <w:szCs w:val="18"/>
          <w:color w:val="auto"/>
        </w:rPr>
      </w:pPr>
    </w:p>
    <w:p>
      <w:pPr>
        <w:ind w:left="660" w:right="80" w:hanging="328"/>
        <w:spacing w:after="0" w:line="315" w:lineRule="auto"/>
        <w:tabs>
          <w:tab w:leader="none" w:pos="6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UN Sustainable Goals Alignment</w:t>
      </w:r>
      <w:r>
        <w:rPr>
          <w:rFonts w:ascii="Times New Roman" w:cs="Times New Roman" w:eastAsia="Times New Roman" w:hAnsi="Times New Roman"/>
          <w:sz w:val="17"/>
          <w:szCs w:val="17"/>
          <w:color w:val="auto"/>
        </w:rPr>
        <w:t>: AeroFlexx can contribute to meeting several of the sustainable development goals (“SDGs”) outlined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Nations, including industry, innovation, and infrastructure; responsible consumption and production; climate action; and life below water.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accelerating sustainability goals by leveraging the pak’s superior benefits, AeroFlexx can also help drive growth and overall profitability through significant supply chain savings. By adopting AeroFlexx, it allows customers to potentially unlock real value that would otherwise not be realized. This is accomplished through several supply chain benefits of the AeroFlexx pak:</w:t>
      </w:r>
    </w:p>
    <w:p>
      <w:pPr>
        <w:spacing w:after="0" w:line="120" w:lineRule="exact"/>
        <w:rPr>
          <w:sz w:val="20"/>
          <w:szCs w:val="20"/>
          <w:color w:val="auto"/>
        </w:rPr>
      </w:pPr>
    </w:p>
    <w:p>
      <w:pPr>
        <w:ind w:left="660" w:right="26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Reduces Complexity of Sourcing</w:t>
      </w:r>
      <w:r>
        <w:rPr>
          <w:rFonts w:ascii="Times New Roman" w:cs="Times New Roman" w:eastAsia="Times New Roman" w:hAnsi="Times New Roman"/>
          <w:sz w:val="18"/>
          <w:szCs w:val="18"/>
          <w:color w:val="auto"/>
        </w:rPr>
        <w:t>: AeroFlexx ships as a flat pak and replaces the bottle, cap and label that customer must procure from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and destinations.</w:t>
      </w:r>
    </w:p>
    <w:p>
      <w:pPr>
        <w:spacing w:after="0" w:line="10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Transportation Cost and Footprint</w:t>
      </w:r>
      <w:r>
        <w:rPr>
          <w:rFonts w:ascii="Times New Roman" w:cs="Times New Roman" w:eastAsia="Times New Roman" w:hAnsi="Times New Roman"/>
          <w:sz w:val="18"/>
          <w:szCs w:val="18"/>
          <w:color w:val="auto"/>
        </w:rPr>
        <w:t>: prior to filling the package, shipping as a flat pak creates a form factor that takes up less than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space in shipping of an equivalent pre-formed empty rigid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80"/>
          </w:cols>
          <w:pgMar w:left="320" w:top="1440" w:right="399" w:bottom="1440" w:gutter="0" w:footer="0" w:header="0"/>
        </w:sectPr>
      </w:pPr>
    </w:p>
    <w:bookmarkStart w:id="71" w:name="page72"/>
    <w:bookmarkEnd w:id="71"/>
    <w:p>
      <w:pPr>
        <w:spacing w:after="0" w:line="140"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bottle, in addition to eliminating the need for cap and label supply chains. This reduces cost and environmental footprint by taking trucks off the road.</w:t>
      </w:r>
    </w:p>
    <w:p>
      <w:pPr>
        <w:spacing w:after="0" w:line="106" w:lineRule="exact"/>
        <w:rPr>
          <w:sz w:val="20"/>
          <w:szCs w:val="20"/>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Lowers Warehouse Requirements and Inventory Cost</w:t>
      </w:r>
      <w:r>
        <w:rPr>
          <w:rFonts w:ascii="Times New Roman" w:cs="Times New Roman" w:eastAsia="Times New Roman" w:hAnsi="Times New Roman"/>
          <w:sz w:val="18"/>
          <w:szCs w:val="18"/>
          <w:color w:val="auto"/>
        </w:rPr>
        <w:t>: with the AeroFlexx flat pak replacing pre-formed empty bottles, caps and labels, 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reduction in the need for inventory space and overall cost associated with labor and working capital.</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ISTA-6 Amazon Approved</w:t>
      </w:r>
      <w:r>
        <w:rPr>
          <w:rFonts w:ascii="Times New Roman" w:cs="Times New Roman" w:eastAsia="Times New Roman" w:hAnsi="Times New Roman"/>
          <w:sz w:val="18"/>
          <w:szCs w:val="18"/>
          <w:color w:val="auto"/>
        </w:rPr>
        <w:t>: for shipping liquids via the e-commerce channel, reductions in damages from breakage, leakage and handling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savings through lower returns or refund rates and reduced overall package and labor costs. This can improve consumer satisfaction, reducing both e-commerce packing costs and fees charged for leaking products within distribution centers.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Omni-Channel Ready</w:t>
      </w:r>
      <w:r>
        <w:rPr>
          <w:rFonts w:ascii="Times New Roman" w:cs="Times New Roman" w:eastAsia="Times New Roman" w:hAnsi="Times New Roman"/>
          <w:sz w:val="18"/>
          <w:szCs w:val="18"/>
          <w:color w:val="auto"/>
        </w:rPr>
        <w:t>: the pak is omni-channel ready as soon as it is filled with liquid product from the AeroFlexx filling machine,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eliminate SKU proliferation based on desired sales distribution channel.</w:t>
      </w:r>
    </w:p>
    <w:p>
      <w:pPr>
        <w:spacing w:after="0" w:line="104" w:lineRule="exact"/>
        <w:rPr>
          <w:rFonts w:ascii="Times New Roman" w:cs="Times New Roman" w:eastAsia="Times New Roman" w:hAnsi="Times New Roman"/>
          <w:sz w:val="18"/>
          <w:szCs w:val="18"/>
          <w:color w:val="auto"/>
        </w:rPr>
      </w:pPr>
    </w:p>
    <w:p>
      <w:pPr>
        <w:ind w:left="660" w:right="8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Size/Shape Development Efficiency</w:t>
      </w:r>
      <w:r>
        <w:rPr>
          <w:rFonts w:ascii="Times New Roman" w:cs="Times New Roman" w:eastAsia="Times New Roman" w:hAnsi="Times New Roman"/>
          <w:sz w:val="18"/>
          <w:szCs w:val="18"/>
          <w:color w:val="auto"/>
        </w:rPr>
        <w:t>: flexible manufacturing eliminates the need for capital intensive molds and tooling costs, which enables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rapid adoption at a much lower cost.</w:t>
      </w:r>
    </w:p>
    <w:p>
      <w:pPr>
        <w:spacing w:after="0" w:line="104" w:lineRule="exact"/>
        <w:rPr>
          <w:rFonts w:ascii="Times New Roman" w:cs="Times New Roman" w:eastAsia="Times New Roman" w:hAnsi="Times New Roman"/>
          <w:sz w:val="18"/>
          <w:szCs w:val="18"/>
          <w:color w:val="auto"/>
        </w:rPr>
      </w:pPr>
    </w:p>
    <w:p>
      <w:pPr>
        <w:ind w:left="660" w:right="360" w:hanging="328"/>
        <w:spacing w:after="0" w:line="26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Safety</w:t>
      </w:r>
      <w:r>
        <w:rPr>
          <w:rFonts w:ascii="Times New Roman" w:cs="Times New Roman" w:eastAsia="Times New Roman" w:hAnsi="Times New Roman"/>
          <w:sz w:val="18"/>
          <w:szCs w:val="18"/>
          <w:color w:val="auto"/>
        </w:rPr>
        <w:t>: designed with hygiene in mind with tamper proof packaging that eliminates the use of a discrete closure with AeroFlexx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integrated valve (e.g., no need for a separate cap, pump or package sealing and dispensing device) to help keep products safe and prevent product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late 2023, AeroFlexx installed and commissioned its second converter, and the first to utilize recyclable film, in West Chester, Ohio. AeroFlexx's next converter has been installed and is expected to be fully commissioned in the fourth quarter of 2024 or the first quarter of 2025. The converting capacity at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 to be sufficient to meet projected demand through mid 2025, with additional capacity expansions being staged to meet customer needs as offtake agreements and customer traction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several key factors that contribute to the success of AeroFlexx:</w:t>
      </w:r>
    </w:p>
    <w:p>
      <w:pPr>
        <w:spacing w:after="0" w:line="169" w:lineRule="exact"/>
        <w:rPr>
          <w:sz w:val="20"/>
          <w:szCs w:val="20"/>
          <w:color w:val="auto"/>
        </w:rPr>
      </w:pPr>
    </w:p>
    <w:p>
      <w:pPr>
        <w:ind w:left="660" w:right="340" w:hanging="328"/>
        <w:spacing w:after="0" w:line="267"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 and Technology</w:t>
      </w:r>
      <w:r>
        <w:rPr>
          <w:rFonts w:ascii="Times New Roman" w:cs="Times New Roman" w:eastAsia="Times New Roman" w:hAnsi="Times New Roman"/>
          <w:sz w:val="18"/>
          <w:szCs w:val="18"/>
          <w:color w:val="auto"/>
        </w:rPr>
        <w:t>: revolutionizing liquid packaging by delivering the best attributes of flexibles (less plastic, reduced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rigids bottles (retains shape throughout use, controlled dispensing). Our commitment to innovation drives the continuous development of packaging solutions of different sizes and shapes.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1440" w:right="439" w:bottom="1440" w:gutter="0" w:footer="0" w:header="0"/>
        </w:sectPr>
      </w:pPr>
    </w:p>
    <w:bookmarkStart w:id="72" w:name="page73"/>
    <w:bookmarkEnd w:id="72"/>
    <w:p>
      <w:pPr>
        <w:spacing w:after="0" w:line="138" w:lineRule="exact"/>
        <w:rPr>
          <w:sz w:val="20"/>
          <w:szCs w:val="20"/>
          <w:color w:val="auto"/>
        </w:rPr>
      </w:pPr>
    </w:p>
    <w:p>
      <w:pPr>
        <w:ind w:left="660" w:right="120" w:hanging="328"/>
        <w:spacing w:after="0" w:line="28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 Superior Packaging</w:t>
      </w:r>
      <w:r>
        <w:rPr>
          <w:rFonts w:ascii="Times New Roman" w:cs="Times New Roman" w:eastAsia="Times New Roman" w:hAnsi="Times New Roman"/>
          <w:sz w:val="18"/>
          <w:szCs w:val="18"/>
          <w:color w:val="auto"/>
        </w:rPr>
        <w:t>: consistently producing high-quality packaging that exceeds industry standards and regulatory requirements.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consumer experience that creates significant brand value.</w:t>
      </w:r>
    </w:p>
    <w:p>
      <w:pPr>
        <w:spacing w:after="0" w:line="104"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 Chain Integration</w:t>
      </w:r>
      <w:r>
        <w:rPr>
          <w:rFonts w:ascii="Times New Roman" w:cs="Times New Roman" w:eastAsia="Times New Roman" w:hAnsi="Times New Roman"/>
          <w:sz w:val="18"/>
          <w:szCs w:val="18"/>
          <w:color w:val="auto"/>
        </w:rPr>
        <w:t>: turnkey manufacturing offers prospective customers a simplified and scalable supply chain solution. By seamlessly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integrating design, manufacturing, and distribution, we believe we can simplify our prospective customers’ operations and provide opportunity to reduce their overall total cost.</w:t>
      </w:r>
    </w:p>
    <w:p>
      <w:pPr>
        <w:spacing w:after="0" w:line="119" w:lineRule="exact"/>
        <w:rPr>
          <w:rFonts w:ascii="Times New Roman" w:cs="Times New Roman" w:eastAsia="Times New Roman" w:hAnsi="Times New Roman"/>
          <w:sz w:val="18"/>
          <w:szCs w:val="18"/>
          <w:color w:val="auto"/>
        </w:rPr>
      </w:pPr>
    </w:p>
    <w:p>
      <w:pPr>
        <w:ind w:left="660" w:right="120" w:hanging="328"/>
        <w:spacing w:after="0" w:line="267"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 and Environmental Responsibility</w:t>
      </w:r>
      <w:r>
        <w:rPr>
          <w:rFonts w:ascii="Times New Roman" w:cs="Times New Roman" w:eastAsia="Times New Roman" w:hAnsi="Times New Roman"/>
          <w:sz w:val="18"/>
          <w:szCs w:val="18"/>
          <w:color w:val="auto"/>
        </w:rPr>
        <w:t>: committed to building sustainable liquid packaging and doing our part for future generations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upfront plastic usage, minimizing energy consumption, eliminating excess packaging materials, reducing waste, and lowering overall emissions.</w:t>
      </w:r>
    </w:p>
    <w:p>
      <w:pPr>
        <w:spacing w:after="0" w:line="119" w:lineRule="exact"/>
        <w:rPr>
          <w:rFonts w:ascii="Times New Roman" w:cs="Times New Roman" w:eastAsia="Times New Roman" w:hAnsi="Times New Roman"/>
          <w:sz w:val="18"/>
          <w:szCs w:val="18"/>
          <w:color w:val="auto"/>
        </w:rPr>
      </w:pPr>
    </w:p>
    <w:p>
      <w:pPr>
        <w:ind w:left="660" w:right="540" w:hanging="328"/>
        <w:spacing w:after="0" w:line="28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Human Capital Expertise</w:t>
      </w:r>
      <w:r>
        <w:rPr>
          <w:rFonts w:ascii="Times New Roman" w:cs="Times New Roman" w:eastAsia="Times New Roman" w:hAnsi="Times New Roman"/>
          <w:sz w:val="18"/>
          <w:szCs w:val="18"/>
          <w:color w:val="auto"/>
        </w:rPr>
        <w:t>: AeroFlexx’s employees are at the heart of everything AeroFlexx does, and the team brings significant tenure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within the packaging industry and deep knowledge of developing and manufacturing packaging.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AeroFlexx is currently targeting CPG companies that utilize either rigid bottle with caps, pumps, or pouch packaging to deliver their liquid products to consumers.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filling equipment will be sold directly to branded manufacturers or to their co-manufacturing partners that formulate the liquid. We produce the flat paks via our converting machines and will either partner with co-manufacturers to deliver filled and final packages to brands or sell the flat paks directly to the CPG companies to be filled on the AeroFlexx filling equipment.</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Initially, AeroFlexx is working to build and sell everything our base West Chester, Ohio operating facility capacity can produce. We then plan to build additional converting capacity around the world localized to our customer base to service future customers with brand specific flat paks. R&amp;D continues to innovate additional pak shapes and sizes along with enhancements to filling equipment and converting machines. AeroFlexx can also build additional internal filling capacity to satisfy customer demand for new product launches, production, business continuity, etc. Joint venture and joint development opportunities are being explored in specific geographic markets to accelerate customer adoption of the AeroFlexx liquid packaging platform on a global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intellectual property for trademarks and in improvements solely developed by AeroFlexx to the package around materials and recyclability, and those improvements are in the form of AeroFlexx trade secrets and issued and pending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 Leadership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AeroFlexx leadership team has functional area experience in Fortune 500, venture backed start-ups and consumer goods packaging companies.</w:t>
      </w:r>
    </w:p>
    <w:p>
      <w:pPr>
        <w:spacing w:after="0" w:line="171" w:lineRule="exact"/>
        <w:rPr>
          <w:sz w:val="20"/>
          <w:szCs w:val="20"/>
          <w:color w:val="auto"/>
        </w:rPr>
      </w:pPr>
    </w:p>
    <w:p>
      <w:pPr>
        <w:ind w:left="660" w:right="2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Meyer is the Chairman and CEO with over 22 years of extensive experience in both large MNCs and entrepreneurial environments, having spent the last 15 years within four different venture-backed technology startups that included value-add exits such as an IPO and a trade sale to a strategic partner.</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Cedric D’Souza is the Chief Technology Officer. Before AeroFlexx, he was the global beauty care engineering associate director at P&amp;G, where he spearheaded agile teams to create, patent, and deploy new to-the-world production platforms. He has over 28 years of experience, leading culturally diverse organizations and project teams in Asia, Europe, Latin America and North America.</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Veronica Sebald is the VP of Quality Control and has more than 18 years of experience in quality and manufacturing at GE Aerospace and Toyota Motor Engineering &amp; Manufacturing North America, Inc. She is a certified Six Sigma Black Belt.</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 Traut is the VP of Finance and Accounting and worked for The Kraft Heinz Company for 24 years in various global strategy, accounting, risk, control, audit, due diligence, and ethics leadership roles. He began his career at KPMG International Limited. Before joining AeroFlexx, he co-founded and served as CEO of a cloud-based motion graphics video production start-up.</w:t>
      </w:r>
    </w:p>
    <w:p>
      <w:pPr>
        <w:spacing w:after="0" w:line="12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Lewis is the Marketing Director and brings more than 15 years of professional business experience to her role, including VP, Senior Marketing for Fifth Third Bancorp.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AeroFlexx board of directors consists of the following members:</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Andy Meyer, Chairman, Chief Executive Officer, AeroFlexx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O. Donnally, director,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 Wasson, Co-Founder and Co-President, Wasson Enterprise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director, Innventure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seeks to provide a direct-to-chip liquid cooling solution for servers (and other computing devices) in data centers and edge computing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aims to exploit three powerful industry trends that it believes are converging:</w:t>
      </w:r>
    </w:p>
    <w:p>
      <w:pPr>
        <w:spacing w:after="0" w:line="153"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exponential predicted increase in the thermal footprint, or thermal design power (“TDP”), of server and GPU chipsets which are now beginning to exceed the capability of the incumbent refrigerated-air cooling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unpredictable global energy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commitment to environmental sustainability, including from C-suites and corporate management teams.</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Reducing data center power usage is a significant opportunity to meet public ESG commitments, but the predicted increase in TDP of future servers will make this extremely challenging.</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Accelsius has developed NeuCool, a direct-to-chip liquid cooling solution using a scalable closed loop two phase system with a dielectric coolant, as shown below. Liquid coolant enters an evaporator plate that is installed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40" w:right="359" w:bottom="1440" w:gutter="0" w:footer="0" w:header="0"/>
        </w:sectPr>
      </w:pPr>
    </w:p>
    <w:bookmarkStart w:id="74" w:name="page75"/>
    <w:bookmarkEnd w:id="74"/>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Transformative Technology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122555</wp:posOffset>
            </wp:positionV>
            <wp:extent cx="2846070" cy="1251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typical data center applications, two CPUs are installed on a single server and several dozen servers are installed per rack. The image below shows two NeuCool evaporators installed on an example server. The blue tubes indicate where liquid coolant flows into the evaporators, and the red tubes indicate where vapor flows out of the evaporators.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Depiction of NeuCool Installation on Example Server Sled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122555</wp:posOffset>
            </wp:positionV>
            <wp:extent cx="2074545" cy="1920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liquid air cooling may be the most cost-effective and sustainable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320" w:top="1440" w:right="399" w:bottom="1440" w:gutter="0" w:footer="0" w:header="0"/>
        </w:sectPr>
      </w:pPr>
    </w:p>
    <w:bookmarkStart w:id="75" w:name="page76"/>
    <w:bookmarkEnd w:id="75"/>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AI is being used at unprecedented levels. Current cooling technologies struggle with the rising heat densities associated with the processors to support these applications. For example:</w:t>
      </w:r>
    </w:p>
    <w:p>
      <w:pPr>
        <w:spacing w:after="0" w:line="12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Components: </w:t>
      </w:r>
      <w:r>
        <w:rPr>
          <w:rFonts w:ascii="Times New Roman" w:cs="Times New Roman" w:eastAsia="Times New Roman" w:hAnsi="Times New Roman"/>
          <w:sz w:val="18"/>
          <w:szCs w:val="18"/>
          <w:color w:val="auto"/>
        </w:rPr>
        <w:t>Increased software stack (including AI) require higher performance processors which increase heat dissipation.</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More powerful servers, routers, switches, cell tower base stations, and other computing equipment require improved system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cooling.</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color w:val="auto"/>
        </w:rPr>
        <w:t>: Denser racks of equipment are dissipating more heat per unit area.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Heat management capacity of data center and telecom facilities are pushing the limits of current air cooling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There are currently 4.1 GW of new data centers planned.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12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TCO savings</w:t>
      </w:r>
      <w:r>
        <w:rPr>
          <w:rFonts w:ascii="Times New Roman" w:cs="Times New Roman" w:eastAsia="Times New Roman" w:hAnsi="Times New Roman"/>
          <w:sz w:val="18"/>
          <w:szCs w:val="18"/>
          <w:color w:val="auto"/>
        </w:rPr>
        <w:t>: Cooling accounts for approximately 40% of a data center’s energy consumption.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 Savings</w:t>
      </w:r>
      <w:r>
        <w:rPr>
          <w:rFonts w:ascii="Times New Roman" w:cs="Times New Roman" w:eastAsia="Times New Roman" w:hAnsi="Times New Roman"/>
          <w:sz w:val="18"/>
          <w:szCs w:val="18"/>
          <w:color w:val="auto"/>
        </w:rPr>
        <w:t>: Accelsius allows data centers to densify, increasing the number of servers per rack, increasing the number of racks per unit area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and increasing revenue for a given data center footprint and reducing costs as less space is used.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Savings</w:t>
      </w:r>
      <w:r>
        <w:rPr>
          <w:rFonts w:ascii="Times New Roman" w:cs="Times New Roman" w:eastAsia="Times New Roman" w:hAnsi="Times New Roman"/>
          <w:sz w:val="18"/>
          <w:szCs w:val="18"/>
          <w:color w:val="auto"/>
        </w:rPr>
        <w:t>: Eliminates air conditioning needs and costs associated with legacy air-cooling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Savings</w:t>
      </w:r>
      <w:r>
        <w:rPr>
          <w:rFonts w:ascii="Times New Roman" w:cs="Times New Roman" w:eastAsia="Times New Roman" w:hAnsi="Times New Roman"/>
          <w:sz w:val="18"/>
          <w:szCs w:val="18"/>
          <w:color w:val="auto"/>
        </w:rPr>
        <w:t>: Potential to eliminate water use in cooling system.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solution allows clients to align data center operations with sustainability goals and increasingly competitive commercial requirements:</w:t>
      </w:r>
    </w:p>
    <w:p>
      <w:pPr>
        <w:spacing w:after="0" w:line="169" w:lineRule="exact"/>
        <w:rPr>
          <w:sz w:val="20"/>
          <w:szCs w:val="20"/>
          <w:color w:val="auto"/>
        </w:rPr>
      </w:pPr>
    </w:p>
    <w:p>
      <w:pPr>
        <w:jc w:val="both"/>
        <w:ind w:left="660" w:right="20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Enables the adoption of high wattage processors. </w:t>
      </w:r>
      <w:r>
        <w:rPr>
          <w:rFonts w:ascii="Times New Roman" w:cs="Times New Roman" w:eastAsia="Times New Roman" w:hAnsi="Times New Roman"/>
          <w:sz w:val="18"/>
          <w:szCs w:val="18"/>
          <w:color w:val="auto"/>
        </w:rPr>
        <w:t>The American Society of Heating, Refrigerating and Air-Conditioning Engineers (ASHRAE)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recently suggested that the exponential increase of CPU and GPU wattages is expected to soon exceed the capacity of most existing air cooling systems.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Dramatically improves density in the data center. </w:t>
      </w:r>
      <w:r>
        <w:rPr>
          <w:rFonts w:ascii="Times New Roman" w:cs="Times New Roman" w:eastAsia="Times New Roman" w:hAnsi="Times New Roman"/>
          <w:sz w:val="18"/>
          <w:szCs w:val="18"/>
          <w:color w:val="auto"/>
        </w:rPr>
        <w:t>With Accelsius’s technology, air heat syncs are not required, allowing more processing power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server. Racks no longer must be depopulated to allow air flow, nor are cold and hot aisles needed.</w:t>
      </w:r>
    </w:p>
    <w:p>
      <w:pPr>
        <w:spacing w:after="0" w:line="104" w:lineRule="exact"/>
        <w:rPr>
          <w:rFonts w:ascii="Times New Roman" w:cs="Times New Roman" w:eastAsia="Times New Roman" w:hAnsi="Times New Roman"/>
          <w:sz w:val="18"/>
          <w:szCs w:val="18"/>
          <w:color w:val="auto"/>
        </w:rPr>
      </w:pPr>
    </w:p>
    <w:p>
      <w:pPr>
        <w:jc w:val="both"/>
        <w:ind w:left="660" w:right="8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Allows more power to be allocated to computing rather than cooling. </w:t>
      </w:r>
      <w:r>
        <w:rPr>
          <w:rFonts w:ascii="Times New Roman" w:cs="Times New Roman" w:eastAsia="Times New Roman" w:hAnsi="Times New Roman"/>
          <w:sz w:val="18"/>
          <w:szCs w:val="18"/>
          <w:color w:val="auto"/>
        </w:rPr>
        <w:t>An average data center allocates around 40% of their power to cooling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overhead. When power used for cooling is reduced, more incoming power for data centers can be used for computing tasks, and data center capacity can be increased dramatically. We estimate that we can reduce the power allocated to cooling by around 49%.</w:t>
      </w:r>
    </w:p>
    <w:p>
      <w:pPr>
        <w:spacing w:after="0" w:line="119" w:lineRule="exact"/>
        <w:rPr>
          <w:rFonts w:ascii="Times New Roman" w:cs="Times New Roman" w:eastAsia="Times New Roman" w:hAnsi="Times New Roman"/>
          <w:sz w:val="18"/>
          <w:szCs w:val="18"/>
          <w:color w:val="auto"/>
        </w:rPr>
      </w:pPr>
    </w:p>
    <w:p>
      <w:pPr>
        <w:ind w:left="660" w:right="440" w:hanging="328"/>
        <w:spacing w:after="0" w:line="315" w:lineRule="auto"/>
        <w:tabs>
          <w:tab w:leader="none" w:pos="6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 compatible with legacy infrastructure. </w:t>
      </w:r>
      <w:r>
        <w:rPr>
          <w:rFonts w:ascii="Times New Roman" w:cs="Times New Roman" w:eastAsia="Times New Roman" w:hAnsi="Times New Roman"/>
          <w:sz w:val="17"/>
          <w:szCs w:val="17"/>
          <w:color w:val="auto"/>
        </w:rPr>
        <w:t>Although new data center builds will prioritize liquid cooling, brownfield sites are still actively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introducing AI / ML and other dense workloads. Accelsius technology can fit in a standard rack and connect to existing facility water loops.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80"/>
          </w:cols>
          <w:pgMar w:left="320" w:top="1440" w:right="399" w:bottom="1440" w:gutter="0" w:footer="0" w:header="0"/>
        </w:sectPr>
      </w:pPr>
    </w:p>
    <w:bookmarkStart w:id="76" w:name="page77"/>
    <w:bookmarkEnd w:id="76"/>
    <w:p>
      <w:pPr>
        <w:spacing w:after="0" w:line="138" w:lineRule="exact"/>
        <w:rPr>
          <w:sz w:val="20"/>
          <w:szCs w:val="20"/>
          <w:color w:val="auto"/>
        </w:rPr>
      </w:pPr>
    </w:p>
    <w:p>
      <w:pPr>
        <w:ind w:left="660" w:right="20" w:hanging="328"/>
        <w:spacing w:after="0" w:line="25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Heat removal head room. </w:t>
      </w:r>
      <w:r>
        <w:rPr>
          <w:rFonts w:ascii="Times New Roman" w:cs="Times New Roman" w:eastAsia="Times New Roman" w:hAnsi="Times New Roman"/>
          <w:sz w:val="18"/>
          <w:szCs w:val="18"/>
          <w:color w:val="auto"/>
        </w:rPr>
        <w:t>We believe Accelsius technology will be designed to support not just this generation of processors, but many more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come. Standard CPU power consumption is expected to exceed 600 W and standard GPU power consumption is expected to exceed 700 W by 2025, with high performance GPUs reaching 1000 watts in the same timeframe. Based on the recent trajectory of increasing CPU and GPU power consumption, we believe there is a high likelihood that chips may reach temperatures of up to 2500 watts in the near future. The ability to cool these power processors helps protect the investment in Accelsius’s NeuCool technology.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basic two-phase cooling technology underpinning NeuCool was developed at Nokia Bell Labs over a three-year period from 2019 to 2022. Innventure formed Accelsius in May 2022. Accelsius and Nokia executed a Patent Purchase Agreement dated May 27, 2022, and Technology License and Know-How Agreement dated May 27, 2022, to transfer the two-phase cooling technology from Nokia to Accelsius. Subsequently, Accelsius has significantly improved the technology to enhance its thermal cooling effectiveness and productized the solution to make it more suitable for high volume production.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Accelsius is an early-stage company that is just beginning revenue-generating operations, including initial shipments of product. Accelsius has been focused on developing and commercializing data center cooling products since its inception in 2022 and has delivered customer proof-of-concept pilots in Q2 2024. Since obtaining the two-phase cooling technology from Nokia Bell Labs in 2022, Accelsius has implemented development and applications testing capabilities at its headquarters in Austin, TX. Accelsius has produced initial NeuCool product prototypes and further refined the product, including a Design-for- Manufacturing (DFM) version in late 2023. Accelsius has also built in-house fabrication capabilities for key heat transfer components and set up manufacturing and supply chain infrastructure designed to deliver full NeuCool thermal management systems to early customers by mid-2024. Current manufacturing assets and supply chain infrastructure are anticipated to support market demand through early 2025, and additional capacity expansions will be staged to meet customer needs as demand is expected to grow in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Strengths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leading thermal cooling capability—as indicated by lowest thermal resistance of any competitive form of liquid cooling (shown below)—we believe Accelsius delivers on (1) product reliability at scale, (2) serviceability and ease of retrofit in existing data centers, (3) availability through supply chain robustness and (4) ease of doing business. The team we have assembled are experts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88900</wp:posOffset>
            </wp:positionV>
            <wp:extent cx="2288540" cy="173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854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00"/>
          </w:cols>
          <w:pgMar w:left="320" w:top="1440" w:right="379" w:bottom="1440" w:gutter="0" w:footer="0" w:header="0"/>
        </w:sectPr>
      </w:pPr>
    </w:p>
    <w:bookmarkStart w:id="77" w:name="page78"/>
    <w:bookmarkEnd w:id="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Accelsius has developed a robust pipeline of prospects ranging from server original equipment manufacturers (“OEMs”), and prospects for early adoption include those with strength in scientific computing architectures with increasing demand for AI/ML computing loads.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Strategy</w:t>
      </w:r>
    </w:p>
    <w:p>
      <w:pPr>
        <w:spacing w:after="0" w:line="17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Our go-to-market is through partnerships. We are in active discussions with multiple ecosystem partners across the technology space.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Accelsius has signed revenue-generating non-binding memorandums of understanding, as well as associated master service agreements and value-added reseller agreements, (collectively, the “MOUs”) with several third parties with whom it will deploy NeuCool thermal management systems to operating data centers by mid-2024. These third parties include hardware equipment original equipment manufacturers (OEMs), value-added resellers, and data center operators, all of whom Accelsius believes represent key customers across the data center and telecom industries. Accelsius’ existing MOUs are designed to facilitate the qualification, evaluation, and implementation of the Accelsius NeuCool technology within defined data centers, racks, and servers. These MOUs outline an implementation process consisting of four phases: assessment, initial deployment, scaled deployment, and ongoing service. Under the existing MOUs, Accelsius is engaging in a collaborative evaluation of project needs and technical fit, taking into consideration system requirements, existing/planned infrastructure, and both present and future customer objectives. Accelsius will use these initial evaluations to develop implementation proposals for the designated projects. If these proposals are accepted, Accelsius and the customers intend to enter into binding agreements governing the initial deployment and evaluation of NeuCool technology in designated facilities. Accelsius anticipates that these initial field deployments will yield firm sales contracts from each customer in the second half of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potential size and high growth of the liquid cooling market has attracted several startup competitors across different liquid cooling technologies such as immersion and direct-to-chip water cooling. Traditional air cooling technologies suffer from limitations and operational issues, including complexity of design and insufficient capability to meet increasing power demands and heat dissipation requirements. These limitations require end users to consider costs associated with cooling capacity, efficiency, power savings/consumption, and other variables. We summarize below some of the operational issues faced by competitive liquid cooling technologies based on that user feedback: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Phase Immersion:</w:t>
      </w:r>
    </w:p>
    <w:p>
      <w:pPr>
        <w:spacing w:after="0" w:line="171"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(~$100,000 per tank) and with limited thermal headroom (&lt; 50 KW);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modification (re-layout) of server internals for liquid flow and server warranty is usually void;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requires removal of servers from sealed liquid cooling baths and is time consuming and expensive;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Forklift upgrade of existing rack infrastructure and inefficient use of real estate;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Green Revolution Cooling, and TMGCore.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Phase Immersion: In addition to the issues outline above, two phase immersion is also:</w:t>
      </w:r>
    </w:p>
    <w:p>
      <w:pPr>
        <w:spacing w:after="0" w:line="17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expensive (~$175,000 per tank);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Vapor can get trapped in the servers causing localized hot spots;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few pilot implementations are expanded on because “no one wants tanks full of perfluoroalkyl and polyfluoroalkyl substances coolant in the data center;”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TMGCore and Submer.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Phase Direct-to-Chip (e.g., water):</w:t>
      </w:r>
    </w:p>
    <w:p>
      <w:pPr>
        <w:spacing w:after="0" w:line="171" w:lineRule="exact"/>
        <w:rPr>
          <w:sz w:val="20"/>
          <w:szCs w:val="20"/>
          <w:color w:val="auto"/>
        </w:rPr>
      </w:pPr>
    </w:p>
    <w:p>
      <w:pPr>
        <w:ind w:left="660" w:right="8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leaks that can cause catastrophic failure in servers and are the most significant risk. Users state that water leaks around electronic components have occurred and destroyed the servers: “</w:t>
      </w:r>
      <w:r>
        <w:rPr>
          <w:rFonts w:ascii="Times New Roman" w:cs="Times New Roman" w:eastAsia="Times New Roman" w:hAnsi="Times New Roman"/>
          <w:sz w:val="18"/>
          <w:szCs w:val="18"/>
          <w:i w:val="1"/>
          <w:iCs w:val="1"/>
          <w:color w:val="auto"/>
        </w:rPr>
        <w:t>Not a question of ‘if’ it will leak, but ‘when’ it will leak</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Bio-fouling (biofilm build up) within pipes and cold plates is a concern;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higher thermal densities requires large pumps and high pressure/flow rate of water (increasing chance of leaks &amp; electricity use);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CoolIT Systems and STULZ.</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Accelsius is well positioned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 designed in features that allow data center technicians to swap and service components using industry standard practices. Accelsius’ two phase direct-to-chip liquid cooling technology is an effective alternative to the limitations posed by other liquid cooling technologies.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Leadership</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Accelsius leadership team has extensive experience in technology, data centers and thermal management. In addition, our leadership team has a depth of experience working in large MNCs as well as smaller entrepreneurial companies and startups.</w:t>
      </w:r>
    </w:p>
    <w:p>
      <w:pPr>
        <w:spacing w:after="0" w:line="108" w:lineRule="exact"/>
        <w:rPr>
          <w:sz w:val="20"/>
          <w:szCs w:val="20"/>
          <w:color w:val="auto"/>
        </w:rPr>
      </w:pPr>
    </w:p>
    <w:p>
      <w:pPr>
        <w:ind w:left="660" w:right="6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Claman is the CEO with over 35 years of extensive experience in both large MNCs and startup companies in the technology sector. Claman spent over six years at technology startup companies, 16 years at NCR Corporation, and nearly 10 years leading multibillion dollar businesses for Dell Technologies, Inc.</w:t>
      </w:r>
    </w:p>
    <w:p>
      <w:pPr>
        <w:spacing w:after="0" w:line="12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Richard Bonner is the CTO and brings over 18 years of experience as a heat transfer researcher and advanced thermal product developer. Dr. Bonner holds an MS and PhD in Chemical Engineering from Lehigh University and is a recognized expert in two-phase cooling and thermal issues as they relate to the energy-water nexus.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 Cruce is Chief Supply Chain Officer with over 15 years of experience building and managing supply chains in large MNCs, including Dell Technologies, Inc., Lockheed Martin Corporation, and Rolls-Royce Holdings plc.</w:t>
      </w:r>
    </w:p>
    <w:p>
      <w:pPr>
        <w:spacing w:after="0" w:line="107" w:lineRule="exact"/>
        <w:rPr>
          <w:rFonts w:ascii="Times New Roman" w:cs="Times New Roman" w:eastAsia="Times New Roman" w:hAnsi="Times New Roman"/>
          <w:sz w:val="18"/>
          <w:szCs w:val="18"/>
          <w:color w:val="auto"/>
        </w:rPr>
      </w:pPr>
    </w:p>
    <w:p>
      <w:pPr>
        <w:ind w:left="660" w:right="180" w:hanging="328"/>
        <w:spacing w:after="0" w:line="312" w:lineRule="auto"/>
        <w:tabs>
          <w:tab w:leader="none" w:pos="65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Robert Wehmeyer is the VP of Finance and held senior finance roles at National Instruments Corporation for 12 years and at Dell Technologies, Inc. for 19 years. He also began his career in finance and audit roles at Westinghouse Motor Company and 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00"/>
          </w:cols>
          <w:pgMar w:left="320" w:top="1440" w:right="379" w:bottom="1440" w:gutter="0" w:footer="0" w:header="0"/>
        </w:sectPr>
      </w:pPr>
    </w:p>
    <w:bookmarkStart w:id="79" w:name="page80"/>
    <w:bookmarkEnd w:id="79"/>
    <w:p>
      <w:pPr>
        <w:spacing w:after="0" w:line="140" w:lineRule="exact"/>
        <w:rPr>
          <w:sz w:val="20"/>
          <w:szCs w:val="20"/>
          <w:color w:val="auto"/>
        </w:rPr>
      </w:pPr>
    </w:p>
    <w:p>
      <w:pPr>
        <w:ind w:left="660" w:right="14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Taus is the VP of Engineering with over 25 years of experience in product design and development in the technology sector. He spent nearly 20 years at Dell Technologies, Inc. and four years at Jabil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board of directors consists of the following members:</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Chairman, Chief Executive Officer and Manager,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Claman, Chief Executive Officer, Accelsius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William Grieco, Chief Technology Officer, Innventure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Hewitt, Chief Executive Officer, Robertshaw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Colin Scott, Head of DownSelect, Innventure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Innventure (including AeroFlexx and Accelsius) is currently not a party to or subject to any material legal proceedings. Innventure may from time to time become a party to various legal proceedings arising in the ordinary course of its business, which could have a material adverse effect on its business, financial condition or results of operations. Regardless of outcome, litigation or other legal proceedings could adversely impact Innventure’s business due to defense and settlement costs, diversion of management resources and other factors.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than as described below, none of Innventure’s directors or executive officers have been involved in any legal proceedings required to be disclosed pursuant to Item 401(f) of Regulation S-K.</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2018, the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in his capacity as an executive officer of Walgreens, relating to its ability to achieve certain financial goals associated with its then-anticipated merger with Alliance Boots GmbH. Without admitting or denying any of the SEC’s findings, Walgreens, Mr. Wasson and the company’s former chief financial officer each consented to the entry of an SEC order finding that they violated a federal antifraud provision and each agreed to cease and desist from any future violations of such provision. The order also required the payment of specified penalties, including a payment of $160,000 by Mr. Wasson.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October 31, 2024, certain information regarding our executive officers and directors who are responsible for overseeing the management of our business, including their names, ages and positions.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Gregory W. Haskell</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Class 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David Yablunosky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Class II Director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Michael Otworth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and Class III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 John Scott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Roland Austrup</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Growth Officer</w:t>
            </w: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Suzanne Niemeyer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Class III Director</w:t>
            </w:r>
          </w:p>
        </w:tc>
      </w:tr>
      <w:tr>
        <w:trPr>
          <w:trHeight w:val="243"/>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20" w:type="dxa"/>
            <w:vAlign w:val="bottom"/>
          </w:tcPr>
          <w:p>
            <w:pPr>
              <w:spacing w:after="0"/>
              <w:rPr>
                <w:sz w:val="21"/>
                <w:szCs w:val="21"/>
                <w:color w:val="auto"/>
              </w:rPr>
            </w:pP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James O. Donnally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30"/>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Bruce Brown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29"/>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Elizabeth Williams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29"/>
        </w:trPr>
        <w:tc>
          <w:tcPr>
            <w:tcW w:w="4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Daniel J. Hennessy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30"/>
        </w:trPr>
        <w:tc>
          <w:tcPr>
            <w:tcW w:w="4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Michael Amalfitano</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William (“Bill”) Haskell </w:t>
      </w:r>
      <w:r>
        <w:rPr>
          <w:rFonts w:ascii="Times New Roman" w:cs="Times New Roman" w:eastAsia="Times New Roman" w:hAnsi="Times New Roman"/>
          <w:sz w:val="18"/>
          <w:szCs w:val="18"/>
          <w:color w:val="auto"/>
        </w:rPr>
        <w:t>is Innventure’s Chief Executive Officer and a Class I director. Bill served as Chief Executive Officer and Manager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since 2021. Previously, he was a co-founder and President of both XL Vision and XL TechGroup, which created the foundational business building methodology upon which Innventure is based, from 1993 to 1999 and 2001 to 2011, respectively. Bill has worked with the key principals of Innventure for over 20 years. He has also served as a CEO of a London Stock Exchange-listed company and has been a director of over a dozen companies. Most recently, Bill was a partner at Bellview Associates at a boutique investment bank focused on converting private companies into employee-owned enterprises from 2019 to 2021. He has over 30 years of experience in company creation and development. Bill holds a B.S. degree in engineering and conducted post-graduate work in applied mathematics at Iowa State University. We believe Mr. Haskell is qualified to serve on the Board due to his significant corporate leadership experience and deep understanding of our business.</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Yablunosky </w:t>
      </w:r>
      <w:r>
        <w:rPr>
          <w:rFonts w:ascii="Times New Roman" w:cs="Times New Roman" w:eastAsia="Times New Roman" w:hAnsi="Times New Roman"/>
          <w:sz w:val="18"/>
          <w:szCs w:val="18"/>
          <w:color w:val="auto"/>
        </w:rPr>
        <w:t>is Innventure’s Chief Financial Officer and a Class II director. David has served Chief Financial Officer of Innventure LLC since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he was Chief Financial Officer of Embraer Aircraft Holding, Inc., the U.S. subsidiary of the Brazilian aerospace and defense conglomerate Embraer, SA (“Embraer”), from 2022 to 2023; Chief Financial Officer and a Board Member of Embraer Executive Aircraft, Inc., another subsidiary of Embraer, from 2021 to 2023; and a Board Member of Embraer Defense and Security, Inc., another subsidiary of Embraer, from 2021 to 2023. He brings over 30 years of finance experience working for large MNCs such as Ford Motor Company, Ford Credit, Office Depot, Oxbow Carbon LLC, and Embraer. Before his career in finance, David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We believe Mr. Yablunosky is qualified to serve on the Board due to his expertise in finance and deep understanding of our business.</w:t>
      </w:r>
    </w:p>
    <w:p>
      <w:pPr>
        <w:spacing w:after="0" w:line="13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(“Mike”) Otworth </w:t>
      </w:r>
      <w:r>
        <w:rPr>
          <w:rFonts w:ascii="Times New Roman" w:cs="Times New Roman" w:eastAsia="Times New Roman" w:hAnsi="Times New Roman"/>
          <w:sz w:val="18"/>
          <w:szCs w:val="18"/>
          <w:color w:val="auto"/>
        </w:rPr>
        <w:t>is Innventure’s Executive Chairman and a Class III director. Mike has served as Executive Chairman of Innventure LLC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2015. Mike was the Founding CEO and Chairman of the Board of PCT, from 2015 to 2022. Mike and team took PCT from an early-stage concept to an operational pilot and funded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first commercial plant, followed by a successful public offering in March of 2021. Prior to Innventure, Mike served as President and Founding Partner of Green Ocean Innovation, a company that provided technology sourcing, innovation strategy, and development services to Lilly/Elanco Animal Health, from 2008 to 2015. Mike also served as Vice-President and Founding CEO of multiple start-ups at XL TechGroup (“XLTG”) from 1996 to 2000. Mike began his career on Capitol Hill working as a legislative aide and committee staff member in the U.S. House of Representatives. We believe</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Mr. Otworth is qualified to serve on the Board due to his more than 25 years of experience leading start-ups in the technology industry, as well as his deep understanding of our business.</w:t>
      </w:r>
    </w:p>
    <w:p>
      <w:pPr>
        <w:spacing w:after="0" w:line="12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John Scott </w:t>
      </w:r>
      <w:r>
        <w:rPr>
          <w:rFonts w:ascii="Times New Roman" w:cs="Times New Roman" w:eastAsia="Times New Roman" w:hAnsi="Times New Roman"/>
          <w:sz w:val="18"/>
          <w:szCs w:val="18"/>
          <w:color w:val="auto"/>
        </w:rPr>
        <w:t>is Innventure’s Chief Strategy Officer. John has served as Chief Strategy Officer at Innventure LLC since 2015. Prior to co-founding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Innventure LLC, John served as Founder and CEO of XLTG, where he developed the DownSelect method that Innventure uses today to vet disruptive technologies from top MNCs and their associated business opportunities, from 1993 to 2013. John also served as an academic scientist at</w:t>
      </w:r>
    </w:p>
    <w:p>
      <w:pPr>
        <w:ind w:right="60"/>
        <w:spacing w:after="0" w:line="255" w:lineRule="auto"/>
        <w:rPr>
          <w:sz w:val="20"/>
          <w:szCs w:val="20"/>
          <w:color w:val="auto"/>
        </w:rPr>
      </w:pPr>
      <w:r>
        <w:rPr>
          <w:rFonts w:ascii="Times New Roman" w:cs="Times New Roman" w:eastAsia="Times New Roman" w:hAnsi="Times New Roman"/>
          <w:sz w:val="18"/>
          <w:szCs w:val="18"/>
          <w:color w:val="auto"/>
        </w:rPr>
        <w:t>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Roland Austrup </w:t>
      </w:r>
      <w:r>
        <w:rPr>
          <w:rFonts w:ascii="Times New Roman" w:cs="Times New Roman" w:eastAsia="Times New Roman" w:hAnsi="Times New Roman"/>
          <w:sz w:val="18"/>
          <w:szCs w:val="18"/>
          <w:color w:val="auto"/>
        </w:rPr>
        <w:t>is Innventure’s Chief Growth Officer. Roland has served as Innventure LLC's Chief Growth Officer since June 2024 and as a member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LLC’s Executive Committee since 2023. Prior to his change of title to Chief Growth Officer in June 2024, Roland had served as Head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since 2023, and he also previously served as Innventure LLC's Chief Financial Officer from 2021 to 2023. He also serves as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WaveFront Global Asset Management Corp., a $1.7 billion assets under management Toronto-based global hedge fund company he co-founded in 2003.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Roland is also a co-founder of Envest Corp., a downstream energy company, and an Advisory Board member of both the Master of Quantitative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 at the University of Waterloo and First Tracks Capital, a Canadian private equity firm. Prior to that, Roland was an Investment Advisor with BMO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Nesbitt Burns Inc. and began his career as a Commodities Broker with ScotiaMcLeod Inc. where he was primarily involved with hedging commodity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for corporate clients. Roland holds a B.A. with Honours from the University of Western Ontario.</w:t>
      </w:r>
    </w:p>
    <w:p>
      <w:pPr>
        <w:spacing w:after="0" w:line="14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Suzanne Niemeyer </w:t>
      </w:r>
      <w:r>
        <w:rPr>
          <w:rFonts w:ascii="Times New Roman" w:cs="Times New Roman" w:eastAsia="Times New Roman" w:hAnsi="Times New Roman"/>
          <w:sz w:val="18"/>
          <w:szCs w:val="18"/>
          <w:color w:val="auto"/>
        </w:rPr>
        <w:t>is Innventure 's General Counsel and a Class III director. Ms. Niemeyer previously served as the General Counsel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at Magis Capital Partners, an operational venture capital company with a focus on fintech solutions from 2019-2024. From 2003-2019, Ms. Niemeyer served as General Counsel, Managing Director and Corporate Secretary at Actua Corporation, where she was previously the Vice President of Legal from 2000-2003. While serving Actua, Ms. Niemeyer negotiated dozens of complex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in Psychology and Spanish from Duke University, and a J.D. from Georgetown University Law Center. We believe that Ms. Niemeyer is well qualified to serve as a director due to her legal acumen and her significant experience in corporate governance matters and advising publicly-traded companies.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 Donnally </w:t>
      </w:r>
      <w:r>
        <w:rPr>
          <w:rFonts w:ascii="Times New Roman" w:cs="Times New Roman" w:eastAsia="Times New Roman" w:hAnsi="Times New Roman"/>
          <w:sz w:val="18"/>
          <w:szCs w:val="18"/>
          <w:color w:val="auto"/>
        </w:rPr>
        <w:t>is a Class II director of Innventure. Jim has served as a Manager of Innventure LLC since 2015 and as the Managing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Bellringer Consulting Group, LLC,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Jim is also highly involved in organizations and companies that are helping grow southeast Ohio communities and sits on numerous boards. Jim was the CFO for PureCycle from January 2017 to December 2020. In his prior role as CFO at Glockner,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Jim was a CPA at Hayflich &amp; Steinberg, where he performed for-profit audit, review, compilation and tax engagements for regional wholesale, retail, manufacturing and service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00"/>
          </w:cols>
          <w:pgMar w:left="320" w:top="1440" w:right="379" w:bottom="1440" w:gutter="0" w:footer="0" w:header="0"/>
        </w:sectPr>
      </w:pPr>
    </w:p>
    <w:bookmarkStart w:id="82" w:name="page83"/>
    <w:bookmarkEnd w:id="82"/>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specializing in consolidations. Jim received his bachelor’s in accounting with minors in economics, finance, philosophy, psychology and theater in 1991 from Marshall University. We believe Mr. Donnally is qualified to serve on the Board due to his over 30 years of experience in finance, accounting and company development.</w:t>
      </w:r>
    </w:p>
    <w:p>
      <w:pPr>
        <w:spacing w:after="0" w:line="11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Brown </w:t>
      </w:r>
      <w:r>
        <w:rPr>
          <w:rFonts w:ascii="Times New Roman" w:cs="Times New Roman" w:eastAsia="Times New Roman" w:hAnsi="Times New Roman"/>
          <w:sz w:val="18"/>
          <w:szCs w:val="18"/>
          <w:color w:val="auto"/>
        </w:rPr>
        <w:t>is a Class II director of Innventure. Mr. Brown retired from Procter &amp; Gamble (P&amp;G) in 2014 after 34 years of service, including six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company 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Glatfelter Corporation (NYSE: GLT), and has previously served on the board of Nokia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We believe that Mr. Brown is well qualified to serve as a director due to his organizational leadership development and years of experience as a public company director.</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Elizabeth Williams </w:t>
      </w:r>
      <w:r>
        <w:rPr>
          <w:rFonts w:ascii="Times New Roman" w:cs="Times New Roman" w:eastAsia="Times New Roman" w:hAnsi="Times New Roman"/>
          <w:sz w:val="18"/>
          <w:szCs w:val="18"/>
          <w:color w:val="auto"/>
        </w:rPr>
        <w:t>is a Class III director of Innventure. Ms. Williams was formerly the Vice President of Commercial and Industrial Customer Journey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at Entergy from 2021-2022, where she helped large industrial processing businesses achieve sustainability goals through emission reduction solutions. From 2017-2019, Ms. Williams was the Senior Vice President of Strategy and Corporate Development at Tenneco, where she focused on improving financial and capital markets performance by defining long-term strategy. Ms. Williams served as the Vice President and Head of Corporate Strategy from 2014-2016 at Maersk, where she simultaneously helped capitalize on end of life oil fields, and reduced portfolio risk from oil price exposures. From 2011-2014, she was the Senior Vice President and Head of Corporate Strategy at ABB, where she spearheaded the strategic</w:t>
      </w:r>
    </w:p>
    <w:p>
      <w:pPr>
        <w:spacing w:after="0" w:line="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planning, implementation, and execution of $20 billion in institutional investments over four years, including R&amp;D allocation, SG&amp;A, M&amp;A, and capital expenditure initiatives. Prior to 2011, Ms. Williams served as the Director of Corporate Development at United Technologies. Ms. Williams has a B.A. in economics from Stanford University, and an MBA from the University of Chicago. We believe that Ms. Williams is well qualified to serve as a director due to her significant experience in corporate strategy and development.</w:t>
      </w:r>
    </w:p>
    <w:p>
      <w:pPr>
        <w:spacing w:after="0" w:line="1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Daniel J. Hennessy </w:t>
      </w:r>
      <w:r>
        <w:rPr>
          <w:rFonts w:ascii="Times New Roman" w:cs="Times New Roman" w:eastAsia="Times New Roman" w:hAnsi="Times New Roman"/>
          <w:sz w:val="17"/>
          <w:szCs w:val="17"/>
          <w:color w:val="auto"/>
        </w:rPr>
        <w:t>is a Class I director of Innventure and Learn CW's director designee pursuant to the terms of the Business Combination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Hennessy currently serves as Chairman &amp; CEO of Hennessy Capital Investment Corp. VI (NASDAQ: HCVI) and as Chairman of the board of directors of Compass Digital Acquisition Corp. (NASDAQ: CDAQ). Mr. Hennessy also founded Hennessy Capital Group LLC as an alternative investment firm in 2013 to focus on investments in the sustainable industrial technology and infrastructure sectors. From October 2020 to December 2022, Mr. Hennessy served as Chairperson and CEO of Hennessy Capital Investment Corp. V. Mr. Hennessy also served as Chairman &amp; CEO of Hennessy Capital Acquisition Corp. IV, which, in December of 2020, completed its business combination with Canoo Holdings Ltd. He also served as a member of the board of directors of Daseke, Inc. (NASDAQ: DSKE),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We believe that Mr. Hennessy is well qualified to serve as a director due to his significant investment, strategic and leadership experience.</w:t>
      </w:r>
    </w:p>
    <w:p>
      <w:pPr>
        <w:spacing w:after="0" w:line="1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Amalfitano </w:t>
      </w:r>
      <w:r>
        <w:rPr>
          <w:rFonts w:ascii="Times New Roman" w:cs="Times New Roman" w:eastAsia="Times New Roman" w:hAnsi="Times New Roman"/>
          <w:sz w:val="18"/>
          <w:szCs w:val="18"/>
          <w:color w:val="auto"/>
        </w:rPr>
        <w:t>is a Class I director of Innventure. Mr. Amalfitano has served as the President and CEO of Embraer Executive Jets, a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Embraer, since 2017. Prior to joining Embraer, Mr. Amalfitano served as Executive Vice President, Senior Managing Director of Business Aviation at Stonebriar Commercial Finance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(NYSE: EVEX) and of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Angel Network. He is also a member of the Board of Trustees at Embry-Riddle Aeronautical University (ERAU) and serves on their Finance and Investment Committees. Mr. Amalfitano currently serves on the Executive, Finance, Investment, and Strategic Committees of the General Aviation Manufacturer’s Association (“GAMA”), and is a member of the Advisory Council and Leadership Council of the National Business Aviation Association (“NBAA”). Past board positions include former four-term OEM President of the International Aircraft Dealers Association (“IADA”), Chairman of the Associate Members Advisory Council for the National Aircraft Resellers Association (“NARA”), and former two-term President of the National Aircraft Finance Association (“NAFA”). Mr. Amalfitano holds a B.A. in Economics and a Master’s in Financial Management from Fairfield University in Fairfield, Connecticut. We believe that Mr. Amalfitano is well qualified to serve as a director due to his years of executive leadership and public company director experience.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structured our corporate governance in a manner we believe closely aligns our interests with those of our stockholders. Notable features of this corporate governance include:</w:t>
      </w:r>
    </w:p>
    <w:p>
      <w:pPr>
        <w:spacing w:after="0" w:line="108" w:lineRule="exact"/>
        <w:rPr>
          <w:sz w:val="20"/>
          <w:szCs w:val="20"/>
          <w:color w:val="auto"/>
        </w:rPr>
      </w:pPr>
    </w:p>
    <w:p>
      <w:pPr>
        <w:ind w:left="660" w:right="540" w:hanging="328"/>
        <w:spacing w:after="0" w:line="312" w:lineRule="auto"/>
        <w:tabs>
          <w:tab w:leader="none" w:pos="6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director representation on our audit, compensation and nominating and corporate governance committees, and our independent directors will meet regularly in executive sessions without the presence of our corporate officers or non- independent directors;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his or her successor is duly appointed or until his or her earlier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Board consists of nine directors. Each of our directors will continue to serve as a director until the election and qualification of his or her successor or until his or her earlier death, resignation or removal. The authorized number of directors may be changed by resolution of our Board. Vacancies on our Board can be filled by resolution of our Board.</w:t>
      </w:r>
    </w:p>
    <w:p>
      <w:pPr>
        <w:spacing w:after="0" w:line="12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08" w:lineRule="exact"/>
        <w:rPr>
          <w:sz w:val="20"/>
          <w:szCs w:val="20"/>
          <w:color w:val="auto"/>
        </w:rPr>
      </w:pPr>
    </w:p>
    <w:p>
      <w:pPr>
        <w:ind w:left="660" w:right="34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the annual meeting of stockholders to be held in 2025;</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will expire at the annual meeting of stockholders to be held in 2027.</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a change of our management or a change in control. See “</w:t>
      </w:r>
      <w:r>
        <w:rPr>
          <w:rFonts w:ascii="Times New Roman" w:cs="Times New Roman" w:eastAsia="Times New Roman" w:hAnsi="Times New Roman"/>
          <w:sz w:val="18"/>
          <w:szCs w:val="18"/>
          <w:i w:val="1"/>
          <w:iCs w:val="1"/>
          <w:color w:val="auto"/>
        </w:rPr>
        <w:t>Description of Securities—Anti-Takeover Effects of Innventure’s A&amp;R Certificate of Incorporation and Bylaws and Certain Provisions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Delaware Law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Based on information provided by each individual serving as a director concerning his or her background, employment, and affiliations, our Board meets independence standards under the applicable rules and regulations of the SEC and the listing standards of NASDAQ. Of the directors on our Board, Mr. Donnally, Mr. Brown, Ms. Williams, Mr. Hennessy and Mr. Amalfitano are independent.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Innventure’s Board has three standing committees: an audit committee, a compensation committee and a nominating and corporate governance committee. Each committee is chaired by an independent director. Each of the committees reports to Innventure’s Board as it deems appropriate and as the Board may request. The composition, duties and responsibilities of these committees are set forth below. In the future, our Board may establish other committees, as it deems appropriate, to assist it with its responsibilities.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Copies of the charters for each committee are available on the investor relations portion of our website at https://ir.innventure.com/corporate-governance/documents-charters. The information contained on or accessible through this website is not a part of this prospectus and the inclusion of such website address in this prospectus is an inactive textual reference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audit committee consists of Mr. Donnally (Chair), Mr. Hennessy and Ms. Williams. The audit committee provides assistance to Innventure’s Board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 those actions as it deems necessary to satisfy itself that the independent registered public accounting firm is independent of management. Subject to phase-in rules and a limited exception, the rules of NASDAQ and Rule 10A-3 of the Exchange Act require that the audit committee of a listed company be comprised solely of independent directors. Our audit committee meets the requirements for independence of audit committee members under applicable SEC and NASDAQ rules. All of the members of our audit committee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has adopted a written charter for the audit committee, which is available on our website.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compensation committee consists of Mr. Brown (Chair), Mr. Donnally, and Mr. Hennessy. The compensation committee determines our general compensation policies and the compensation provided to our officers. The compensation committee also makes recommendations to our Board regarding director compensation. In addition, the compensation committee reviews and determines security-based compensation for our directors, officers, employees and consultants and administers our equity plans. Our compensation committee also oversees our corporate compensation programs. Each member of our compensation committee is independent, as defined under the NASDAQ Listing Rules, and also satisfies NASDAQ’s additional independence standards for compensation committee members. Each member of our compensation committee is a non-employee director (within the meaning of Rule 16b-3 under the Exchange Act).</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compensation committee, which is available on our website. The information on our website is not intended to form a part of or be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Amalfitano (Chair), Mr. Brown, and Ms. Williams. The nominating and corporate governance committee is responsible for making recommendations to our Board regarding candidates for directorships and the size and composition of the Board. In addition, the nominating and corporate governance committee is responsible for overseeing our corporate governance and reporting and making recommendations to Innventure’s Board concerning corporate governance matters. Each member of our nominating and corporate governance committee is independent as defined under the NASDAQ Listing Rules.</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Board has adopted a written charter for the nominating and corporate governance committee, which is available on our website.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is responsible for periodically evaluating our Company’s corporate governance policies and systems in light of the governance risks that our Company faces and the adequacy of our Company’s policies and procedures designed to address such risks. Our compensation committee assesses and monitors whether any of our compensation plans, policies and programs comply with applicable legal and regulatory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executive committee consists of Mr. Otworth (Chair), Mr. Haskell, Mr. Yablunosky, Dr. Scott, Ms. Niemeyer, and Mr. Austrup. The executive committee will have such powers, authority and responsibilities as the Board may from time to time determine, but in no event will have the power to amend the A&amp;R Certificate of Incorporation or the Bylaws, adopt an agreement of merger or consolidation, recommend to the stockholders the sale, lease or exchange of all or substantially all of the Company’s assets or the dissolution of the Company, or take any action or possess any authority prohibited by, or otherwise reserved to the Board pursuant to applicable law, the A&amp;R Certificate of Incorporation or the Bylaws.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adopted a written charter for the executive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interlocking relationship exists between our Board or compensation committee and the Board or compensation committee of any other entity, nor has any interlocking relationship existed in the past. None of the members of our compensation committee has at any time during the prior three years been one of our officers or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or the “Code of Conduct”, that applies to all of our employees, officers and directors, including our Chief Executive Officer, Chief Financial Officer and other executive and senior financial officers. The full text of our code of ethics is available on our website. Any amendments to the Code of Conduct, or any waivers of its requirements, are expected to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 the extent required by applicable rules and exchange requirements. The information on our website is not intended to form a part of or be incorporated by reference into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Agreement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and certain of the members of Innventure LLC (together, the “Founding Investors”) along with other parties, entered into an investor rights agreement (the “Investor Rights Agreement”). Pursuant to the Investor Rights Agreement, Innventure agreed to grant the Founding Investors certain rights with respect to nomination of the directors of Innventure, as further described below.</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Innventure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2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Common Stock;</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Common Stock;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directors, so long as the Founding Investors beneficially own at least 5%, but less than 20%, of the outstanding Common Stock.</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At the time of this prospectus, the Founding Investors will have the right to nominate for election to the Board four (4) Founding Investor Nominees.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Executive Compensation Program</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Decisions with respect to the compensation of our executive officers, including our named executive officers, will be made by the compensation committee of our Board. The following discussion is based on present expectations as to the compensation of our named executive officers and directors. The actual compensation of our named executive officers will depend on the judgment of the members of the compensation committee and may differ from that set forth in the following discussion.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anticipate that compensation for our executive officers will have the following components: base salary, cash bonus opportunities, equity compensation, employee benefits, executive perquisites and severance benefits. Base salaries, employee benefits, executive perquisites and severance benefits will be designed to attract and retain senior management talent. We will also use annual cash bonuses and equity awards to promote performance-based pay that aligns the interests of our named executive officers with the long-term interests of our equity-owners and to enhance executive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use annual cash incentive bonuses for the named executive officers to motivate their achievement of short-term performance goals and tie a portion of their cash compensation to our performance. We expect that, near the beginning of each year, the compensation committee will select the performance targets, target amounts, target award opportunities and other terms and conditions of annual cash bonuses for the named executive officers. Following the end of each year, the compensation committee will determine the extent to which the performance targets were achieved and the amount of the award that is payable to the NEOs.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expect to use stock-based awards in future years to promote our interest by providing our executive officers with the opportunity to acquire equity interests as an incentive for their remaining in our service and aligning the executive officers’ interests with those of our equity 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continue to offer various employee benefit plans previously offered by Innventure LLC (or similar plans). We may also provide our named executive officers with perquisites and personal benefits that are not generally available to all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non-employee directors will receive varying levels of compensation for their services as directors and members of committees of our Board. We anticipate determining director compensation in accordance with industry practice and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A&amp;R Certificate of Incorporation limits a directors’ liability to the fullest extent permitted under the DGCL. The DGCL provides that directors of a corporation will not be personally liable for monetary damages for breach of their fiduciary duties as directors, except for liability:</w:t>
      </w:r>
    </w:p>
    <w:p>
      <w:pPr>
        <w:spacing w:after="0" w:line="108"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1440" w:right="359" w:bottom="1440" w:gutter="0" w:footer="0" w:header="0"/>
        </w:sectPr>
      </w:pPr>
    </w:p>
    <w:bookmarkStart w:id="88" w:name="page89"/>
    <w:bookmarkEnd w:id="8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20"/>
          </w:cols>
          <w:pgMar w:left="320" w:top="1440" w:right="659" w:bottom="1440" w:gutter="0" w:footer="0" w:header="0"/>
        </w:sectPr>
      </w:pPr>
    </w:p>
    <w:bookmarkStart w:id="89" w:name="page90"/>
    <w:bookmarkEnd w:id="8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 OF INNVENTURE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section discusses the material components of the 2023 executive compensation programs for the executive officers of Innventure LLC who were “named executive officers” for 2023. This discussion may contain forward-looking statements that are based on Innventure’s current plans, considerations, expectations and determinations regarding future compensation programs. Actual compensation programs that Innventure adopts in the future may differ materially from the existing and currently planned programs summarized or referred to in this discussion.</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an emerging growth company, Innventure has opted to comply with the executive compensation disclosure rules applicable to “emerging growth companies” as such term is defined in the rules promulgated under the Securities Act, which, in general, require compensation disclosure for Innventure’s principal executive officer and its two other most highly compensated executive officers. Innventure LLC’s three most highly compensated executed officers, other than the principal executive officer, received the same total compensation in 2023 and are all included in this disclosure. Innventure LLC’s principal executive officer and its three other most highly compensated executive officers are referred to herein as our named executive officers (the “NEOs”).</w:t>
      </w:r>
    </w:p>
    <w:p>
      <w:pPr>
        <w:spacing w:after="0" w:line="133"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Gregory W. (Bill) Haskell was Innventure LLC’s principal executive officer for the entirety of 2023. The three most highly compensated executive officers of Innventure LLC that were serving in such capacity at the end of 2023 (other than Mr. Haskell) were Roland Austrup, Mike Otworth and Dr. John Scott.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for the fiscal year ended December 31, 2023, Innventure LLC’s NEOs were:</w:t>
      </w:r>
    </w:p>
    <w:p>
      <w:pPr>
        <w:spacing w:after="0" w:line="171"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Roland Austrup, Head of Capital Markets (now Innventure's Chief Growth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Messrs. Haskell, Otworth and Austrup and Dr. Scott are still serving as executive officers of Innventure following the consummation of the Business Combination.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 LLC’s NEOs for 2023.</w:t>
      </w:r>
    </w:p>
    <w:p>
      <w:pPr>
        <w:spacing w:after="0" w:line="1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7"/>
                <w:szCs w:val="17"/>
                <w:color w:val="auto"/>
              </w:rPr>
            </w:pPr>
          </w:p>
        </w:tc>
        <w:tc>
          <w:tcPr>
            <w:tcW w:w="96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32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(4)</w:t>
            </w: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Gregory W. (Bill) Haskell</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492,000</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Roland Austrup</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9"/>
                <w:szCs w:val="19"/>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184"/>
        </w:trPr>
        <w:tc>
          <w:tcPr>
            <w:tcW w:w="21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Head of Capital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b w:val="1"/>
                <w:bCs w:val="1"/>
                <w:i w:val="1"/>
                <w:iCs w:val="1"/>
                <w:color w:val="auto"/>
              </w:rPr>
              <w:t>Markets</w:t>
            </w:r>
            <w:r>
              <w:rPr>
                <w:rFonts w:ascii="Times New Roman" w:cs="Times New Roman" w:eastAsia="Times New Roman" w:hAnsi="Times New Roman"/>
                <w:sz w:val="23"/>
                <w:szCs w:val="23"/>
                <w:b w:val="1"/>
                <w:bCs w:val="1"/>
                <w:i w:val="1"/>
                <w:iCs w:val="1"/>
                <w:color w:val="auto"/>
                <w:vertAlign w:val="superscript"/>
              </w:rPr>
              <w:t>(5)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Mike Otworth</w:t>
            </w:r>
          </w:p>
        </w:tc>
        <w:tc>
          <w:tcPr>
            <w:tcW w:w="1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243"/>
        </w:trPr>
        <w:tc>
          <w:tcPr>
            <w:tcW w:w="2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Dr. John Scott</w:t>
            </w:r>
          </w:p>
        </w:tc>
        <w:tc>
          <w:tcPr>
            <w:tcW w:w="10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0" w:type="dxa"/>
            <w:vAlign w:val="bottom"/>
          </w:tcPr>
          <w:p>
            <w:pPr>
              <w:spacing w:after="0"/>
              <w:rPr>
                <w:sz w:val="1"/>
                <w:szCs w:val="1"/>
                <w:color w:val="auto"/>
              </w:rPr>
            </w:pPr>
          </w:p>
        </w:tc>
      </w:tr>
      <w:tr>
        <w:trPr>
          <w:trHeight w:val="310"/>
        </w:trPr>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Chief Strategy Officer</w:t>
            </w:r>
            <w:r>
              <w:rPr>
                <w:rFonts w:ascii="Times New Roman" w:cs="Times New Roman" w:eastAsia="Times New Roman" w:hAnsi="Times New Roman"/>
                <w:sz w:val="23"/>
                <w:szCs w:val="23"/>
                <w:b w:val="1"/>
                <w:bCs w:val="1"/>
                <w:i w:val="1"/>
                <w:iCs w:val="1"/>
                <w:color w:val="auto"/>
                <w:vertAlign w:val="superscript"/>
              </w:rPr>
              <w:t>(6)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70"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represents base salary earned during 2023. For Mr. Austrup, the amount represents payments to L1FE Management Limited (a corporation 100% indirectly owned by Mr. Austrup) with respect to Mr. Austrup’s consulting services to Innventure LLC during 2023. For Dr. Scott, the amount represents payments to Corporate Development Group LLC (a company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5" w:lineRule="exact"/>
        <w:rPr>
          <w:sz w:val="20"/>
          <w:szCs w:val="20"/>
          <w:color w:val="auto"/>
        </w:rPr>
      </w:pPr>
    </w:p>
    <w:p>
      <w:pPr>
        <w:jc w:val="both"/>
        <w:ind w:left="340" w:right="100"/>
        <w:spacing w:after="0" w:line="262" w:lineRule="auto"/>
        <w:rPr>
          <w:sz w:val="20"/>
          <w:szCs w:val="20"/>
          <w:color w:val="auto"/>
        </w:rPr>
      </w:pPr>
      <w:r>
        <w:rPr>
          <w:rFonts w:ascii="Times New Roman" w:cs="Times New Roman" w:eastAsia="Times New Roman" w:hAnsi="Times New Roman"/>
          <w:sz w:val="14"/>
          <w:szCs w:val="14"/>
          <w:color w:val="auto"/>
        </w:rPr>
        <w:t>owned by Dr. Scott) with respect to Dr. Scott’s consulting services to Innventure LLC during 2023. For Mr. Otworth, the amount represents base salary earned through November 15, 2023 and payments to Sugar Grove Ventures, LLC (a company 100% owned by Mr. Otworth) with respect to Mr. Otworth’s consulting services to Innventure LLC between November 16, 2023 and December 31, 2023.</w:t>
      </w:r>
    </w:p>
    <w:p>
      <w:pPr>
        <w:spacing w:after="0" w:line="2"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Messrs. Haskell, Austrup and Otworth and Dr. Scott represent, in each case, an annual bonus for 2023.</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NEOs received stock awards or option awards in 2023.</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LLC under the 401(k) Plan (as defined and described below).</w:t>
      </w:r>
    </w:p>
    <w:p>
      <w:pPr>
        <w:spacing w:after="0" w:line="14" w:lineRule="exact"/>
        <w:rPr>
          <w:rFonts w:ascii="Times New Roman" w:cs="Times New Roman" w:eastAsia="Times New Roman" w:hAnsi="Times New Roman"/>
          <w:sz w:val="14"/>
          <w:szCs w:val="14"/>
          <w:color w:val="auto"/>
        </w:rPr>
      </w:pPr>
    </w:p>
    <w:p>
      <w:pPr>
        <w:ind w:left="340" w:right="100" w:hanging="332"/>
        <w:spacing w:after="0" w:line="254"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Mr. Austrup served as the Chief Financial Officer of Innventure LLC through September 24, 2023. Mr. Austrup provided services to Innventure LLC in a consulting capacity during 2023 through a contract between Innventure LLC and L1FE Management Limited, as described below.</w:t>
      </w:r>
    </w:p>
    <w:p>
      <w:pPr>
        <w:ind w:left="340" w:right="40" w:hanging="332"/>
        <w:spacing w:after="0" w:line="278"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LLC in a consulting capacity during 2023 through a contract between Innventure LLC and Corporate Development Group LLC, pursuant to which Dr. Scott, the founder and principal of Corporate Development Group LLC, provided strategic guidance and consulting services to Innventure LLC.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Consulting Arrangements with our NEOs</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Gregory W. (Bill) Haskell</w:t>
      </w:r>
      <w:r>
        <w:rPr>
          <w:rFonts w:ascii="Times New Roman" w:cs="Times New Roman" w:eastAsia="Times New Roman" w:hAnsi="Times New Roman"/>
          <w:sz w:val="18"/>
          <w:szCs w:val="18"/>
          <w:color w:val="auto"/>
        </w:rPr>
        <w:t>: Innventure LLC is party to an offer letter, dated January 5, 2021, with Mr. Haskell (the “Haskell Letter”). The Haskell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among other things, an initial base salary rate of $200,000 per year, and an opportunity for Mr. Haskell to receive certain equity awards from Innventure LLC and new companies affiliated with Innventure LLC. Mr. Haskell’s base salary has since been increased to $300,000 per year.</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Roland Austrup</w:t>
      </w:r>
      <w:r>
        <w:rPr>
          <w:rFonts w:ascii="Times New Roman" w:cs="Times New Roman" w:eastAsia="Times New Roman" w:hAnsi="Times New Roman"/>
          <w:sz w:val="18"/>
          <w:szCs w:val="18"/>
          <w:color w:val="auto"/>
        </w:rPr>
        <w:t>: Innventure LLC is party to a Management Services Agreement, originally dated January 22, 2021 and subsequently amended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1, 2021, with L1FE Management Limited, an independent contractor (the “Austrup Service Agreement”). Pursuant to the Austrup Service Agreement, Mr. Austrup serves as the sole service provider for L1FE Management Limited in carrying out the services under the Austrup Service Agreement. The Austrup Service Agreement provides for, among other things, a monthly service rate of $25,000, an annual target bonus of $200,000, and an opportunity to receive certain equity awards from Innventure LLC. Pursuant to the Austrup Service Agreement, either Innventure LLC or L1FE Management Limited may terminate the Austrup Service Agreement upon 30 days’ notice to the other party. The Austrup Service Agreement includes customary employee non-solicitation provisions that extend for one year following the termination of the Austrup Service Agreement, as well as confidentiality and intellectual property provisions in favor of Innventure LLC.</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Mike Otworth</w:t>
      </w:r>
      <w:r>
        <w:rPr>
          <w:rFonts w:ascii="Times New Roman" w:cs="Times New Roman" w:eastAsia="Times New Roman" w:hAnsi="Times New Roman"/>
          <w:sz w:val="18"/>
          <w:szCs w:val="18"/>
          <w:color w:val="auto"/>
        </w:rPr>
        <w:t>: Innventure LLC is party to a letter agreement, dated July 29, 2022, with Mr. Otworth (the “Otworth Letter”). During Mr. Otworth’s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Innventure LLC, the Otworth Letter provided for, among other things, an initial base salary rate of $300,000 per year, an opportunity for Mr. Otworth to earn an annual bonus targeted at 100% of his base salary, and an opportunity to receive certain equity awards from new companies affiliated with Innventure LLC. In connection with the Otworth Letter, Mr. Otworth also executed a proprietary information, inventions, non-competition and non-solicitation agreement, which includes customary non-competition and employee and customer non-solicitation provisions that extend for one year following Mr. Otworth’s termination of employment, as well as confidentiality, intellectual property and non-disparagement provisions in favor of Innventure LLC.</w:t>
      </w:r>
    </w:p>
    <w:p>
      <w:pPr>
        <w:spacing w:after="0" w:line="12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Dr. John Scott</w:t>
      </w:r>
      <w:r>
        <w:rPr>
          <w:rFonts w:ascii="Times New Roman" w:cs="Times New Roman" w:eastAsia="Times New Roman" w:hAnsi="Times New Roman"/>
          <w:sz w:val="18"/>
          <w:szCs w:val="18"/>
          <w:color w:val="auto"/>
        </w:rPr>
        <w:t>: Innventure LLC is party to a Statement of Work, effective April 1, 2018, with Corporate Development Group LLC,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(as amended, the “Scott Service Agreement”). Pursuant to the Scott Service Agreement, Corporate Development Group LLC provides strategic guidance and consulting services to Innventure LLC for a monthly service fee of $25,000.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Bonus Compensation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of Messrs. Haskell, Austrup and Otworth and Dr. Scott also earned a 2023 annual bonus based on Innventure LLC’s performance and determined in the discretion of the Innventure LLC board of directors. The Innventure LLC board of directors determined that the 2023 annual bonus for each NEO would be $180,000.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Equity-Based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LLC</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prior years, Innventure LLC granted Class C Units of Innventure LLC (“Innventure Incentive Units”) to certain service providers, including Messrs. Haskell and Austrup, pursuant to the Fourth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Limited Liability Company Agreement of Innventure LLC, as subsequently amended or amended and restated from time to time (the “Innventure LLC Agreement”).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on March 15, 2021, Innventure LLC granted to Mr. Austrup Class A Units of Innventure LLC, which units were converted into Innventure Incentive Units in September 2021 (the “Converted Innventure Incentive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Accelsius Holdings, LLC has granted Class C Units of Accelsius Holdings, LLC (“Accelsius Incentive Units”) to certain service providers, including Messrs. Haskell and Austrup and Dr. Scott, pursuant to the Limited Liability Company Agreement of Accelsius Holdings, LLC.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Holdings, LLC after certain members of Accelsius Holdings, LLC have received the return of an amount specified with respect to the Accelsius Incentive Unit award (the “Accelsius Distribution Threshold”).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did not grant Accelsius Incentive Units to any of the NEOs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AeroFlexx</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AeroFlexx, LLC has granted Class C Units of AeroFlexx, LLC (“AeroFlexx Incentive Units” and, together with the Innventure Incentive Units and Accelsius Incentive Units, the “Incentive Units”) to certain service providers, including Mr. Otworth and Dr. Scott, pursuant to the AeroFlexx, LLC Equity Incentive Plan. The AeroFlexx Incentive Units are intended to be “profits interests” for U.S. federal income tax purposes, and holders of AeroFlexx Incentive Units do not have any voting rights with respect to such AeroFlexx Incentive Units except as required by law. The AeroFlexx Incentive Units entitle the holders thereof to participate in distributions of AeroFlexx, LLC after certain members of AeroFlexx, LLC have received the return of an amount specified with respect to the AeroFlexx Incentive Unit award (the “AeroFlexx Distribution Threshold”).</w:t>
      </w:r>
    </w:p>
    <w:p>
      <w:pPr>
        <w:spacing w:after="0" w:line="133" w:lineRule="exact"/>
        <w:rPr>
          <w:sz w:val="20"/>
          <w:szCs w:val="20"/>
          <w:color w:val="auto"/>
        </w:rPr>
      </w:pPr>
    </w:p>
    <w:p>
      <w:pPr>
        <w:ind w:right="5460"/>
        <w:spacing w:after="0" w:line="525" w:lineRule="auto"/>
        <w:rPr>
          <w:sz w:val="20"/>
          <w:szCs w:val="20"/>
          <w:color w:val="auto"/>
        </w:rPr>
      </w:pPr>
      <w:r>
        <w:rPr>
          <w:rFonts w:ascii="Times New Roman" w:cs="Times New Roman" w:eastAsia="Times New Roman" w:hAnsi="Times New Roman"/>
          <w:sz w:val="18"/>
          <w:szCs w:val="18"/>
          <w:color w:val="auto"/>
        </w:rPr>
        <w:t xml:space="preserve">AeroFlexx did not grant AeroFlexx Incentive Units to any of the NEOs in 2023. </w:t>
      </w:r>
      <w:r>
        <w:rPr>
          <w:rFonts w:ascii="Times New Roman" w:cs="Times New Roman" w:eastAsia="Times New Roman" w:hAnsi="Times New Roman"/>
          <w:sz w:val="18"/>
          <w:szCs w:val="18"/>
          <w:b w:val="1"/>
          <w:bCs w:val="1"/>
          <w:color w:val="auto"/>
        </w:rPr>
        <w:t xml:space="preserve">2024 Equity and Incentive Compensation Plan </w:t>
      </w:r>
      <w:r>
        <w:rPr>
          <w:rFonts w:ascii="Times New Roman" w:cs="Times New Roman" w:eastAsia="Times New Roman" w:hAnsi="Times New Roman"/>
          <w:sz w:val="18"/>
          <w:szCs w:val="18"/>
          <w:b w:val="1"/>
          <w:bCs w:val="1"/>
          <w:i w:val="1"/>
          <w:iCs w:val="1"/>
          <w:color w:val="auto"/>
        </w:rPr>
        <w:t>Purpose of the Equity Plan</w:t>
      </w:r>
    </w:p>
    <w:p>
      <w:pPr>
        <w:spacing w:after="0" w:line="2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Innventure has adopted the 2024 Equity and Incentive Compensation Plan (the “Equity Plan”) to allow Innventure to provide cash awards and equity-based compensation in the form of stock options, stock appreciation rights (“SARs”), restricted stock, restricted stock units (“RSUs”), performance shares, performance units, dividend equivalents, and certain other awards, including those denominated or payable in, or otherwise based on, shares of Common Stock, for the purpose of providing incentives and rewards for service and/or performance to Innventure’s non-employee directors, as well as officers, employees and certain consultants of Innventure and its subsidiaries. The Equity Plan affords the Compensation Committee (as defined below) the ability to design compensatory awards that are responsive to Innventure’s needs and authorizes a variety of award types designed to advance the interests and long-term success of Innventure by encouraging stock ownership among its participants. In addition, the Board believes that the ability to grant equity-based awards will help Innventure to attract, retain, and motivate employees, consultants, and directors and encourage them to devote their best efforts to Innventure’s business and financial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Promotion of Good Corporate Governance Practices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Board believes the use of stock-based incentive awards promotes best practices in corporate governance by incentivizing the creation of stockholder value. By providing participants in the Equity Plan with a stake in Innventure’s success, the interests of the participants are further aligned with those of stockholders. Specific features of the Equity Plan that are consistent with commonly viewed good corporate governance practices include, but are not limited to:</w:t>
      </w:r>
    </w:p>
    <w:p>
      <w:pPr>
        <w:spacing w:after="0" w:line="126" w:lineRule="exact"/>
        <w:rPr>
          <w:sz w:val="20"/>
          <w:szCs w:val="20"/>
          <w:color w:val="auto"/>
        </w:rPr>
      </w:pPr>
    </w:p>
    <w:p>
      <w:pPr>
        <w:ind w:left="660" w:right="1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prohibits the grant of dividend equivalents with respect to options and SARs and subjects all dividends and dividend equivalents paid with respect to other awards to the same vesting conditions as the underlying shares subject to the awards;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certain corporate transactions, options and SARs under the Equity Plan may not be granted with exercise or base prices lower than the fair market value of the underlying shares on the grant date;</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of certain corporate transactions or adjustment events described in the Equity Plan or in connection with a “change in control,” the exercise or base price of stock options and SARs cannot be reduced, and “underwater” stock options or SARs cannot be cancelled in exchange for cash or replaced with other awards with a lower exercise or base price, without stockholder approval under the Equity Plan; and</w:t>
      </w:r>
    </w:p>
    <w:p>
      <w:pPr>
        <w:spacing w:after="0" w:line="12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may not be awarded compensation for their service as a director having an aggregate maximum value on the grant date that exceeds $750,000 during any calendar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Equity Plan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summary of the material terms of the Equity Plan is qualified in its entirety by reference to the full text of the Equity Plan, a copy of which has been filed as an exhibit to the registration statement of which this prospectus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Equity Plan is generally administered by the compensation committee (or its successor) of the Board (for purposes of this disclosure, the “Compensation Committee”), or any other committee of the Board designated by the Board to administer the Equity Plan. However, at the Board’s discretion, the Equity Plan may be administered by the Board, including with respect to the administration of any responsibilities and duties held by the Compensation Committee under the Equity Plan. References to the “Committee” in this disclosure generally refer to the Compensation Committee or such other committee designated by the Board, as applicable. Among other responsibilities, the Committee will select participants and determine the type of awards to be granted to participants, the number of shares of Common Stock to be covered by awards and the terms and conditions of awards, interpret the Equity Plan and awards granted under it, and make any other determination and take any other action that it deems necessary or desirable to administer the Equity Plan. The Committee may from time to time delegate all or any part of its authority under the Equity Plan as permitted by the Equity Plan and applicable law. In addition, the Committee may by resolution, subject to certain restrictions set forth in the Equity Plan, authorize one or more officers of Innventure to (1) designate employees to be recipients of awards under the Equity Plan, and (2) determine the size of such awards. The Committee may not, however, delegate such responsibilities to officers for awards granted to non-employee directors or certain officers who are subject to the reporting requirements of Section 16 of the Exchange Act.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person who is selected by the Committee to receive benefits under the Equity Plan and who is at that time an officer or other employee of Innventure or any of its subsidiaries (including a person who has agreed to commence serving in such capacity within 90 days of the date of grant) is eligible to participate in the Equity Plan. In addition, non-employee directors of Innventure and certain persons (including consultants) who provide services to Innventure or any of its subsidiaries that are equivalent to those typically provided by an employee (provided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persons satisfy the Form S-8 definition of “employee”), may also be selected by the Committee to participate in the Equity Plan. The basis for participation in the Equity Plan by eligible persons is the selection of such persons for participation by the Committee (or its proper delegate) in its discretion.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Awards Under the Equity Plan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adjustment as described in the Equity Plan and the Equity Plan’s share counting rules, the number of shares of Common Stock initially available under the Equity Plan for awards will not exceed, in the aggregate, 11,022,894 shares of Common Stock (the “Share Limit”) plus Common Stock that becomes available under the Equity Plan as a result of forfeiture, cancellation, expiration, cash settlement or less-than-maximum earning of Equity Plan awards after the effective date of the Equity Plan. The Share Limit will be automatically increased on the first day of each fiscal year, beginning in 2025 and ending in 2034, by an amount equal to the lesser of (i) 3% of the shares of Common Stock outstanding on the last day of the immediately preceding fiscal year and (ii) such lesser amount of shares as determined by the Board.</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set forth in the Equity Plan, if any award granted under the Equity Plan expires unexercised, is canceled, forfeited, settled in cash or unearned (in whole or in part), shares of Common Stock subject to such award will again be made available for future grants under the Equity Plan. Shares of Common Stock used to pay a required exercise price or for tax withholding, shares subject to a stock-settled SAR that are not issued in connection with settlement of such stock-settled SAR, and shares reacquired by Innventure on the open market or otherwise using cash proceeds from the exercise of an option will not be available again for other awards under the Equity Plan; provided, however, that shares of Common Stock used to satisfy tax withholding for awards other than stock options and SARs will be available for awards again under the Equity Plan (for up to 10 years from the date of stockholder approval of the Equity Plan if such recycling involves shares that have already been issued). If a participant elects to give up the right to receive compensation in exchange for shares of Common Stock based on fair market value, such shares of Common Stock will not count against the aggregate limit of shares authorized under the Equity Plan to the extent permitted by applicable laws and regulations.</w:t>
      </w:r>
    </w:p>
    <w:p>
      <w:pPr>
        <w:spacing w:after="0" w:line="13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Subject to adjustment as provided in the Equity Plan, the aggregate number of shares of Common Stock actually issued or transferred upon the exercise of stock options that are intended to qualify as “incentive stock options” under Section 422 of the Code will not exceed 11,022,894 shares of Common Stock (the “ISO Limit”), provided that the ISO Limit will increase by 3,306,868 shares of Common Stock on the first day of each fiscal year beginning in 2025 and ending in 2034 (subject in all events to the Share Limit).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 Under the Equity Plan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Equity Plan, Innventure may grant cash awards and stock options, SARs, restricted stock, RSUs, performance shares, performance units, and certain other awards based on or related to the Common Stock.</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Generally, each grant of an award under the Equity Plan will be evidenced by an award agreement, certificate, resolution or other type or form of writing or other evidence approved by the Committee (an “Evidence of Award”), which will contain such terms and provisions as the Committee may determine, consistent with the Equity Plan. A brief description of the types of awards which may be granted under the Equity Plan is set forth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stock option is a right to purchase Common Stock upon exercise of the stock option. Stock options granted to an employee under the Equity Plan may consist of either an “incentive stock option” as defined in Section 422 of the Code or a non-qualified stock option, or a combination of both. Incentive stock options may only be granted to employees of Innventure or certain of its related corporations. Except with respect to awards issued in substitution for, in conversion of, or in connection with an assumption of stock options held by awardees of an entity engaging in certain corporate transactions with Innventure or any of its subsidiaries, stock options must have an exercise price per share of Common Stock that is not less than the fair market value of a share of Common Stock on the date of grant. The term of a stock option may not extend more than 10 years from the date of grant. The Committee may provide in an Evidence of Award for the automatic exercise of a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grant of a stock option will specify the applicable terms of the stock option, including the number of shares of Common Stock subject to the stock option and the required period or periods of the participant’s continuous service, if any, before any stock option or portion of a stock option will vest. Stock options may provide for continued vesting or the earlier vesting of the stock options, including in the event of retirement, death, disability or termination of employment or service of the participant or in the event of a change in control.</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grant of stock options may specify management objectives regarding the vesting of the stock options. Each grant will specify whether the consideration to be paid in satisfaction of the exercise price will be payable: (1) in cash, by check acceptable to Innventure, or by wire transfer of immediately available funds; (2) by the actual or constructive transfer to Innventure of Common Stock owned by the participant with a value at the time of exercise that is equal to the total exercise price; (3) subject to any conditions or limitations established by the Committee, by a net exercise arrangement pursuant to which Innventure will withhold Common Stock otherwise issuable upon exercise of a stock option; (4) by a combination of the foregoing methods; or (5) by such other methods as may be approved by the Committee. To the extent permitted by law, any grant may provide for payment of the exercise price from the proceeds of a sale through a bank or broker of some or all of the shares to which the exercise relates. Stock options granted under the Equity Plan may not provide for dividends or dividend equivalents.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Committee may, from time to time and upon such terms and conditions as it may determine, authorize the granting of SARs. A SAR is a right to receive from Innventure an amount equal to 100%, or such lesser percentage as the Committee may determine, of the spread between the base price and the fair market value of a share of Common Stock on the date of exercise.</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grant of SARs will specify the period or periods of continuous service, if any, by the participant with Innventure or any subsidiary that is necessary before the SARs or installments of such SARs will vest. SARs may provide for continued vesting or earlier vesting, including in the case of retirement, death, disability or termination of employment or service of the participant or in the event of a change in control. Any grant of SARs may specify management objectives regarding the vesting of such SARs. A SAR may be paid in cash, Common Stock or any combination of the two.</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Except with respect to awards issued in substitution for, in conversion of, or in connection with an assumption of SARs held by awardees of an entity engaging in certain corporate transactions with Innventure or any of its subsidiaries, the base price of a SAR may not be less than the fair market value of a share of Common Stock on the date of grant. The term of a SAR may not extend more than 10 years from the date of grant. SARs granted under the Equity Plan may not provide for dividends or dividend equivalents.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Restricted stock constitutes an immediate transfer of the ownership of shares of Common Stock to the participant in consideration of the performance of services, entitling such participant to voting, dividend and other ownership rights, but subject to the substantial risk of forfeiture and restrictions on transfer determined by the Committee for a period of time determined by the Committee or until certain management objectives specified by the Committee are achieved. Each such grant or sale of restricted stock may be made without additional consideration or in consideration of a payment by the participant that is less than the fair market value per share of Common Stock on the date of grant.</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grant of restricted stock may specify management objectives regarding the vesting of the restricted stock. 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 Restricted stock may provide for continued vesting or the earlier vesting of such restricted stock, including in the event of retirement, death, disability or termination of employment or service of the participant or in the event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RSUs awarded under the Equity Plan constitute an agreement by Innventure to deliver Common Stock, cash or a combination of the two, to the participant in the future in consideration of the performance of services, but subject to the fulfillment of such conditions (which may include achievement regarding management objectives) during the restriction period as the Committee may specify. Each grant or sale of RSUs may be made without additional consideration or in consideration of a payment by the participant that is less than the fair market value per share of Common Stock on the date of grant.</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RSUs may provide for continued vesting or the earlier lapse or other modification of the restriction period, including in the event of retirement, death, disability or termination of employment or service of the participant or in the event of a change in control. During the restriction period applicable to RSUs, the participant will have no right to transfer any rights under the award and will have no rights of ownership in the Common Stock deliverable upon payment of the RSUs and no right to vote them. Rights to dividend equivalents may be extended to and made part of any RSU award at the discretion of the Committee, on a deferred and contingent basis, either in cash or in additional shares of Common Stock. However, dividend equivalents or other distributions on Common Stock underlying RSUs will be deferred until and paid contingent upon the vesting of such RSUs. Each grant or sale of RSUs will specify the time and manner of payment of the RSUs that have been earned. An RSU may be paid in cash, Common Stock or any combination of the two.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Shares, Performance Units and Cash Incentive Awards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shares, performance units and cash incentive awards may also be granted to participants under the Equity Plan. A performance share is a bookkeeping entry that records the equivalent of one share of Common Stock, and a performance unit is a bookkeeping entry that records a unit equivalent to $1.00 or such other value as determined by the Committee. Each grant will specify the number or amount of performance shares or performance units, or the cash amount payable with respect to a cash incentive award being awarded, which number or amount may be subject to adjustment to reflect changes in compensation or other factors.</w:t>
      </w:r>
    </w:p>
    <w:p>
      <w:pPr>
        <w:spacing w:after="0" w:line="1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regarding the earning of the award. Each grant will specify the time and manner of payment of a cash incentive award, performance shares or performance units that have been earned. Any grant may specify that the amount payable with respect thereto may be paid by the Company in cash, in Common Stock, in restricted stock or RSUs or in any combination thereof.</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At the discretion of the Committee, any grant of performance shares or performance units may provide for the payment of dividend equivalents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performance period with respect to each grant of performance shares or performance units or cash incentive award will be a period of time determined by the Committee and within which the management objectives relating to such award are to be achieved. The performance period may be subject to continued vesting or earlier lapse or modification, including in the event of retirement, death, disability or termination of employment or service of the participant or in the event of a change in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Subject to applicable law and applicable share limits under the Equity Plan, the Committee may grant to any participant Common Stock or such other awards (“Other Awards”) that may be denominated or payable in, valued in whole or in part by reference to, or otherwise based on, or related to, shares of Common Stock or factors that may influence the value of such Common Stock, including, without limitation, convertible or exchangeable debt securities; other rights convertible or exchangeable into shares of Common Stock; purchase rights for shares of Common Stock; awards with value and payment contingent upon performance of Innventure or specified subsidiaries, affiliates or other business units or any other factors designated by the Committee; and awards valued by reference to the book value of the shares of Common Stock or the value of securities of, or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subsidiaries, affiliates or other business units of Innventure. The terms and conditions of any such awards will be determined by the Committee. Common Stock delivered under such an award in the nature of a purchase right granted under the Equity Plan will be purchased for such consideration, paid for at such time, by such methods, and in such forms, including, without limitation, Common Stock, other awards, cash, notes or other property, as the Committee determines.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Committee may grant cash awards, as an element of or supplement to any other awards granted under the Equity Plan. The Committee may also authorize the grant of shares of Common Stock as a bonus or may authorize the grant of Other Awards in lieu of obligations of Innventure or a subsidiary to pay cash or deliver other property under the Equity Plan or under other plans or compensatory arrangements, subject to terms determined by the Committee in a manner that complies with Section 409A of the Code.</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Awards may provide for the earning or vesting of, or earlier elimination of restrictions applicable to, such award upon certain events, including in the event of the retirement, death, disability or termination of employment or service of the participant or in the event of a change in control. The Committee may provide for the payment of dividends or dividend equivalents on Other Awards on a deferred and contingent basis, in cash or in additional shares of Common Stock. However, dividend equivalents or other distributions of Common Stock underlying Other Awards will be deferred until and paid contingent upon the earning and vesting of such awards.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Equity Plan includes a definition of “change in control.” In general, except as may be otherwise prescribed by the Committee in an Evidence of Award or as otherwise provided in another plan or agreement applicable to a participant, a change in control shall be deemed to have occurred upon the occurrence of any of the following events occurring after the Business Combination (subject to certain exceptions and limitations and as further described in the Equity Plan): (1) any individual, entity or group acquires beneficial ownership of voting securities of Innventure where such acquisition causes such person to own more than 50% of the combined voting power of the then outstanding voting securities of Innventure entitled to vote generally in the election of directors (subject to certain exceptions); (2) a majority of the Board ceases to be comprised of incumbent directors; (3) consummation of a reorganization, merger or consolidation, or sale or other disposition of all or substantially all of the assets of Innventure or the acquisition of assets of another corporation or other transaction, as described in the Equity Plan (subject to certain exceptions); or (4) stockholder approval of a complete liquidation or dissolution of Innventure (subject to certain qualifying exceptions). The Business Combination did not constitute a “change in control” for purposes of the Equity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Objectives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Equity Plan generally provides that any of the awards set forth above may be granted subject to the achievement of specified management objectives. Management objectives are defined as performance objective or objectives established pursuant to the Equity Plan for participants who have received grants of performance shares, performance units or cash incentive awards or, when so determined by the Committee, stock options, SARs, restricted stock, RSUs, dividend equivalents or Other Awards. The definition of “Management Objectives” set forth in the Equity Plan includes a list of examples of measures (which is not exhaustive) that may be used as management objectives in awards granted under the Equity Plan.</w:t>
      </w:r>
    </w:p>
    <w:p>
      <w:pPr>
        <w:spacing w:after="0" w:line="1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If the Committee determines that a change in the business, operations, corporate structure or capital structure of Innventure, or the manner in which it conducts its business, or other events or circumstances render the management objectives unsuitable, the Committee may in its discretion modify such management objectives or the goals or actual levels of achievement, in whole or in part, as the Committee deems appropriate and equitable.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Awards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Except as otherwise provided by the Committee, and subject to the terms of the Equity Plan with respect to Section 409A of the Code, no stock option, SAR, restricted stock, RSU, performance share, performance unit, cash incentive award, Other Award or dividend equivalents paid with respect to awards made under the Equity Plan will be transferrable by a participant except by will or the laws of descent and distribution. In no event will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award granted under the Equity Plan be transferred for value. Except as otherwise determined by the Committee, stock options and SARs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Committee may specify on the grant date that part or all of the shares of Common Stock that are subject to certain awards under the Equity Plan will be subject to further restrictions on transfer.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Committee will make or provide for such adjustments in: (1) the number and kind of shares of Common Stock covered by outstanding stock options, SARs, restricted stock, RSUs, performance shares and performance units granted under the Equity Plan; (2) if applicable, the number and kind of shares of Common Stock covered by Other Awards; (3) the exercise price or base price provided in outstanding stock options and SARs, respectively; (4) cash incentive awards; and (5) other award terms, as the Committee in its sole discretion, determines, in good faith, is equitably required in order to prevent dilution or enlargement of the rights of participants that otherwise would result from (a) any extraordinary cash dividend, stock dividend, stock split, combination of shares, recapitalization or other change in the capital structure of Innventure; (b) any merger, consolidation, spin-off, spin-out, split-off, split-up, reorganization, partial or complete liquidation or other distribution of assets, issuance of rights or warrants to purchase securities; or (c) any other corporate transaction or event having an effect similar to any of the foregoing.</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of any such transaction or event, or in the event of a change in control of Innventure, the Committee may provide in substitution for any or all outstanding awards under the Equity Plan such alternative consideration (including cash), if any, as it may in good faith determine to be equitable under the circumstances and will require in connection therewith the surrender of all awards so replaced in a manner that complies with Section 409A of the Code. In addition, for each stock option or SAR with an exercise price or base price, respectively, greater than the consideration offered in connection with any such transaction or event or change in control of Innventure, the Committee may in its discretion elect to cancel such stock option or SAR without any payment to the person holding such stock option or SAR. The Committee will make or provide for such adjustments to the numbers of shares of Common Stock available under the Equity Plan and the share limits of the Equity Plan as the Committee in its sole discretion, determines, in good faith, is appropriate to reflect such transaction or event. Any adjustment to the limit on the number of shares of Common Stock that may be issued upon exercise of incentive stock options, however, will be made only if and to the extent such adjustment would not cause any stock option intended to qualify as an incentive stock option to fail to so qualify.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on Repricing</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in connection with certain corporate transactions or changes in the capital structure of Innventure or in connection with a change in control, the terms of outstanding awards may not be amended to (1) reduce the exercise price or base price of outstanding stock options or SARs, respectively, or (2) cancel outstanding “underwater” stock options or SARs in exchange for cash, other awards or stock options or SARs with an exercise price or base price, as applicable, that is less than the exercise price or base price of the original stock options or SARs, as applicable, without stockholder approval. These restrictions are intended to prohibit the repricing of “underwater” stock options and SARs and they may not be amended without approval by Innventure’s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and Recoupment Provisions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Evidence of Award may provide for the cancellation or forfeiture of an award or forfeiture and repayment to Innventure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or (b) any applicable laws that impose mandatory clawback or recoupment requirements under the circumstances set forth in such laws, including as required by the Sarbanes-Oxley Act of 2002, the Dodd-Frank Wall Street Reform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20"/>
          </w:cols>
          <w:pgMar w:left="320" w:top="1440" w:right="359" w:bottom="1440" w:gutter="0" w:footer="0" w:header="0"/>
        </w:sectPr>
      </w:pPr>
    </w:p>
    <w:bookmarkStart w:id="98" w:name="page99"/>
    <w:bookmarkEnd w:id="98"/>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Consumer Protection Act, or other applicable laws, rules, regulations, or stock exchange listing standards, as may be in effect from time to time, and which may operate to create additional rights for the Company with respect to awards and the recovery of amounts relating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Participants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facilitate the making of any grant or combination of grants under the Equity Plan, the Committee may provide for such special terms for awards to participants who are foreign nationals or who are employed by Innventure or its subsidiary outside of the United States of America or who provide services to Innventure or its subsidiary under an agreement with a foreign nation or agency, as the Committee may consider necessary or appropriate to accommodate differences in local law, tax policy or custom. The Committee may approve such supplements to, or amendments, restatements or alternative versions of, the Equity Plan (including sub-plans) (to be considered part of the Equity Plan) as it may consider necessary or appropriate for such purposes, provided that no such special terms, supplements, amendments or restatements will include any provisions that are inconsistent with the terms of the Equity Plan as then in effect unless the Equity Plan could have been amended to eliminate such inconsistency without further approval by Innventure’s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the extent Innventure is required to withhold federal, state, local or foreign taxes or other amounts in connection with any payment made or benefit realized by a participant or other person under the Equity Plan, and the amounts available to Innventure for such withholding are insufficient, it will be a condition to the receipt of such payment or the realization of such benefit that the participant or such other person make arrangements satisfactory to Innventure for payment of the balance of such taxes or other amounts required to be withheld, which arrangements, in the discretion of the Committee, may include relinquishment of a portion of such benefit. When a participant is required to pay Innventure an amount required to be withheld under applicable income, employment, tax or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Innventure other shares of Common Stock held by such participant. The Common Stock used for tax or other withholding will be valued at an amount equal to the fair market value of such Common Stock on the date the benefit is to be included in the participant’s income. In no event will the fair market value of the Common Stock to be withheld and delivered pursuant to the Equity Plan exceed the minimum amount required to be withheld, unless (1) an additional amount can be withheld and not result in adverse accounting consequences, and (2) such additional withholding amount is authorized by the Committee. Participants will also make such arrangements as Innventure may require for the payment of any withholding tax or other obligation that may arise in connection with the disposition of Common Stock acquired upon the exercise of stock options.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Equity Plan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Board generally may amend the Equity Plan from time to time in whole or in part. If any amendment, however, for purposes of applicable stock exchange rules (and except as permitted under the adjustment provisions of the Equity Plan) (1) would materially increase the benefits accruing to participants under the Equity Plan, (2) would materially increase the number of securities which may be issued under the Equity Plan, (3) would materially modify the requirements for participation in the Equity Plan or (4) must otherwise be approved by Innventure’s stockholders in order to comply with applicable law or applicable stock exchange rules, all as determined by the Board, then such amendment will be subject to stockholder approval and will not be effective unless and until such approval has been obtained.</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 subject to the Equity Plan’s prohibition on repricing, the Committee generally may amend the terms of any award prospectively or retroactively. Except in the case of certain adjustments permitted under the Equity Plan, no such amendment may be made that would materially impair the rights of any participant without his or her consent. If permitted by Section 409A of the Code, but subject to the subject to the preceding sentence, including in the case of termination of employment or service, or in the case of unforeseeable emergency or other circumstances or in the event of a change in control, the Committee may provide for continued vesting or accelerate the timing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vesting or exercisability or the time at which the substantial risk of forfeiture or prohibition or restriction on transfer will lapse or the time when the period of restriction will end, or the time at which cash incentive awards, performance shares or performance units will be deemed to have been earned or the time when a transfer restriction will terminate, in each case as applicable to certain awards granted under the Equity Plan, or waive any other limitation or requirement under any such award.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may, in its discretion, terminate the Equity Plan at any time. Termination of the Equity Plan will not affect the rights of participants or their successors under any awards outstanding and not exercised in full on the date of termination. No grant will be made under the Equity Plan on or after the tenth anniversary of the effective date of the Equity Plan, but all grants made prior to such date will continue in effect thereafter subject to their terms and the terms of the Equity Plan.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Conversion Awards and Assumed Plans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Common Stock (1) subject to awards granted under the Equity Plan in substitution for or conversion of, or in connection with an assumption of, stock options, SARs, restricted stock, RSUs, or other stock or stock-based awards held by awardees of an entity engaging in a corporate acquisition or merger transaction with Innventure or any of its subsidiaries or (2) available for issuance under a previously-approved plan sponsored by a company that is acquired by, or merges with, Innventure or any of its subsidiaries, and which then become available for issuance of awards under the Equity Plan, will not count against (or be added to) the aggregate Share Limit or other Equity Plan limits described above, except as otherwise provided in the Equity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2023 Fiscal Year-End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2023.</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40" w:type="dxa"/>
            <w:vAlign w:val="bottom"/>
            <w:vMerge w:val="restart"/>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30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tcPr>
          <w:p>
            <w:pPr>
              <w:jc w:val="center"/>
              <w:ind w:left="408"/>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08"/>
              <w:spacing w:after="0" w:line="146"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900" w:type="dxa"/>
            <w:vAlign w:val="bottom"/>
          </w:tcPr>
          <w:p>
            <w:pPr>
              <w:jc w:val="center"/>
              <w:ind w:left="408"/>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4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vMerge w:val="restart"/>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90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40" w:type="dxa"/>
            <w:vAlign w:val="bottom"/>
          </w:tcPr>
          <w:p>
            <w:pPr>
              <w:jc w:val="center"/>
              <w:ind w:right="388"/>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vMerge w:val="continue"/>
          </w:tcPr>
          <w:p>
            <w:pPr>
              <w:spacing w:after="0"/>
              <w:rPr>
                <w:sz w:val="11"/>
                <w:szCs w:val="11"/>
                <w:color w:val="auto"/>
              </w:rPr>
            </w:pP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tcPr>
          <w:p>
            <w:pPr>
              <w:jc w:val="center"/>
              <w:ind w:left="308"/>
              <w:spacing w:after="0" w:line="137"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900" w:type="dxa"/>
            <w:vAlign w:val="bottom"/>
          </w:tcPr>
          <w:p>
            <w:pPr>
              <w:jc w:val="center"/>
              <w:ind w:left="388"/>
              <w:spacing w:after="0" w:line="137"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4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0" w:type="dxa"/>
            <w:vAlign w:val="bottom"/>
            <w:gridSpan w:val="2"/>
            <w:vMerge w:val="continue"/>
          </w:tcPr>
          <w:p>
            <w:pPr>
              <w:spacing w:after="0"/>
              <w:rPr>
                <w:sz w:val="12"/>
                <w:szCs w:val="12"/>
                <w:color w:val="auto"/>
              </w:rPr>
            </w:pPr>
          </w:p>
        </w:tc>
        <w:tc>
          <w:tcPr>
            <w:tcW w:w="106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900" w:type="dxa"/>
            <w:vAlign w:val="bottom"/>
          </w:tcPr>
          <w:p>
            <w:pPr>
              <w:jc w:val="center"/>
              <w:ind w:left="388"/>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4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0" w:type="dxa"/>
            <w:vAlign w:val="bottom"/>
          </w:tcPr>
          <w:p>
            <w:pPr>
              <w:jc w:val="center"/>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900" w:type="dxa"/>
            <w:vAlign w:val="bottom"/>
          </w:tcPr>
          <w:p>
            <w:pPr>
              <w:jc w:val="center"/>
              <w:ind w:left="40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40" w:type="dxa"/>
            <w:vAlign w:val="bottom"/>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Pr>
          <w:p>
            <w:pPr>
              <w:jc w:val="center"/>
              <w:ind w:left="308"/>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900" w:type="dxa"/>
            <w:vAlign w:val="bottom"/>
          </w:tcPr>
          <w:p>
            <w:pPr>
              <w:jc w:val="center"/>
              <w:ind w:left="388"/>
              <w:spacing w:after="0" w:line="202" w:lineRule="exact"/>
              <w:rPr>
                <w:sz w:val="20"/>
                <w:szCs w:val="20"/>
                <w:color w:val="auto"/>
              </w:rPr>
            </w:pPr>
            <w:r>
              <w:rPr>
                <w:rFonts w:ascii="Times New Roman" w:cs="Times New Roman" w:eastAsia="Times New Roman" w:hAnsi="Times New Roman"/>
                <w:sz w:val="14"/>
                <w:szCs w:val="14"/>
                <w:b w:val="1"/>
                <w:bCs w:val="1"/>
                <w:color w:val="auto"/>
                <w:w w:val="96"/>
              </w:rPr>
              <w:t>Vested ($)</w:t>
            </w:r>
            <w:r>
              <w:rPr>
                <w:rFonts w:ascii="Times New Roman" w:cs="Times New Roman" w:eastAsia="Times New Roman" w:hAnsi="Times New Roman"/>
                <w:sz w:val="18"/>
                <w:szCs w:val="18"/>
                <w:b w:val="1"/>
                <w:bCs w:val="1"/>
                <w:color w:val="auto"/>
                <w:w w:val="96"/>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Gregory W. (Bill) Haskell</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Roland Austrup</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8,789</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55,703</w:t>
            </w:r>
          </w:p>
        </w:tc>
      </w:tr>
      <w:tr>
        <w:trPr>
          <w:trHeight w:val="306"/>
        </w:trPr>
        <w:tc>
          <w:tcPr>
            <w:tcW w:w="2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r>
      <w:tr>
        <w:trPr>
          <w:trHeight w:val="112"/>
        </w:trPr>
        <w:tc>
          <w:tcPr>
            <w:tcW w:w="2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r>
      <w:tr>
        <w:trPr>
          <w:trHeight w:val="230"/>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Mike Otworth</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Dr. John Scott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48,875</w:t>
            </w:r>
            <w:r>
              <w:rPr>
                <w:rFonts w:ascii="Times New Roman" w:cs="Times New Roman" w:eastAsia="Times New Roman" w:hAnsi="Times New Roman"/>
                <w:sz w:val="23"/>
                <w:szCs w:val="23"/>
                <w:color w:val="auto"/>
                <w:vertAlign w:val="superscript"/>
              </w:rPr>
              <w:t>(4)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540" w:hanging="332"/>
        <w:spacing w:after="0" w:line="259"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treatment of the NEOs’ Incentive Units in the Business Combination, see “Severance and Change in Control Compensation - Treatment of Incentive Units in Business Combination” below.</w:t>
      </w:r>
    </w:p>
    <w:p>
      <w:pPr>
        <w:ind w:left="340" w:right="100" w:hanging="332"/>
        <w:spacing w:after="0" w:line="256"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7, 2022, Innventure granted to Mr. Austrup 16,875 Innventure Incentive Units, with an Innventure Distribution Threshold of $2.2973. One-quarter of such Innventure Incentive Units vested on January 7, 2023 and the remaining three-fourths of such Innventure Incentive Units were scheduled to vest monthly in substantially equal installments over the following three years. However, as noted below, any unvested Innventure Incentive Units held by the NEOs at the time of the Business Combination vested in full and were cancelled in exchange for shares of Common Stock.</w:t>
      </w:r>
    </w:p>
    <w:p>
      <w:pPr>
        <w:spacing w:after="0" w:line="1" w:lineRule="exact"/>
        <w:rPr>
          <w:rFonts w:ascii="Times New Roman" w:cs="Times New Roman" w:eastAsia="Times New Roman" w:hAnsi="Times New Roman"/>
          <w:sz w:val="14"/>
          <w:szCs w:val="14"/>
          <w:color w:val="auto"/>
        </w:rPr>
      </w:pPr>
    </w:p>
    <w:p>
      <w:pPr>
        <w:ind w:left="340" w:right="140" w:hanging="332"/>
        <w:spacing w:after="0" w:line="261"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6, 2022, Accelsius Holdings, LLC granted to Mr. Austrup 270,000 Accelsius Incentive Units, with an Accelsius Distribution Threshold of $0.00. 50% of such Accelsius Incentive Units vested twelve months after the date of grant, and the remainder of the Accelsius Incentive Units vest in four substantially equal quarterly installments thereafter.</w:t>
      </w:r>
    </w:p>
    <w:p>
      <w:pPr>
        <w:ind w:left="340" w:right="100" w:hanging="332"/>
        <w:spacing w:after="0" w:line="254"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2022, Accelsius Holdings, LLC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w:t>
      </w:r>
    </w:p>
    <w:p>
      <w:pPr>
        <w:ind w:left="340" w:right="60" w:hanging="332"/>
        <w:spacing w:after="0" w:line="270" w:lineRule="auto"/>
        <w:tabs>
          <w:tab w:leader="none" w:pos="33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Innventure and Accelsius Holdings, LLC were not publicly traded during 2023, the amounts in this column represent the estimated market value of the unvested Incentive Units held by each of the NEOs as of December 31, 2023, as more fully described above under the heading “2023 Equity-Based Compensation,” based on (a) with respect to Innventure Incentive Units, a valuation conducted by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LLC using a probability weighted expected return model on a nonmarketable basis, and (b) with respect to Accelsius Incentive Units, an external valuation dated as of September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Qualified Retirement Plan</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Employees of Innventure Management Services, LLC, AeroFlexx, and Accelsius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offer a defined benefit pension plan or nonqualified deferred compensation plan for its NEOs during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Under NEO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Bonus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entered into a verbal agreement with Mr. Haskell to pay Mr. Haskell a cash bonus of up to $2,500,000 (with the final amount to be determined by the Board), upon the successful consummation of the Business Combination, which had not yet been paid as of October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Units Upon a Termination of Employment or Engagement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respect to Innventure Incentive Units (other than Converted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 granted), such vested Incentive Units may be repurchased (or could have been repurchased) for their fair market value.</w:t>
      </w:r>
    </w:p>
    <w:p>
      <w:pPr>
        <w:spacing w:after="0" w:line="13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With respect to Converted Innventure Incentive Units, if Mr. Austrup’s engagement had been terminated, then Innventure could have repurchased Mr. Austrup’s vested Converted Incentive Units for fair market value (as defined in the award agreement pursuant to which such Converted Innventure Incentive Units were granted).</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described below, Innventure Incentive Units held by the NEOs vested (to the extent unvested) at the time of the Business Combination and were cancelled in exchange for shares of Common Stock.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AeroFlexx Incentive Units, if an NEO’s employment is terminated, then AeroFlexx may redeem such NEO’s vested AeroFlexx Incentive Units for their fair market value (as defined in the applicable award agreements pursuant to which AeroFlexx Incentive Units are granted), except that if the termination is by AeroFlexx for cause (as defined in the applicable award agreements pursuant to which AeroFlexx Incentive Units are granted), such vested and unvested AeroFlexx Incentive Units will be automatically forfeited for no consideration.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Incentive Units Upon a Termination of Employment or Engagement</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i w:val="1"/>
          <w:iCs w:val="1"/>
          <w:color w:val="auto"/>
        </w:rPr>
        <w:t>Innventure</w:t>
      </w:r>
      <w:r>
        <w:rPr>
          <w:rFonts w:ascii="Times New Roman" w:cs="Times New Roman" w:eastAsia="Times New Roman" w:hAnsi="Times New Roman"/>
          <w:sz w:val="18"/>
          <w:szCs w:val="18"/>
          <w:color w:val="auto"/>
        </w:rPr>
        <w:t>: At the time of the Business Combination, unvested Innventure Incentive Units held by the NEOs vested in full and were canceled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shares of Common Stock.</w:t>
      </w:r>
    </w:p>
    <w:p>
      <w:pPr>
        <w:spacing w:after="0" w:line="10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the time of the Business Combination, the NEOs held the following Innventure Incentive Units: Mr. Haskell, 430,000 with an Innventure Distribution Threshold of $2.2973; and Mr. Austrup, 16,875 with an Innventure Distribution Threshold of $2.2973. Also as of such date, Mr. Austrup held 453,125 Converted Innventure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Units with a distribution threshold of $0.1437. At the time of the Business Combination, these Innventure Incentive Units and Converted Innventure Incentive Units were exchanged for shares of common stock of Innventure. In accordance with the applicable allocation schedule pursuant to the Business Combination Agreement, the NEOs received the following numbers of shares of Common Stock with respect to their Innventure Incentive Units and (for Mr. Austrup) Converted Innventure Incentive Units: Mr. Haskell, 705,655; and Mr. Austrup, 812,482.</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Accelsius and AeroFlexx</w:t>
      </w:r>
      <w:r>
        <w:rPr>
          <w:rFonts w:ascii="Times New Roman" w:cs="Times New Roman" w:eastAsia="Times New Roman" w:hAnsi="Times New Roman"/>
          <w:sz w:val="18"/>
          <w:szCs w:val="18"/>
          <w:color w:val="auto"/>
        </w:rPr>
        <w:t>: At the time of the Business Combination, unvested Accelsius Incentive Units and unvested AeroFlexx Incentive Units held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NEOs remained outstanding in accordance with the terms of the award agreements pursuant to which such Accelsius Incentive Units or AeroFlexx Incentive Units were granted.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Accelsius Incentive Units and AeroFlexx Incentive Units upon a Change in Control</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With respect to AeroFlexx Incentive Units and Accelsius Incentive Units, if AeroFlexx or Accelsius, respectively, experiences a change in control (as defined in the applicable award agreement pursuant to which the Incentive Units were granted), 100% of such AeroFlexx Incentive Units or Accelsius Incentive Units, as applicable, to the extent not yet vested, will 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LLC Director Compensation</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Mike Otworth, Gregory W. (Bill) Haskell, Mike Balkin, Greg Wasson, Rick Brenner and Jim Donnally served on the Innventure LLC board of directors during 2023. Innventure LLC did not have standard compensation arrangements for its directors during 2023, and none of the members of the Innventure LLC board of directors received cash, equity or other non-equity compensation specifically for service in their capacity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1440" w:right="459" w:bottom="1440" w:gutter="0" w:footer="0" w:header="0"/>
        </w:sectPr>
      </w:pPr>
    </w:p>
    <w:bookmarkStart w:id="102" w:name="page103"/>
    <w:bookmarkEnd w:id="10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2021 and each currently proposed transaction in which Innventure LLC, Innventure or the Innventure Companies has been or is to be a participant and:</w:t>
      </w:r>
    </w:p>
    <w:p>
      <w:pPr>
        <w:spacing w:after="0" w:line="108"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ind w:right="34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Holdings, Innventus ESG Fund I, L.P., and Innventure1, LLC </w:t>
      </w:r>
      <w:r>
        <w:rPr>
          <w:rFonts w:ascii="Times New Roman" w:cs="Times New Roman" w:eastAsia="Times New Roman" w:hAnsi="Times New Roman"/>
          <w:sz w:val="18"/>
          <w:szCs w:val="18"/>
          <w:b w:val="1"/>
          <w:bCs w:val="1"/>
          <w:i w:val="1"/>
          <w:iCs w:val="1"/>
          <w:color w:val="auto"/>
        </w:rPr>
        <w:t>Management Services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Innventure Management Services, LLC (“Management Services”), a wholly owned subsidiary of Innventure LLC, Innventure GP LLC (“Innventure GP”) and the ESG Fund, Innventure earns management fees for providing administrative, finance and accounting services and other back-office functions for the ESG Fund. For the six months ended June 30, 2024, the ESG Fund paid $0.39 million for these management services. As of June 30, 2024, the ESG Fund owed to Management Services approximately $0 million. For the years ended December 31, 2023, 2022 and 2021, the ESG Fund paid $0.8 million, $0.8 million, and $1.9 million respectively, for these management services. As of December 31, 2023, 2022 and 2021, the ESG Fund owed to Management Services approximately $0 million, $0 million and $0.2 million, respectively.</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$0.8 million, for a total of $0 million reimbursed during the six months ended June 30, 2024 and for a total of $0 million, $0 million and $0 million of costs reimbursed in each of the fiscal years ended December 31, 2023, 2022,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12, 2021, Innventure LLC entered into a purchase option agreement with the ESG Fund (then known as Innventus Fund I, L.P.), pursuant to which the ESG Fund agreed to forfeit previously issued warrants to purchase Class B-1 preferred units (as defined below)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31, 2020, in connection with a senior secured promissory note, Innventure LLC (then known as We-Innventure LLC) borrowed approximately $2.3 million from G&amp;K Investment Holdings LLC (“G&amp;K Holdings”). G&amp;K Holdings is affiliated with WE-INN, LLC (“WE-INN”), which is the holder of all of the outstanding Class I Units of Innventure LLC. G&amp;K Holdings is also affiliated with Greg Wasson, a member of the Innventure LLC board of directors. The promissory note incurred interest at a rate of 12% per year and was scheduled to mature on March 31, 2021. Innventure LLC repaid the note in full in January 2021. Until paid in full, the total interest paid on the promissory note was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14, 2020, Innventure LLC authorized the issuance and sale of unsecured promissory notes from time to time in an amount up to $5.0 million (the “Series 2 Notes”). The Series 2 Notes incurred interest at a rate of 15% per year, with interest paid monthly, and matured one year from their date of issuance. An entity affiliated with Roland Austrup, Innventure LLC’s Chief Growth Officer, purchased $0.5 million of the Series 2 Notes. The Series 2 Notes were repaid in full in April 2022. Until paid in full, the total interest paid to the entity affiliated with Mr. Austrup pursuant to the Series 2 Notes was $98,750.</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 million through a series of informal intercompany loans. Since January 1, 2024, Innventure has informally loaned AeroFlexx an additional $5 million. The loans were expected to be repaid in full by June 2024 and bear no interest and, instead, were included in the AeroFlexx Loan Agreement (as defined and described below).</w:t>
      </w:r>
    </w:p>
    <w:p>
      <w:pPr>
        <w:spacing w:after="0" w:line="1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 million from time to time until the Maturity Date (as defined in the AeroFlexx Loan Agreement). Additionally, the aggregate principal amount of $7.6 million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 million. The Term Loans covered by the AeroFlexx Loan Agreement will be guaranteed by AeroFlexx Packaging and will incur interest at the annual applicable federal rate published by the Internal Revenue Service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Additionally, by January 1, 2025, if AeroFlexx has not raised $7.3 million in equity financing, then a portion of the principal amount of the then-outstanding Term Loans and any unpaid accrued interest thereon (as calculated per the AeroFlexx Loan Agreement), will be converted into AeroFlexx Class D preferred units on the terms set forth in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and the current amount outstanding is $10 million and no interest or principal has been paid on the Term Loans. Subsequent to the date on which the $10.0 million cap on the AeroFlexx Loan Agreement was achieved, Innventure has also informally loaned an additional $135,000 to AeroFlexx.</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 million in term loans to Accelsius, with a minimum loan of $10,000 per term loan. On December 13, 2023, the loan and security agreement was amended to increase the aggregate amount available to be loaned to Accelsius to $12.0 million.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Internal Revenue Service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$7.5 million in the aggregate, of which $3.1 million of principal has been repaid and $0.1 million of interest has been repaid. As of June 30, 2024, approximately $4.6 million was outstanding, including $0.2 million of accrued interest. As described elsewhere in this prospectus, all intercompany transactions and balances have been eliminated in consolidation, including those related to this loan and security agreement with Accelsius.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21, 2023, Mike Otworth, Innventure LLC 's Executive Chairman, loaned the company approximately $1.0 million for working capital purposes. The Company issued a note payable representing that loan in the amount of $1.0 million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which provides that the indebtedness has no stated interest and matures on December 21, 2024. Per the executed agreement, on the maturity date, the company is required to repay the outstanding principal amount of the related party note and a loan fee equal to $63,100. If the Company fails to pay any amount due under the related party note on the maturity date thereof, interest will accrued on the amount outstanding at a rate of eight percent (8%) per annum from the maturity date. No amounts have yet been paid under this arrangement.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Involving Innventure1</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12, 2022, Innventure1, the majority member of Innventure LLC, exchanged 500,000 shares of PCT’s common stock for 342,608 Class B-1 preferred units of Innventure LLC (“Class B-1 Preferred Units”). The approximate fair value of the Class B-1 Preferred Units exchanged by Innventure1 at the time of the exchange was approximately $3.3 million, based on the average ending exchange rate of PCT’s common stock over a 3-day period from April to May 2022. Upon the release of certain contractual lock-up restrictions, Innventure1 will also exchange an additional 500,000 shares of PCT’s common stock for an indeterminate number of Class B-1 Preferred Units based on the fair value of the shares of PCT’s common stock to be exchanged for such Class B-1 Preferred Units. Following discussions to place Innventure1 in, as closely as possible, the same economic position following the Business Combination, the parties terminated this arrangement in connection with the Closing.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LLC and converted this note in the amount of $0.5 million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2022, Innventure1 assigned its ownership interest in the shares of PCT common stock held by Innventure LLC to third-party investors. Innventure LLC recorded a liability of $0.1 million to account for the contractual obligation to deliver the shares of PCT common stock to those third-party investors, who are related parties of Innventure1 and are considered related parties of Innventure LLC. Distributions of PCT common stock were made to the third-party investors in 2022 for a total of approximately $0.03 million, which was subsequently revalued as of December 31, 2022 to $0.09 million and to $0.05 million as of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Fund Obligations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3, 2021, June 30, 2022 and May 24, 2023, Innventure LLC and WE-INN paid to the ESG Fund its capital call obligation of approximately $0.6 million, $0.2 million and $0.1 million, respectively. Concurrently therewith, Innventure LLC also received distributions in June 2021 and March 2022 of approximately $1.2 million and $1.7 million from the ESG Fund, respectively, and substantially concurrently distributed the full amount to WE-INN who is the holder of all the Innventure LLC Class I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B-1 Unit Purchase Agreement</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agreements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Mr. Scott and Mr. Otworth’s contractual restrictions under lock-up agreements entered into between Mr. Scott and Mr. Otworth and PCT. The Purchasers agreed to purchase such Class B-1 Preferred Units at a price of $9.6992 per unit (based on a weighted average of the closing price on the NASDAQ Global Market of PCT’s common stock during the 30-day period ending on the date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which the exchange closed, multiplied by 0.8) in exchange for contributing certain shares of PCT’s common stock to Innventure LLC, with the aggregate purchase price of the Class B-1 Preferred Units totaling approximately $1.7 million and $2.5 million, respectively. Following discussions to place the Purchasers in, as closely as possible, the same economic position following the Business Combination, the parties terminated this arrangement in connection with the Closing.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 million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June 30, 2024, approximately $2.7 million was outstanding under the Loan Agreement. Since the date of the Loan Agreement, $0 million of principal has been paid, $0.2 million of interest has been paid, and the largest amount of principal outstanding was $2.8 million.</w:t>
      </w:r>
    </w:p>
    <w:p>
      <w:pPr>
        <w:spacing w:after="0" w:line="13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w:t>
      </w:r>
    </w:p>
    <w:p>
      <w:pPr>
        <w:spacing w:after="0" w:line="1" w:lineRule="exact"/>
        <w:rPr>
          <w:sz w:val="20"/>
          <w:szCs w:val="20"/>
          <w:color w:val="auto"/>
        </w:rPr>
      </w:pPr>
    </w:p>
    <w:p>
      <w:pPr>
        <w:ind w:right="480" w:firstLine="8"/>
        <w:spacing w:after="0" w:line="255"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132" w:lineRule="exact"/>
        <w:rPr>
          <w:sz w:val="20"/>
          <w:szCs w:val="20"/>
          <w:color w:val="auto"/>
        </w:rPr>
      </w:pPr>
    </w:p>
    <w:p>
      <w:pPr>
        <w:ind w:right="1360"/>
        <w:spacing w:after="0" w:line="438" w:lineRule="auto"/>
        <w:rPr>
          <w:sz w:val="20"/>
          <w:szCs w:val="20"/>
          <w:color w:val="auto"/>
        </w:rPr>
      </w:pPr>
      <w:r>
        <w:rPr>
          <w:rFonts w:ascii="Times New Roman" w:cs="Times New Roman" w:eastAsia="Times New Roman" w:hAnsi="Times New Roman"/>
          <w:sz w:val="18"/>
          <w:szCs w:val="18"/>
          <w:color w:val="auto"/>
        </w:rPr>
        <w:t xml:space="preserve">James Donnally, a member of the Board, also serves as a director of Auto Now Acceptance Company, the parent company of Auto Now. </w:t>
      </w:r>
      <w:r>
        <w:rPr>
          <w:rFonts w:ascii="Times New Roman" w:cs="Times New Roman" w:eastAsia="Times New Roman" w:hAnsi="Times New Roman"/>
          <w:sz w:val="18"/>
          <w:szCs w:val="18"/>
          <w:b w:val="1"/>
          <w:bCs w:val="1"/>
          <w:i w:val="1"/>
          <w:iCs w:val="1"/>
          <w:color w:val="auto"/>
        </w:rPr>
        <w:t>Convertible Notes</w:t>
      </w:r>
    </w:p>
    <w:p>
      <w:pPr>
        <w:spacing w:after="0" w:line="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April 9, 2019, AeroFlexx entered into an amended and restated secured convertible promissory note and warrant purchase agreement (the “2019 AeroFlexx Promissory Note”) with the ESG Fund, pursuant to which the ESG Fund loaned AeroFlexx $0.5 million and issued to the ESG Fund a warrant to purchase equity securities of AeroFlexx in connection with a future equity offering by AeroFlexx. The 2019 AeroFlexx Promissory Note incurred interest at a rate of 6% per year and was secured by certain assets of AeroFlexx. The 2019 AeroFlexx Promissory Note matured on April 9, 2021 and was repaid in full. Since the date of the 2019 AeroFlexx Promissory Note, the largest aggregate amount of principal amount outstanding was $5 million.</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3, 2021, AeroFlexx and the ESG Fund entered into a secured convertible promissory note and warrant purchase agreement (the “2021 AeroFlexx Promissory Note”), pursuant to which AeroFlexx agreed to issue up to $3.0 million in convertible notes to the ESG Fund, $1.5 million of which has been issued. The 2021 AeroFlexx Promissory Note incurs interest at a rate of 6% per year and was secured by certain assets of AeroFlexx. The 2021 AeroFlexx Promissory Note matures on June 3, 2023. Since the date of the 2021 AeroFlexx Promissory Note, the largest aggregate amount of principal amount outstanding was $1.5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4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July 31, 2021, AeroFlexx entered into an amended and restated secured convertible promissory note and warrant purchase agreement (the “A&amp;R AeroFlexx Promissory Note”) with the ESG Fund and certain other purchasers, pursuant to which approximately $3.1 million of convertible notes were issued (including $1.5 million of convertible notes issued to the ESG Fund) and AeroFlexx issued to the ESG Fund and the other purchasers warrants to purchase equity securities of AeroFlexx. The A&amp;R AeroFlexx Promissory Note amends and restates the 2021 AeroFlexx Promissory Note and the convertible notes issued to the ESG Fund, and increases the aggregate principal amount of notes available to be issued under the A&amp;R AeroFlexx Promissory Note to $3.1 million. The A&amp;R AeroFlexx Promissory Note was converted into AeroFlexx equity in 2021. Since the date of the A&amp;R AeroFlexx Promissory Note, the largest aggregate amount of principal amount outstanding was $1.5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Advancement of Expenses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PCT. These advances are typically made on a month-to-month basis, meaning that they are incurred one month and repaid the following month. As of June 30, 2024 most of the respective advances have been fully reimbursed. The following table details the aggregate amount advanced to each company (in excess of $120,000) for the six months ended June 30, 2024 and per year since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Accelsius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1,310,381.00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301,294.00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154,465.14</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ESG Fund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188,043.00</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PCT</w:t>
            </w:r>
          </w:p>
        </w:tc>
        <w:tc>
          <w:tcPr>
            <w:tcW w:w="1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149,214.96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18, 2022, pursuant to note purchase agreement (the “Series I Note Purchase Agreement”), by and among Accelsius, the ESG Fund and the other parties thereto, Accelsius issued a convertible promissory note to the ESG Fund in an aggregate principal amount of $4.0 million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 million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2022 was approximately $0.1 million. As of December 31, 2023, the total amount of interest accrued and due to the ESG Fund in 2023 was approximately $0.5 million.</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 million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Units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December 2022, the ESG Fund purchased an aggregate of 71,136 of Accelsius’ Class A Units at a purchase price of $4.393 per unit, for an aggregate purchase price of approximately $0.3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2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$0.1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Related to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 Support Agreement</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Innventure Members entered into a member support agreement (the “Member Support Agreement”) with Learn CW, Innventure LLC, and Innventure, pursuant to which such Innventure Members agreed to, among other things, (i) vote in favor of the Business Combination Agreement and the transactions contemplated thereby, (ii) be subject to a 180-day lock-up period following the Closing with respect to any shares of Common Stock received as consideration in the Transaction and (iii) be bound by certain other covenants and agreements related to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at the Closing, Innventure and certain Founding Investors entered into the Investor Rights Agreement. See “</w:t>
      </w:r>
      <w:r>
        <w:rPr>
          <w:rFonts w:ascii="Times New Roman" w:cs="Times New Roman" w:eastAsia="Times New Roman" w:hAnsi="Times New Roman"/>
          <w:sz w:val="18"/>
          <w:szCs w:val="18"/>
          <w:i w:val="1"/>
          <w:iCs w:val="1"/>
          <w:color w:val="auto"/>
        </w:rPr>
        <w:t>Management—Investor Rights Agreement</w:t>
      </w:r>
      <w:r>
        <w:rPr>
          <w:rFonts w:ascii="Times New Roman" w:cs="Times New Roman" w:eastAsia="Times New Roman" w:hAnsi="Times New Roman"/>
          <w:sz w:val="18"/>
          <w:szCs w:val="18"/>
          <w:color w:val="auto"/>
        </w:rPr>
        <w:t>”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 PCT Stock with Related Parties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2022, Innventure LLC distributed shares of PCT's common stock to the holders of Class PCTA Units, along with other individuals as agreed-upon and directed by Innventure1, once such shares were no longer subject to a contractual lock-up. Each distribution was considered a redemption of the owners’ interest in Class PCTA Units and Innventure LLC recorded a $14.0 million realized gain for the year ended December 31, 2022 as a result of this transaction. No such shares of PCT's common stock were distributed by Innventure LLC during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Family 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Scott earned $216,000, $240,599, and $194,399 for the three years ended December 31, 2023, 2022 and 2021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Aircraft Time Sharing Agreements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Innventure LLC has made no such reimbursements as of the date of this filing. Mr. Otworth was the Executive Chairman of Innventure and is now Innventure’s Executive Chairman. Dr. Scott was the Chief Strategy Officer of Innventure LLC and is now Innventure's Chief Strategy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20, 2024, pursuant to the Glockner Bridge Note, Innventure LLC borrowed $10.0 million from the Glockner Lender, a Florida limited partnership affiliated with Glockner Enterprises, as bridge financing until the Closing of the Transactions. The outstanding principal amount and loan fee are due upon the later of October 15, 2024 and the first business day following Closing. The Glockner Bridge Note carries a loan fee of $1.0 million and does not bear interest except during an event of default. Pursuant to the Glockner Bridge Note, advances under the note shall be made in multiple installments as follows: (i) $3.0 million on August 20, 2024 (and was received on August 20, 2024), (ii) $3.0 million on August 27, 2024 (and was received on August 27, 2024) and (iii) $4.0 million on September 3, 2024 (and was received on September 3, 2024). Amounts that are borrowed and repaid may not be re-borrowed. Glockner Enterprises is affiliated with persons or entities that collectively own greater than 10% of Innventure’s Class B-1 Preferred Units. James Donnally was a director of Innventure LLC and is now a director of Innventure, is the Managing Member of Bellringer Consulting Group, LLC, the General Partner of the Glockner Lender, and previously served as the Vice President and Chief Financial Officer of Glockner Enterprises from 1996 to 2023.</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 million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Family Venture Fund amended and restated the Glockner Bridge Note (as amended, the “A&amp;R Glockner Bridge Note”). The A&amp;R Glockner Bridge Note was issued in the principal amount of $10,000,000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Family Venture Fund $1.0 million as a loan fee, which has not yet been repaid. As described above, Mr. Donnally serves as the managing member of the Glockner Family Venture Fund’s general partner, Bellringer Consulting Group LLC. As of the date hereof, no amounts have been repaid under the A&amp;R Glockner Bridge Note.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 million under the Scott Bridge Note, which has not yet been repaid. As of the date hereof, no amounts have been repaid under the A&amp;R Scott Bridge Note.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the registration statement of which this prospectus is a part. The indemnification agreements require Innventure to indemnify its directors and executive officers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persons. Such policy requires, among other things, that:</w:t>
      </w:r>
    </w:p>
    <w:p>
      <w:pPr>
        <w:spacing w:after="0" w:line="108"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person transactions;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person transaction, the audit committee will take into account, among other factors that it deems appropriate, whether the related person transaction is on terms no less favorable to Innventure than terms generally available in a transaction with an unaffiliated third-party under the same or similar circumstances and the extent of the related person’s interest in the transaction;</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person transaction, Innventure shall provide the audit committee with all material information regarding such related person transaction, the interest of the related person and any potential disclosure obligations of Innventure in connection with such related person transaction; and</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person transaction will be ongoing, the audit committee may establish guidelines for Innventure’s management to follow in its ongoing dealings with the related person.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related party transaction policy will provide that the audit committee, in connection with any approval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any exchange on which Innventure’s securities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Your rights as stockholders are governed by Delaware law and our A&amp;R Certificate of Incorporation and Bylaws. We urge you to read the applicable provisions of Delaware law and our A&amp;R Certificate of Incorporation and our Bylaws carefully and in their entirety because they describe your rights as a holder of shares of our Common Stock.</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the A&amp;R Certificate of Incorporation and Bylaws, each of which became effective upon Closing of the Business Combination.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Innventure’s purpose is to engage in any lawful act or activity for which corporations may now or hereafter be organized under the DGCL. Innventure’s authorized capital stock consists of 250,000,000 shares of common stock, par value $0.0001 per share, and 25,000,000 shares of preferred stock, par value $0.0001 per share. Of the 25,000,000 shares of preferred stock, 3,000,000 shares are designated as “Series B Preferred Stock.” 1,102,000 shares of Series B Preferred Stock are currently issued and outstanding.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Innventure’s liquidation, dissolution or winding up and after payment in full of all amounts required to be paid to creditors or any other series of preferred stock having liquidation preferences, if any, the holders of Common Stock will be entitled to receive pro rata Innventure’s remaining assets available for distribution. Holders of Common Stock do not have preemptive, subscription, redemption or conversion rights. Common Stock will not be subject to further calls or assessment by Innventure. There will be no redemption or sinking fund provisions applicable to the Common Stock. All shares of Common Stock currently outstanding are fully paid and non-assessable. The rights, powers, preferences and privileges of holders of Common Stock will be subject to any series of Innventure’s preferred stock that Innventure may authorize and issue in the future and the Series B Preferred Stock.</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October 25, 2024, there were approximately 49,522,673 shares of Common Stock outstanding, including approximately 41,808,999 shares held by certain stockholders that are subject to certain lock-up or transfer restrictions.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After the designation of the Series B Preferred Stock, 22,000,000 authorized shares of preferred stock remain available for the creation and issuance of one or more additional series of preferred stock by the Board. Unless required by law,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33"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40" w:lineRule="exact"/>
        <w:rPr>
          <w:sz w:val="20"/>
          <w:szCs w:val="20"/>
          <w:color w:val="auto"/>
        </w:rPr>
      </w:pPr>
    </w:p>
    <w:p>
      <w:pPr>
        <w:ind w:left="660" w:right="3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Innventure;</w:t>
      </w:r>
    </w:p>
    <w:p>
      <w:pPr>
        <w:spacing w:after="0" w:line="17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Innventure or any other corporation or other entity, and the rates or other determinants of conversion or exchange applicable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Innventure or any other corporation or other entity;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Innventure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the Common Stock. As a result of these or other factors, the issuance of preferred stock could have an adverse impact on the market price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Board did not designate any shares of “Series A Preferred Stock” in connection with the Closing. Should the Board decide to designate and issue any shares of “Series A Preferred Stock” in the future, it will file a certificate of designations with the Delaware Secretary of State for the Series A Preferred Stock which will establish the voting powers, designations, preferences and relative, participating, optional or other special rights, and the qualifications, limitations and restrictions of the shares of any such Series A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Ranking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With respect to payment of dividends, the Series B Preferred Stock shall rank senior in priority of payment to all Junior Stock (as defined below) and Parity Stock (as defined below) in any liquidation, dissolution, winding up or distribution of Innventure, and junior to any existing or future secured or unsecured indebtedness and other liabilities (including trade payables) of Innventure. With respect to (a) distribution of assets and (b) all other liquidation, winding up, dissolution, dividend and redemption rights, the Series B Preferred Stock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3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“Junior Stock” means (i) Common Stock and (ii) any other preferred stock and any other equity interest of Innventure, in each case which by its terms ranks junior to the Series B Preferred Stock with respect to payment of dividends and/or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38" w:lineRule="exact"/>
        <w:rPr>
          <w:sz w:val="20"/>
          <w:szCs w:val="20"/>
          <w:color w:val="auto"/>
        </w:rPr>
      </w:pPr>
    </w:p>
    <w:p>
      <w:pPr>
        <w:ind w:right="800"/>
        <w:spacing w:after="0" w:line="439" w:lineRule="auto"/>
        <w:rPr>
          <w:sz w:val="20"/>
          <w:szCs w:val="20"/>
          <w:color w:val="auto"/>
        </w:rPr>
      </w:pPr>
      <w:r>
        <w:rPr>
          <w:rFonts w:ascii="Times New Roman" w:cs="Times New Roman" w:eastAsia="Times New Roman" w:hAnsi="Times New Roman"/>
          <w:sz w:val="18"/>
          <w:szCs w:val="18"/>
          <w:color w:val="auto"/>
        </w:rPr>
        <w:t xml:space="preserve">“Parity Stock” means any equity interest of Innventure hereinafter created which by its terms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Preferred Stock. </w:t>
      </w:r>
      <w:r>
        <w:rPr>
          <w:rFonts w:ascii="Times New Roman" w:cs="Times New Roman" w:eastAsia="Times New Roman" w:hAnsi="Times New Roman"/>
          <w:sz w:val="18"/>
          <w:szCs w:val="18"/>
          <w:b w:val="1"/>
          <w:bCs w:val="1"/>
          <w:i w:val="1"/>
          <w:iCs w:val="1"/>
          <w:color w:val="auto"/>
        </w:rPr>
        <w:t>Dividends</w:t>
      </w:r>
    </w:p>
    <w:p>
      <w:pPr>
        <w:spacing w:after="0" w:line="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Series B Preferred Stock carry an annual 8.0% cumulative dividend, which will be paid prior to and in preference over any Junior Stock or Parity Stock. Such dividends will be made as a payment in kind on the last day of the last quarter in each fiscal year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$10.00, divided by (ii) the Minimum Price (which shall have the meaning assigned in NASDAQ Listing Rule 5635(d)) of Common Stock as of the initial issue date of the Series B Preferred Stock and will vote with the holders of Common Stock as a single class and on an as-converted basis, except as provided by law or applicable NASDAQ Listing Rules.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 at the Company’s Option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 at the Holder’s Option</w:t>
      </w:r>
    </w:p>
    <w:p>
      <w:pPr>
        <w:spacing w:after="0" w:line="1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Common Stock upon the effectiveness of a registration statement to be filed by Innventure providing for the resale of the shares of Common Stock issuable upon conversion of shares of Series B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Rate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08" w:lineRule="exact"/>
        <w:rPr>
          <w:sz w:val="20"/>
          <w:szCs w:val="20"/>
          <w:color w:val="auto"/>
        </w:rPr>
      </w:pPr>
    </w:p>
    <w:p>
      <w:pPr>
        <w:ind w:right="700"/>
        <w:spacing w:after="0" w:line="438" w:lineRule="auto"/>
        <w:rPr>
          <w:sz w:val="20"/>
          <w:szCs w:val="20"/>
          <w:color w:val="auto"/>
        </w:rPr>
      </w:pPr>
      <w:r>
        <w:rPr>
          <w:rFonts w:ascii="Times New Roman" w:cs="Times New Roman" w:eastAsia="Times New Roman" w:hAnsi="Times New Roman"/>
          <w:sz w:val="18"/>
          <w:szCs w:val="18"/>
          <w:color w:val="auto"/>
        </w:rPr>
        <w:t xml:space="preserve">“Reset Conversion Price” means the greater of (a) $5.00 and (b) the 10-trading day volume-weighted average closing price of the Common Stock. </w:t>
      </w:r>
      <w:r>
        <w:rPr>
          <w:rFonts w:ascii="Times New Roman" w:cs="Times New Roman" w:eastAsia="Times New Roman" w:hAnsi="Times New Roman"/>
          <w:sz w:val="18"/>
          <w:szCs w:val="18"/>
          <w:b w:val="1"/>
          <w:bCs w:val="1"/>
          <w:i w:val="1"/>
          <w:iCs w:val="1"/>
          <w:color w:val="auto"/>
        </w:rPr>
        <w:t>Adjustments</w:t>
      </w:r>
    </w:p>
    <w:p>
      <w:pPr>
        <w:spacing w:after="0" w:line="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Warrants</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connection with the Business Combination, Innventure assumed the Warrant Agreement and the outstanding Learn CW Warrants (including the Learn CW Private Warrants, each defined in the Warrant Agreement) and, as a result, such warrants were, pursuant to their terms, converted into warrants (the “Innventure Warrants”) to acquire, subject to substantially the same terms and conditions as were applicable under the applicable Learn CW Warrant, the number of shares of Common Stock equal to the number of Learn CW Ordinary Shares for which such Learn CW Warrants shall have been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whole Innventure Warrant entitles the registered holder to purchase one share of Common Stock at a price of $11.50 per share, subject to adjustment as discussed below, at any time commencing on November 1, 2024, except as discussed in the immediately following paragraph. Pursuant to the Warrant Agreement, a warrant holder may exercise its Innventure Warrants only for a whole number of shares of Common Stock. This means only a whole warrant may be exercised at a given time by a warrant holder. The Innventure Warrants will expire on October 2, 2029, at 5:00 p.m., New York City time, or earlier upon redemption or liquidation.</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will not be obligated to deliver any Common Stock pursuant to the exercise of a warrant and will have no obligation to settle such warrant exercise unless a registration statement under the Securities Act with respect to the shares of Common Stock underlying the Innventure Warrants is then effective and a prospectus relating thereto is current, subject to our satisfying our obligations with respect to registration, or a valid exemption from registration is available. In the event that such conditions are not satisfied with respect to a warrant, the holder of such warrant will not be entitled to exercise such warrant and such warrant may have no value and expire worthless. In no event will we be required to net cash settle any warrant.</w:t>
      </w:r>
    </w:p>
    <w:p>
      <w:pPr>
        <w:spacing w:after="0" w:line="1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upon exercise. If, upon exercise, a holder would be entitled to receive a fractional interest in a share, we will round down to the nearest whole number of the number of shares to be issued to the holder.</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warrant holders will not have the rights or privileges of holders of shares of Common Stock or any voting rights until they exercise their Innventure Warrants and receive shares of Common Stock. After the issuance of shares of Common Stock upon exercise of the Innventure Warrants, each holder will be entitled to one vote for each share held of record on all matters to be voted on by Innventure stockholders.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Innventure Warrants When the Price per Share Equals or Exceeds $18.00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Innventure Warrants become exercisable, we may redeem the outstanding Innventure Warrants:</w:t>
      </w:r>
    </w:p>
    <w:p>
      <w:pPr>
        <w:spacing w:after="0" w:line="17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may be adjusted for any required anti-dilution adjustments) for any twenty (20) trading days within a thirty (30) trading day period ending three trading days before we send the notice of redemption to the warrant holders.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$18.00 (as adjusted) redemption criterion discussed above was established to prevent a redemption call unless there is at the time of the call a significant premium to the warrant exercise price. If the foregoing conditions are satisfied and Innventure issues a notice of redemption of the Innventure Warrants, each warrant holder will be entitled to exercise his, her or its Innventure Warrant prior to the scheduled redemption date. However, the price of the shares of Common Stock may fall below the $18.00 redemption trigger price (as adjusted for any required anti-dilution adjustments) as well as the $11.50 (for whole shares) exercise price after the redemption notice is issued.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Innventure Warrants When the Price per Share Equals or Exceeds $10.00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Innventure Warrants become exercisable, we may redeem the outstanding Innventure Warrants:</w:t>
      </w:r>
    </w:p>
    <w:p>
      <w:pPr>
        <w:spacing w:after="0" w:line="17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$0.10 per warrant upon a minimum of 30 days’ prior written notice of redemption provided that holders will be able to exercise their Innventure Warrants on a cashless basis prior to redemption and receive that number of shares determined by reference to the table below, based on the redemption date and the “Fair Market Value” of the Common Stock (as defined below) except as otherwise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1440" w:right="399" w:bottom="1440" w:gutter="0" w:footer="0" w:header="0"/>
        </w:sectPr>
      </w:pPr>
    </w:p>
    <w:bookmarkStart w:id="114" w:name="page115"/>
    <w:bookmarkEnd w:id="114"/>
    <w:p>
      <w:pPr>
        <w:spacing w:after="0" w:line="140"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$10.00 per share (as may be adjusted for any required anti-dilution adjustments) for any 20 trading days within the 30-trading day period ending three trading days before we send the notice of redemption to the warrant holders.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Innventure Warrants on a cashless basis. The numbers in the table below represent the number of shares of Common Stock that a warrant holder will receive upon such cashless exercise in connection with a redemption by us pursuant to this redemption feature, based on the “Fair Market Value” of the Common Stock on the corresponding redemption date (assuming holders elect to exercise their Innventure Warrants and such Innventure Warrants are not redeemed for $0.10 per warrant), determined for these purposes based on volume weighted average price of the Common Stock during the ten (10) trading days immediately following the date on which the notice of redemption is sent to the holders of Innventure Warrants, and the number of months that the corresponding redemption date precedes the expiration date of the Innventure Warrants, each as set forth in the table below. We will provide warrant holders with the final Fair Market Value no later than one business day after the 10-trading day period described above ends.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shares issuable upon exercise of an Innventure Warrant or the exercise price of a warrant is adjusted as set forth in the Warrant Agreement.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an Innventure Warrant immediately prior to such adjustment and the denominator of which is the number of shares deliverable upon exercise of an Innventure Warrant as so adjusted. The number of shares in the table below shall be adjusted in the same manner and at the same time as the number of shares issuable upon exercise of an Innventure Warrant.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 Value of Common Stock (per share)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Redemption Date (period to</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gridSpan w:val="2"/>
            <w:vMerge w:val="continue"/>
          </w:tcPr>
          <w:p>
            <w:pPr>
              <w:spacing w:after="0"/>
              <w:rPr>
                <w:sz w:val="10"/>
                <w:szCs w:val="10"/>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≤10.00</w:t>
            </w:r>
          </w:p>
        </w:tc>
        <w:tc>
          <w:tcPr>
            <w:tcW w:w="9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11.00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12.00</w:t>
            </w:r>
          </w:p>
        </w:tc>
        <w:tc>
          <w:tcPr>
            <w:tcW w:w="100" w:type="dxa"/>
            <w:vAlign w:val="bottom"/>
          </w:tcPr>
          <w:p>
            <w:pPr>
              <w:spacing w:after="0"/>
              <w:rPr>
                <w:sz w:val="10"/>
                <w:szCs w:val="10"/>
                <w:color w:val="auto"/>
              </w:rPr>
            </w:pPr>
          </w:p>
        </w:tc>
        <w:tc>
          <w:tcPr>
            <w:tcW w:w="9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13.00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14.00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15.00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16.00</w:t>
            </w:r>
          </w:p>
        </w:tc>
        <w:tc>
          <w:tcPr>
            <w:tcW w:w="100" w:type="dxa"/>
            <w:vAlign w:val="bottom"/>
          </w:tcPr>
          <w:p>
            <w:pPr>
              <w:spacing w:after="0"/>
              <w:rPr>
                <w:sz w:val="10"/>
                <w:szCs w:val="10"/>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17.00</w:t>
            </w:r>
          </w:p>
        </w:tc>
        <w:tc>
          <w:tcPr>
            <w:tcW w:w="100" w:type="dxa"/>
            <w:vAlign w:val="bottom"/>
          </w:tcPr>
          <w:p>
            <w:pPr>
              <w:spacing w:after="0"/>
              <w:rPr>
                <w:sz w:val="10"/>
                <w:szCs w:val="10"/>
                <w:color w:val="auto"/>
              </w:rPr>
            </w:pPr>
          </w:p>
        </w:tc>
        <w:tc>
          <w:tcPr>
            <w:tcW w:w="9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≥18.00</w:t>
            </w:r>
          </w:p>
        </w:tc>
        <w:tc>
          <w:tcPr>
            <w:tcW w:w="0" w:type="dxa"/>
            <w:vAlign w:val="bottom"/>
          </w:tcPr>
          <w:p>
            <w:pPr>
              <w:spacing w:after="0"/>
              <w:rPr>
                <w:sz w:val="1"/>
                <w:szCs w:val="1"/>
                <w:color w:val="auto"/>
              </w:rPr>
            </w:pPr>
          </w:p>
        </w:tc>
      </w:tr>
      <w:tr>
        <w:trPr>
          <w:trHeight w:val="195"/>
        </w:trPr>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 of warrants)</w:t>
            </w:r>
          </w:p>
        </w:tc>
        <w:tc>
          <w:tcPr>
            <w:tcW w:w="10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months</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39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27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0.291</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3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 months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0.237</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r>
        <w:trPr>
          <w:trHeight w:val="22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months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months</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0.034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0.065</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0.104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0.150</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0.197</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0.243</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0.286</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0.361</w:t>
            </w: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months</w:t>
            </w:r>
          </w:p>
        </w:tc>
        <w:tc>
          <w:tcPr>
            <w:tcW w:w="16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0.042</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0.115</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0.179</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0.233</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0.281</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2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redemption feature is structured to allow for all of the outstanding Innventure Warrants to be redeemed when the Common Stock is trading at or above $10.00 per share, which may be at a time when the trading price of our Common Stock is below the exercise price of the Innventure Warrants. This redemption feature will provide Innventure with the flexibility to redeem the warrants without the warrants having to reach the $18.00 per share threshold set forth above under “—</w:t>
      </w:r>
      <w:r>
        <w:rPr>
          <w:rFonts w:ascii="Times New Roman" w:cs="Times New Roman" w:eastAsia="Times New Roman" w:hAnsi="Times New Roman"/>
          <w:sz w:val="18"/>
          <w:szCs w:val="18"/>
          <w:i w:val="1"/>
          <w:iCs w:val="1"/>
          <w:color w:val="auto"/>
        </w:rPr>
        <w:t>Redemption of Warrants When the Price per Share Equals or Exceeds $18.00</w:t>
      </w:r>
      <w:r>
        <w:rPr>
          <w:rFonts w:ascii="Times New Roman" w:cs="Times New Roman" w:eastAsia="Times New Roman" w:hAnsi="Times New Roman"/>
          <w:sz w:val="18"/>
          <w:szCs w:val="18"/>
          <w:color w:val="auto"/>
        </w:rPr>
        <w:t>.” Holders choosing to exercise their Innventure Warrants in connection with a redemption pursuant to this feature will, in effect, receive a number of shares for their warrants based on an option pricing model with a fixed volatility input as of the date of the IPO. This redemption right will provide Innventure with an additional mechanism by which to redeem all of the outstanding Innventure Warrants, and therefore have certainty as to our capital structure as the Innventure Warrants would no longer be outstanding and would have been exercised or redeemed. Innventure will be required to pay the applicable redemption price to warrant holders if Innventure chooses to exercise this redemption right and it will allow Innventure to quickly proceed with a redemption of the Innventure Warrants if Innventure determines it is in its best interest to do so.</w:t>
      </w:r>
    </w:p>
    <w:p>
      <w:pPr>
        <w:spacing w:after="0" w:line="14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stated above, Innventure will be able to redeem the Innventure Warrants when the shares of Common Stock are trading at a price starting at $10.00, which is below the exercise price of $11.50, because it will provide certainty with respect to Innventure’s capital structure and cash position while providing warrant holders with the opportunity to exercise their warrants on a cashless basis for the applicable number of shares. If Innventure chooses to redeem the Innventure Warrants when the Common Stock is trading at a price below the exercise price of the Innventure Warrants, this could result in the warrant holders receiving fewer shares than they would have received if they had chosen to wait to exercise their warrants for shares of Common Stock if and when such shares of Common Stock were trading at a price higher than the exercise price of $11.50.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WTI Warrants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the WTI Warrants to WTI Fund X, LLC and WTI Fund XI, LLC. Each warrant is exercisable into one share of Common Stock at price of $0.01 per share (subject to certain limitations, adjustment and certain other rights to possible future financings in accordance with terms of the WTI Warrants) through March 31, 2025.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 exercised, in lieu of exercise upon a change of control or at any time from and after the four-year anniversary of the Closing. Each of the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stock or property) ratably in proportion to the number of shares held by each such stockholder when, as and if declared by the Board in its discretion from time to time in accordance with applicable law.</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will be a holding company with no direct operations, Innventure will only be able to pay dividends from funds it receive from its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Innventure’s A&amp;R Certificate of Incorporation and Bylaws and Certain Provisions of Delaware Law</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A&amp;R Certificate of Incorporation and Bylaws will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to be held in 2026; and the directors first elected to Class III will hold office for a term expiring at the annual meeting of stockholders to be held in 2027, with the members of each class to hold office until their successors are elected and qualified.</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Chief Executive Officer, or President.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voting separately as a series or separately as a class with one or more other such series, may be taken without a meeting to the extent expressly provided by the applicable preferred stock designation.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will further provide that the stockholders will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A&amp;R Certificate of Incorporation provides that, unless Innventure consents in writing to the selection of an alternative forum, (a) the Court of Chancery (the “Chancery Court”) of the State of Delaware will, to the fullest extent permitted by law, be the sole and exclusive forum for (i) any derivative action, suit or proceeding brought on behalf of Innventure, (ii) 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foreign action the subject matter of which is within the scope of clause (a) of the immediately preceding sentence is filed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122"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0"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October 2, 2024 (except as otherwise set forth below) by:</w:t>
      </w:r>
    </w:p>
    <w:p>
      <w:pPr>
        <w:spacing w:after="0" w:line="108"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table is based on 44,602,673 shares of Common Stock outstanding as of October 2, 2024. In addition, the beneficial ownership presented below: (i) does not include Company Earnout Shares that the Innventure Members have the right to receive upon the achievement of any of the Milestones; and (ii) does not include the Sponsor Earnout Shares that the Sponsor received at Closing, subject to transfer restrictions and eventual forfeit if the Milestones are not achieved within seven years; but does include the At Risk Sponsor Shares that the Sponsor received at Closing, subject to forfeiture if the requisite amount of Additional Funds are not received, as further described in the Sponsor Support Agreement dated October 24, 2023, by and between Learn CW, Innventure LLC and the Sponsor (“Sponsor Support Agreement”), as modified by the Sponsor Support Agreement Side Letter, dated September 24, 2024.</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the right to acquire any such power within 60 days. Shares of Common Stock which a person or group has a right to acquire within 60 days following the Closing Date pursuant to the exercise or conversion of options, warrants or other similar convertible or derivative securities are also deemed to be outstanding for the purpose of computing the percentage ownership of such person or group, but are not deemed to be outstanding for the purpose of computing the percentage ownership of any other person shown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90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Roland Austrup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812,482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4,670,237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705,655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Otworth</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Scott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1,531,795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Williams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J. Hennessy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Amalfitano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8,697,656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0" w:type="dxa"/>
            <w:vAlign w:val="bottom"/>
          </w:tcPr>
          <w:p>
            <w:pPr>
              <w:spacing w:after="0"/>
              <w:rPr>
                <w:sz w:val="1"/>
                <w:szCs w:val="1"/>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(11 Individuals)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18,512,020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20" w:hanging="332"/>
        <w:spacing w:after="0" w:line="26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1,405,664 shares of Common Stock held by the James O. Donnally Revocable Trust over which Mr. Donnally has sole voting and investment power, (ii) 711,717 shares of Common Stock held by the Glockner Family Venture Fund, LP (the “Glockner Family Venture Fund”) over which Mr. Donnally may be deemed to have shared voting and investment power as managing member of Bellringer Consulting Group LLC, the general partner of Glockner Family Venture Fund, and (iii) 2,552,856 shares of Common Stock that may be deemed to</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be beneficially owned by Mr. Donnally, which shares are held by certain trusts, including (a) 132,753 shares held by the Barbara G. Glockner Trust, for the benefit of Joseph C. Glockner;</w:t>
      </w:r>
    </w:p>
    <w:p>
      <w:pPr>
        <w:spacing w:after="0" w:line="4"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4"/>
          <w:szCs w:val="14"/>
          <w:color w:val="auto"/>
        </w:rPr>
        <w:t>(b) 132,753 shares held by the Barbara G. Glockner Trust, for the benefit of Michael P. Glockner; (c) 132,753 shares held by the Barbara G. Glockner Trust, for the benefit of Timothy E. Glockner; (d) 700,822 shares held by the Joseph C. Glockner Revocable Trust; (e) 700,822 shares held by Michael P. Glockner Revocable Trust; (vii) 700,822 shares held by the Timothy E. Glockner Revocable Trust; (f) 3,715 shares held by the Andrew M. Glockner Revocable Trust; and (g) 48,416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161"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Wasson has voting and investment power over the securities held by WE-INN LLC.</w:t>
      </w:r>
    </w:p>
    <w:p>
      <w:pPr>
        <w:spacing w:after="0" w:line="14" w:lineRule="exact"/>
        <w:rPr>
          <w:rFonts w:ascii="Times New Roman" w:cs="Times New Roman" w:eastAsia="Times New Roman" w:hAnsi="Times New Roman"/>
          <w:sz w:val="14"/>
          <w:szCs w:val="14"/>
          <w:color w:val="auto"/>
        </w:rPr>
      </w:pPr>
    </w:p>
    <w:p>
      <w:pPr>
        <w:ind w:left="340" w:right="300" w:hanging="332"/>
        <w:spacing w:after="0" w:line="283"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Ascent X Innventure TC, A Series of Ascent X Innventure, LP is a limited partnership (“Ascent”). Voting and investment power over the shares held by Ascent is exercised by Jonathan Loeffler and Mark Pomeroy Jr. The address for Ascent is 5956 Sherry Lane, 20th Floor, Dallas, Texas 75225.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or their permitted transferees from time to time of up to 14,488,342 shares of Common Stock, which includes (i) up to 3,275,035 shares of Common Stock that may be issued upon conversion of Series B Preferred Stock, (ii) up to 4,418,307 shares of Common Stock that we may issue and sell to Yorkville, from time to time pursuant to the SEPA (without exceeding the Exchange Cap), (iii)</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5,770,000 shares of Common Stock held by certain stockholders party to the A&amp;R Registration Rights Agreement, (iv) 25,000 shares of Common Stock issued to Roth, and (v) 1,000,000 shares of Common Stock that may be issued upon exercise of the WTI Warrants.</w:t>
      </w:r>
    </w:p>
    <w:p>
      <w:pPr>
        <w:spacing w:after="0" w:line="1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or our predecessors or affiliates within the past three years.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We have based percentage ownership on 49,522,673 shares of Common Stock outstanding as of October 25, 2024.</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and Convertible Notes that they beneficially own, subject to applicable community property laws. Except as otherwise described below, based on the information provided to us by the selling securityholders, no Selling Stockholder is a broker-dealer or an affiliate of a broker dealer.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9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8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 to</w:t>
            </w:r>
          </w:p>
        </w:tc>
        <w:tc>
          <w:tcPr>
            <w:tcW w:w="19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Shareholder</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Sold Pursuant to</w:t>
            </w: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Owned</w:t>
            </w:r>
          </w:p>
        </w:tc>
        <w:tc>
          <w:tcPr>
            <w:tcW w:w="0" w:type="dxa"/>
            <w:vAlign w:val="bottom"/>
          </w:tcPr>
          <w:p>
            <w:pPr>
              <w:spacing w:after="0"/>
              <w:rPr>
                <w:sz w:val="1"/>
                <w:szCs w:val="1"/>
                <w:color w:val="auto"/>
              </w:rPr>
            </w:pPr>
          </w:p>
        </w:tc>
      </w:tr>
      <w:tr>
        <w:trPr>
          <w:trHeight w:val="198"/>
        </w:trPr>
        <w:tc>
          <w:tcPr>
            <w:tcW w:w="4140" w:type="dxa"/>
            <w:vAlign w:val="bottom"/>
            <w:gridSpan w:val="2"/>
            <w:vMerge w:val="continue"/>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this Prospectus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228"/>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Holders of Series B Preferred Stock</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Albert Aaron and Ethel C Mason Berg</w:t>
            </w:r>
            <w:r>
              <w:rPr>
                <w:rFonts w:ascii="Times New Roman" w:cs="Times New Roman" w:eastAsia="Times New Roman" w:hAnsi="Times New Roman"/>
                <w:sz w:val="23"/>
                <w:szCs w:val="23"/>
                <w:color w:val="auto"/>
                <w:vertAlign w:val="superscript"/>
              </w:rPr>
              <w:t>(1)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Anthony and Kelly Bradshaw</w:t>
            </w:r>
            <w:r>
              <w:rPr>
                <w:rFonts w:ascii="Times New Roman" w:cs="Times New Roman" w:eastAsia="Times New Roman" w:hAnsi="Times New Roman"/>
                <w:sz w:val="23"/>
                <w:szCs w:val="23"/>
                <w:color w:val="auto"/>
                <w:vertAlign w:val="superscript"/>
              </w:rPr>
              <w:t>(2)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Christopher and Donna Corley</w:t>
            </w:r>
            <w:r>
              <w:rPr>
                <w:rFonts w:ascii="Times New Roman" w:cs="Times New Roman" w:eastAsia="Times New Roman" w:hAnsi="Times New Roman"/>
                <w:sz w:val="23"/>
                <w:szCs w:val="23"/>
                <w:color w:val="auto"/>
                <w:vertAlign w:val="superscript"/>
              </w:rPr>
              <w:t>(3)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Rakeshdeep Dhillon</w:t>
            </w:r>
            <w:r>
              <w:rPr>
                <w:rFonts w:ascii="Times New Roman" w:cs="Times New Roman" w:eastAsia="Times New Roman" w:hAnsi="Times New Roman"/>
                <w:sz w:val="23"/>
                <w:szCs w:val="23"/>
                <w:color w:val="auto"/>
                <w:vertAlign w:val="superscript"/>
              </w:rPr>
              <w:t>(4)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Gabriel Eljach</w:t>
            </w:r>
            <w:r>
              <w:rPr>
                <w:rFonts w:ascii="Times New Roman" w:cs="Times New Roman" w:eastAsia="Times New Roman" w:hAnsi="Times New Roman"/>
                <w:sz w:val="23"/>
                <w:szCs w:val="23"/>
                <w:color w:val="auto"/>
                <w:vertAlign w:val="superscript"/>
              </w:rPr>
              <w:t>(5)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80" w:type="dxa"/>
            <w:vAlign w:val="bottom"/>
          </w:tcPr>
          <w:p>
            <w:pPr>
              <w:spacing w:after="0"/>
              <w:rPr>
                <w:sz w:val="19"/>
                <w:szCs w:val="19"/>
                <w:color w:val="auto"/>
              </w:rPr>
            </w:pP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James Nathan Galbreath</w:t>
            </w:r>
            <w:r>
              <w:rPr>
                <w:rFonts w:ascii="Times New Roman" w:cs="Times New Roman" w:eastAsia="Times New Roman" w:hAnsi="Times New Roman"/>
                <w:sz w:val="23"/>
                <w:szCs w:val="23"/>
                <w:color w:val="auto"/>
                <w:vertAlign w:val="superscript"/>
              </w:rPr>
              <w:t>(6)</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Michael and Kristin Haughton</w:t>
            </w:r>
            <w:r>
              <w:rPr>
                <w:rFonts w:ascii="Times New Roman" w:cs="Times New Roman" w:eastAsia="Times New Roman" w:hAnsi="Times New Roman"/>
                <w:sz w:val="23"/>
                <w:szCs w:val="23"/>
                <w:color w:val="auto"/>
                <w:vertAlign w:val="superscript"/>
              </w:rPr>
              <w:t>(7)</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Kaitlan Hawkins</w:t>
            </w:r>
            <w:r>
              <w:rPr>
                <w:rFonts w:ascii="Times New Roman" w:cs="Times New Roman" w:eastAsia="Times New Roman" w:hAnsi="Times New Roman"/>
                <w:sz w:val="23"/>
                <w:szCs w:val="23"/>
                <w:color w:val="auto"/>
                <w:vertAlign w:val="superscript"/>
              </w:rPr>
              <w:t>(8)</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5,944</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5,944</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Dr. Chi Lim</w:t>
            </w:r>
            <w:r>
              <w:rPr>
                <w:rFonts w:ascii="Times New Roman" w:cs="Times New Roman" w:eastAsia="Times New Roman" w:hAnsi="Times New Roman"/>
                <w:sz w:val="23"/>
                <w:szCs w:val="23"/>
                <w:color w:val="auto"/>
                <w:vertAlign w:val="superscript"/>
              </w:rPr>
              <w:t>(9)</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Brentton Lindsey</w:t>
            </w:r>
            <w:r>
              <w:rPr>
                <w:rFonts w:ascii="Times New Roman" w:cs="Times New Roman" w:eastAsia="Times New Roman" w:hAnsi="Times New Roman"/>
                <w:sz w:val="23"/>
                <w:szCs w:val="23"/>
                <w:color w:val="auto"/>
                <w:vertAlign w:val="superscript"/>
              </w:rPr>
              <w:t>(10)</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59,438</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59,438</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Vikash Patel</w:t>
            </w:r>
            <w:r>
              <w:rPr>
                <w:rFonts w:ascii="Times New Roman" w:cs="Times New Roman" w:eastAsia="Times New Roman" w:hAnsi="Times New Roman"/>
                <w:sz w:val="23"/>
                <w:szCs w:val="23"/>
                <w:color w:val="auto"/>
                <w:vertAlign w:val="superscript"/>
              </w:rPr>
              <w:t>(11)</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Charles Alan Runyan</w:t>
            </w:r>
            <w:r>
              <w:rPr>
                <w:rFonts w:ascii="Times New Roman" w:cs="Times New Roman" w:eastAsia="Times New Roman" w:hAnsi="Times New Roman"/>
                <w:sz w:val="23"/>
                <w:szCs w:val="23"/>
                <w:color w:val="auto"/>
                <w:vertAlign w:val="superscript"/>
              </w:rPr>
              <w:t>(12)</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Matthew and Holly Sellers</w:t>
            </w:r>
            <w:r>
              <w:rPr>
                <w:rFonts w:ascii="Times New Roman" w:cs="Times New Roman" w:eastAsia="Times New Roman" w:hAnsi="Times New Roman"/>
                <w:sz w:val="23"/>
                <w:szCs w:val="23"/>
                <w:color w:val="auto"/>
                <w:vertAlign w:val="superscript"/>
              </w:rPr>
              <w:t>(13)</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22,290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22,290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Frank M Shaw</w:t>
            </w:r>
            <w:r>
              <w:rPr>
                <w:rFonts w:ascii="Times New Roman" w:cs="Times New Roman" w:eastAsia="Times New Roman" w:hAnsi="Times New Roman"/>
                <w:sz w:val="23"/>
                <w:szCs w:val="23"/>
                <w:color w:val="auto"/>
                <w:vertAlign w:val="superscript"/>
              </w:rPr>
              <w:t>(14)</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Clifton Simmons</w:t>
            </w:r>
            <w:r>
              <w:rPr>
                <w:rFonts w:ascii="Times New Roman" w:cs="Times New Roman" w:eastAsia="Times New Roman" w:hAnsi="Times New Roman"/>
                <w:sz w:val="23"/>
                <w:szCs w:val="23"/>
                <w:color w:val="auto"/>
                <w:vertAlign w:val="superscript"/>
              </w:rPr>
              <w:t>(15)</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89,157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89,157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5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Commonwealth Asset Management Global Macro</w:t>
            </w:r>
          </w:p>
        </w:tc>
        <w:tc>
          <w:tcPr>
            <w:tcW w:w="18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4560" w:type="dxa"/>
            <w:vAlign w:val="bottom"/>
            <w:shd w:val="clear" w:color="auto" w:fill="CCEEFF"/>
          </w:tcPr>
          <w:p>
            <w:pPr>
              <w:ind w:left="520"/>
              <w:spacing w:after="0" w:line="243" w:lineRule="exact"/>
              <w:rPr>
                <w:sz w:val="20"/>
                <w:szCs w:val="20"/>
                <w:color w:val="auto"/>
              </w:rPr>
            </w:pPr>
            <w:r>
              <w:rPr>
                <w:rFonts w:ascii="Times New Roman" w:cs="Times New Roman" w:eastAsia="Times New Roman" w:hAnsi="Times New Roman"/>
                <w:sz w:val="18"/>
                <w:szCs w:val="18"/>
                <w:color w:val="auto"/>
              </w:rPr>
              <w:t>Master Fund Ltd</w:t>
            </w:r>
            <w:r>
              <w:rPr>
                <w:rFonts w:ascii="Times New Roman" w:cs="Times New Roman" w:eastAsia="Times New Roman" w:hAnsi="Times New Roman"/>
                <w:sz w:val="23"/>
                <w:szCs w:val="23"/>
                <w:color w:val="auto"/>
                <w:vertAlign w:val="superscript"/>
              </w:rPr>
              <w:t>(16)</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2,228,922</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2,228,922</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Javid Mu'az Baksh Living Trust dated December</w:t>
            </w:r>
          </w:p>
        </w:tc>
        <w:tc>
          <w:tcPr>
            <w:tcW w:w="1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560" w:type="dxa"/>
            <w:vAlign w:val="bottom"/>
          </w:tcPr>
          <w:p>
            <w:pPr>
              <w:ind w:left="520"/>
              <w:spacing w:after="0" w:line="243" w:lineRule="exact"/>
              <w:rPr>
                <w:sz w:val="20"/>
                <w:szCs w:val="20"/>
                <w:color w:val="auto"/>
              </w:rPr>
            </w:pPr>
            <w:r>
              <w:rPr>
                <w:rFonts w:ascii="Times New Roman" w:cs="Times New Roman" w:eastAsia="Times New Roman" w:hAnsi="Times New Roman"/>
                <w:sz w:val="18"/>
                <w:szCs w:val="18"/>
                <w:color w:val="auto"/>
              </w:rPr>
              <w:t>9, 2014</w:t>
            </w:r>
            <w:r>
              <w:rPr>
                <w:rFonts w:ascii="Times New Roman" w:cs="Times New Roman" w:eastAsia="Times New Roman" w:hAnsi="Times New Roman"/>
                <w:sz w:val="23"/>
                <w:szCs w:val="23"/>
                <w:color w:val="auto"/>
                <w:vertAlign w:val="superscript"/>
              </w:rPr>
              <w:t>(17)</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SP3 Investments LLC</w:t>
            </w:r>
            <w:r>
              <w:rPr>
                <w:rFonts w:ascii="Times New Roman" w:cs="Times New Roman" w:eastAsia="Times New Roman" w:hAnsi="Times New Roman"/>
                <w:sz w:val="23"/>
                <w:szCs w:val="23"/>
                <w:color w:val="auto"/>
                <w:vertAlign w:val="superscript"/>
              </w:rPr>
              <w:t>(18)</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TDC Ventures, LP</w:t>
            </w:r>
            <w:r>
              <w:rPr>
                <w:rFonts w:ascii="Times New Roman" w:cs="Times New Roman" w:eastAsia="Times New Roman" w:hAnsi="Times New Roman"/>
                <w:sz w:val="23"/>
                <w:szCs w:val="23"/>
                <w:color w:val="auto"/>
                <w:vertAlign w:val="superscript"/>
              </w:rPr>
              <w:t>(19)</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148,595</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148,595</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The Irrevocable Aloha Trust</w:t>
            </w:r>
            <w:r>
              <w:rPr>
                <w:rFonts w:ascii="Times New Roman" w:cs="Times New Roman" w:eastAsia="Times New Roman" w:hAnsi="Times New Roman"/>
                <w:sz w:val="23"/>
                <w:szCs w:val="23"/>
                <w:color w:val="auto"/>
                <w:vertAlign w:val="superscript"/>
              </w:rPr>
              <w:t>(20)</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297,190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297,190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William J Stephan Revocable Trust</w:t>
            </w:r>
            <w:r>
              <w:rPr>
                <w:rFonts w:ascii="Times New Roman" w:cs="Times New Roman" w:eastAsia="Times New Roman" w:hAnsi="Times New Roman"/>
                <w:sz w:val="23"/>
                <w:szCs w:val="23"/>
                <w:color w:val="auto"/>
                <w:vertAlign w:val="superscript"/>
              </w:rPr>
              <w:t>(21)</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14,860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14,860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SEPA</w:t>
            </w:r>
          </w:p>
        </w:tc>
        <w:tc>
          <w:tcPr>
            <w:tcW w:w="18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YA II PN, Ltd.</w:t>
            </w:r>
            <w:r>
              <w:rPr>
                <w:rFonts w:ascii="Times New Roman" w:cs="Times New Roman" w:eastAsia="Times New Roman" w:hAnsi="Times New Roman"/>
                <w:sz w:val="23"/>
                <w:szCs w:val="23"/>
                <w:color w:val="auto"/>
                <w:vertAlign w:val="superscript"/>
              </w:rPr>
              <w:t>(22)</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4,418,307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4,418,307</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8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76"/>
        </w:trPr>
        <w:tc>
          <w:tcPr>
            <w:tcW w:w="45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The 2011 Jonathan R. Goldman and Anuranjita</w:t>
            </w:r>
          </w:p>
        </w:tc>
        <w:tc>
          <w:tcPr>
            <w:tcW w:w="1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4560" w:type="dxa"/>
            <w:vAlign w:val="bottom"/>
          </w:tcPr>
          <w:p>
            <w:pPr>
              <w:ind w:left="520"/>
              <w:spacing w:after="0" w:line="243" w:lineRule="exact"/>
              <w:rPr>
                <w:sz w:val="20"/>
                <w:szCs w:val="20"/>
                <w:color w:val="auto"/>
              </w:rPr>
            </w:pPr>
            <w:r>
              <w:rPr>
                <w:rFonts w:ascii="Times New Roman" w:cs="Times New Roman" w:eastAsia="Times New Roman" w:hAnsi="Times New Roman"/>
                <w:sz w:val="18"/>
                <w:szCs w:val="18"/>
                <w:color w:val="auto"/>
              </w:rPr>
              <w:t>Tewary Revocable Trust</w:t>
            </w:r>
            <w:r>
              <w:rPr>
                <w:rFonts w:ascii="Times New Roman" w:cs="Times New Roman" w:eastAsia="Times New Roman" w:hAnsi="Times New Roman"/>
                <w:sz w:val="23"/>
                <w:szCs w:val="23"/>
                <w:color w:val="auto"/>
                <w:vertAlign w:val="superscript"/>
              </w:rPr>
              <w:t>(23)</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H. Stern</w:t>
            </w:r>
            <w:r>
              <w:rPr>
                <w:rFonts w:ascii="Times New Roman" w:cs="Times New Roman" w:eastAsia="Times New Roman" w:hAnsi="Times New Roman"/>
                <w:sz w:val="23"/>
                <w:szCs w:val="23"/>
                <w:color w:val="auto"/>
                <w:vertAlign w:val="superscript"/>
              </w:rPr>
              <w:t>(24)</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Peter Relan</w:t>
            </w:r>
            <w:r>
              <w:rPr>
                <w:rFonts w:ascii="Times New Roman" w:cs="Times New Roman" w:eastAsia="Times New Roman" w:hAnsi="Times New Roman"/>
                <w:sz w:val="23"/>
                <w:szCs w:val="23"/>
                <w:color w:val="auto"/>
                <w:vertAlign w:val="superscript"/>
              </w:rPr>
              <w:t>(25)</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Ellen Levy</w:t>
            </w:r>
            <w:r>
              <w:rPr>
                <w:rFonts w:ascii="Times New Roman" w:cs="Times New Roman" w:eastAsia="Times New Roman" w:hAnsi="Times New Roman"/>
                <w:sz w:val="23"/>
                <w:szCs w:val="23"/>
                <w:color w:val="auto"/>
                <w:vertAlign w:val="superscript"/>
              </w:rPr>
              <w:t>(26)</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30,000</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Hennessy</w:t>
            </w:r>
            <w:r>
              <w:rPr>
                <w:rFonts w:ascii="Times New Roman" w:cs="Times New Roman" w:eastAsia="Times New Roman" w:hAnsi="Times New Roman"/>
                <w:sz w:val="23"/>
                <w:szCs w:val="23"/>
                <w:color w:val="auto"/>
                <w:vertAlign w:val="superscript"/>
              </w:rPr>
              <w:t>(27)</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1,170,262</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1,170,262</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Nicholas Petruska</w:t>
            </w:r>
            <w:r>
              <w:rPr>
                <w:rFonts w:ascii="Times New Roman" w:cs="Times New Roman" w:eastAsia="Times New Roman" w:hAnsi="Times New Roman"/>
                <w:sz w:val="23"/>
                <w:szCs w:val="23"/>
                <w:color w:val="auto"/>
                <w:vertAlign w:val="superscript"/>
              </w:rPr>
              <w:t>(28)</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877,697</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877,697</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Daniel Zlotnitsky</w:t>
            </w:r>
            <w:r>
              <w:rPr>
                <w:rFonts w:ascii="Times New Roman" w:cs="Times New Roman" w:eastAsia="Times New Roman" w:hAnsi="Times New Roman"/>
                <w:sz w:val="23"/>
                <w:szCs w:val="23"/>
                <w:color w:val="auto"/>
                <w:vertAlign w:val="superscript"/>
              </w:rPr>
              <w:t>(29)</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585,131</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585,131</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Greg Ethridge</w:t>
            </w:r>
            <w:r>
              <w:rPr>
                <w:rFonts w:ascii="Times New Roman" w:cs="Times New Roman" w:eastAsia="Times New Roman" w:hAnsi="Times New Roman"/>
                <w:sz w:val="23"/>
                <w:szCs w:val="23"/>
                <w:color w:val="auto"/>
                <w:vertAlign w:val="superscript"/>
              </w:rPr>
              <w:t>(30)</w:t>
            </w:r>
          </w:p>
        </w:tc>
        <w:tc>
          <w:tcPr>
            <w:tcW w:w="18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292,566</w:t>
            </w:r>
          </w:p>
        </w:tc>
        <w:tc>
          <w:tcPr>
            <w:tcW w:w="22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292,566</w:t>
            </w:r>
          </w:p>
        </w:tc>
        <w:tc>
          <w:tcPr>
            <w:tcW w:w="17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CWAM LC Sponsor LLC</w:t>
            </w:r>
            <w:r>
              <w:rPr>
                <w:rFonts w:ascii="Times New Roman" w:cs="Times New Roman" w:eastAsia="Times New Roman" w:hAnsi="Times New Roman"/>
                <w:sz w:val="23"/>
                <w:szCs w:val="23"/>
                <w:color w:val="auto"/>
                <w:vertAlign w:val="superscript"/>
              </w:rPr>
              <w:t>(31)</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2,724,344</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2,724,344</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8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306"/>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Roth Capital Partners, LLC</w:t>
            </w:r>
            <w:r>
              <w:rPr>
                <w:rFonts w:ascii="Times New Roman" w:cs="Times New Roman" w:eastAsia="Times New Roman" w:hAnsi="Times New Roman"/>
                <w:sz w:val="23"/>
                <w:szCs w:val="23"/>
                <w:color w:val="auto"/>
                <w:vertAlign w:val="superscript"/>
              </w:rPr>
              <w:t>(32)</w:t>
            </w:r>
          </w:p>
        </w:tc>
        <w:tc>
          <w:tcPr>
            <w:tcW w:w="1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25,000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25,000</w:t>
            </w:r>
          </w:p>
        </w:tc>
        <w:tc>
          <w:tcPr>
            <w:tcW w:w="1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2"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20" w:hanging="332"/>
        <w:spacing w:after="0" w:line="257"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2" w:lineRule="exact"/>
        <w:rPr>
          <w:rFonts w:ascii="Times New Roman" w:cs="Times New Roman" w:eastAsia="Times New Roman" w:hAnsi="Times New Roman"/>
          <w:sz w:val="14"/>
          <w:szCs w:val="14"/>
          <w:color w:val="auto"/>
        </w:rPr>
      </w:pPr>
    </w:p>
    <w:p>
      <w:pPr>
        <w:ind w:left="340" w:right="80" w:hanging="332"/>
        <w:spacing w:after="0" w:line="257"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 shares of Series B Preferred Stock originally issued to the Selling Stockholders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2" w:lineRule="exact"/>
        <w:rPr>
          <w:rFonts w:ascii="Times New Roman" w:cs="Times New Roman" w:eastAsia="Times New Roman" w:hAnsi="Times New Roman"/>
          <w:sz w:val="14"/>
          <w:szCs w:val="14"/>
          <w:color w:val="auto"/>
        </w:rPr>
      </w:pPr>
    </w:p>
    <w:p>
      <w:pPr>
        <w:ind w:left="340" w:right="80" w:hanging="332"/>
        <w:spacing w:after="0" w:line="265"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Stockholders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5" w:lineRule="exact"/>
        <w:rPr>
          <w:sz w:val="20"/>
          <w:szCs w:val="20"/>
          <w:color w:val="auto"/>
        </w:rPr>
      </w:pPr>
    </w:p>
    <w:p>
      <w:pPr>
        <w:ind w:left="332" w:hanging="332"/>
        <w:spacing w:after="0" w:line="261"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110 Antigua Way, Greer, South Carolina 29650.</w:t>
      </w:r>
    </w:p>
    <w:p>
      <w:pPr>
        <w:ind w:left="332" w:hanging="332"/>
        <w:spacing w:after="0" w:line="257"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2" w:lineRule="exact"/>
        <w:rPr>
          <w:rFonts w:ascii="Times New Roman" w:cs="Times New Roman" w:eastAsia="Times New Roman" w:hAnsi="Times New Roman"/>
          <w:sz w:val="14"/>
          <w:szCs w:val="14"/>
          <w:color w:val="auto"/>
        </w:rPr>
      </w:pPr>
    </w:p>
    <w:p>
      <w:pPr>
        <w:ind w:left="332" w:hanging="332"/>
        <w:spacing w:after="0" w:line="260"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5,500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 Boxwood Lane, Greenville, South Carolina 29601.</w:t>
      </w:r>
    </w:p>
    <w:p>
      <w:pPr>
        <w:spacing w:after="0" w:line="1"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20,000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1411-D Laurens Road, Greenville, South Carolina 29607.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2"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7,500 shares of Series B Preferred Stock originally issued to the Selling Stockholder and shares of Common Stock issuable upon conversion of shares of Series B Preferred Stock to be issued as dividends.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2" w:lineRule="exact"/>
        <w:rPr>
          <w:rFonts w:ascii="Times New Roman" w:cs="Times New Roman" w:eastAsia="Times New Roman" w:hAnsi="Times New Roman"/>
          <w:sz w:val="14"/>
          <w:szCs w:val="14"/>
          <w:color w:val="auto"/>
        </w:rPr>
      </w:pPr>
    </w:p>
    <w:p>
      <w:pPr>
        <w:ind w:left="332" w:right="100" w:hanging="332"/>
        <w:spacing w:after="0" w:line="260"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Abington Hall Court, Greer, South Carolina 29650.</w:t>
      </w:r>
    </w:p>
    <w:p>
      <w:pPr>
        <w:spacing w:after="0" w:line="1" w:lineRule="exact"/>
        <w:rPr>
          <w:rFonts w:ascii="Times New Roman" w:cs="Times New Roman" w:eastAsia="Times New Roman" w:hAnsi="Times New Roman"/>
          <w:sz w:val="14"/>
          <w:szCs w:val="14"/>
          <w:color w:val="auto"/>
        </w:rPr>
      </w:pPr>
    </w:p>
    <w:p>
      <w:pPr>
        <w:ind w:left="332" w:right="100" w:hanging="332"/>
        <w:spacing w:after="0" w:line="256"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30,000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207 Kaplan Koru Place, Inman, South Carolina 29349.</w:t>
      </w:r>
    </w:p>
    <w:p>
      <w:pPr>
        <w:spacing w:after="0" w:line="1" w:lineRule="exact"/>
        <w:rPr>
          <w:rFonts w:ascii="Times New Roman" w:cs="Times New Roman" w:eastAsia="Times New Roman" w:hAnsi="Times New Roman"/>
          <w:sz w:val="14"/>
          <w:szCs w:val="14"/>
          <w:color w:val="auto"/>
        </w:rPr>
      </w:pPr>
    </w:p>
    <w:p>
      <w:pPr>
        <w:ind w:left="332" w:right="100" w:hanging="332"/>
        <w:spacing w:after="0" w:line="262" w:lineRule="auto"/>
        <w:tabs>
          <w:tab w:leader="none" w:pos="32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750,000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Founder and Chief Investment Officer of Commonwealth Asset Management LP,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12"/>
          </w:cols>
          <w:pgMar w:left="328" w:top="1440" w:right="359" w:bottom="1440" w:gutter="0" w:footer="0" w:header="0"/>
        </w:sectPr>
      </w:pPr>
    </w:p>
    <w:bookmarkStart w:id="125" w:name="page126"/>
    <w:bookmarkEnd w:id="125"/>
    <w:p>
      <w:pPr>
        <w:spacing w:after="0" w:line="13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the investment manager of the Selling Stockholder. The business address of the listed Selling Stockholder is 11755 Wilshire Boulevard, Suite 2320, Los Angeles, California 90025. Mr.</w:t>
      </w:r>
    </w:p>
    <w:p>
      <w:pPr>
        <w:spacing w:after="0" w:line="2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Fisher served on the board of directors of Learn CW and as Learn CW’s President.</w:t>
      </w:r>
    </w:p>
    <w:p>
      <w:pPr>
        <w:spacing w:after="0" w:line="15" w:lineRule="exact"/>
        <w:rPr>
          <w:sz w:val="20"/>
          <w:szCs w:val="20"/>
          <w:color w:val="auto"/>
        </w:rPr>
      </w:pPr>
    </w:p>
    <w:p>
      <w:pPr>
        <w:ind w:left="332" w:right="4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2"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100,000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accordingly, may be deemed to have voting and investment power over the shares. The business address of the listed Selling Stockholder is 750 E. Pratt Street, Suite 900, Baltimore, Maryland 21202.</w:t>
      </w:r>
    </w:p>
    <w:p>
      <w:pPr>
        <w:spacing w:after="0" w:line="2"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5,000 shares of Series B Preferred Stock originally issued to the Selling Stockholder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60" w:hanging="332"/>
        <w:spacing w:after="0" w:line="256"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4,418,307 shares of Common Stock that may be issued to Yorkville pursuant to the SEPA without exceeding the Exchange Cap.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c/o Mark Angelo, 1012 Springfield Avenue, Mountainside, New Jersey, 07092.</w:t>
      </w:r>
    </w:p>
    <w:p>
      <w:pPr>
        <w:spacing w:after="0" w:line="1" w:lineRule="exact"/>
        <w:rPr>
          <w:rFonts w:ascii="Times New Roman" w:cs="Times New Roman" w:eastAsia="Times New Roman" w:hAnsi="Times New Roman"/>
          <w:sz w:val="14"/>
          <w:szCs w:val="14"/>
          <w:color w:val="auto"/>
        </w:rPr>
      </w:pPr>
    </w:p>
    <w:p>
      <w:pPr>
        <w:ind w:left="332" w:right="120" w:hanging="332"/>
        <w:spacing w:after="0" w:line="263"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Anuranjita Tewary and Jonathan R. Goldman are the trustees of the Selling Stockholder and share voting power and investment power over the shares held by the Selling Stockholder. The business address of the listed Selling Stockholder is PO Box 429 PMB 80399, San Jose, California 95103. Ms. Tewary served as a director of Learn CW.</w:t>
      </w:r>
    </w:p>
    <w:p>
      <w:pPr>
        <w:spacing w:after="0" w:line="158" w:lineRule="exact"/>
        <w:rPr>
          <w:rFonts w:ascii="Times New Roman" w:cs="Times New Roman" w:eastAsia="Times New Roman" w:hAnsi="Times New Roman"/>
          <w:sz w:val="14"/>
          <w:szCs w:val="14"/>
          <w:color w:val="auto"/>
        </w:rPr>
      </w:pPr>
    </w:p>
    <w:p>
      <w:pPr>
        <w:ind w:left="332" w:right="120" w:hanging="332"/>
        <w:spacing w:after="0" w:line="264"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317 South Burlingame Avenue, Los Angeles, California 90049. Mr. Stern served as a director of Learn CW.</w:t>
      </w:r>
    </w:p>
    <w:p>
      <w:pPr>
        <w:spacing w:after="0" w:line="157"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11755 Wilshire Boulevard, Suite 2320, Los Angeles, California 90025. Mr. Relan served as a director of Learn CW.</w:t>
      </w:r>
    </w:p>
    <w:p>
      <w:pPr>
        <w:spacing w:after="0" w:line="1" w:lineRule="exact"/>
        <w:rPr>
          <w:rFonts w:ascii="Times New Roman" w:cs="Times New Roman" w:eastAsia="Times New Roman" w:hAnsi="Times New Roman"/>
          <w:sz w:val="14"/>
          <w:szCs w:val="14"/>
          <w:color w:val="auto"/>
        </w:rPr>
      </w:pPr>
    </w:p>
    <w:p>
      <w:pPr>
        <w:ind w:left="332" w:hanging="332"/>
        <w:spacing w:after="0" w:line="264"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157" w:lineRule="exact"/>
        <w:rPr>
          <w:rFonts w:ascii="Times New Roman" w:cs="Times New Roman" w:eastAsia="Times New Roman" w:hAnsi="Times New Roman"/>
          <w:sz w:val="14"/>
          <w:szCs w:val="14"/>
          <w:color w:val="auto"/>
        </w:rPr>
      </w:pPr>
    </w:p>
    <w:p>
      <w:pPr>
        <w:jc w:val="both"/>
        <w:ind w:left="332" w:right="120" w:hanging="332"/>
        <w:spacing w:after="0" w:line="272" w:lineRule="auto"/>
        <w:tabs>
          <w:tab w:leader="none" w:pos="32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1,170,262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32"/>
          </w:cols>
          <w:pgMar w:left="328" w:top="1440" w:right="339" w:bottom="1440" w:gutter="0" w:footer="0" w:header="0"/>
        </w:sectPr>
      </w:pPr>
    </w:p>
    <w:bookmarkStart w:id="126" w:name="page127"/>
    <w:bookmarkEnd w:id="126"/>
    <w:p>
      <w:pPr>
        <w:spacing w:after="0" w:line="135" w:lineRule="exact"/>
        <w:rPr>
          <w:sz w:val="20"/>
          <w:szCs w:val="20"/>
          <w:color w:val="auto"/>
        </w:rPr>
      </w:pPr>
    </w:p>
    <w:p>
      <w:pPr>
        <w:ind w:left="332" w:right="100" w:hanging="332"/>
        <w:spacing w:after="0" w:line="262"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877,697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100" w:hanging="332"/>
        <w:spacing w:after="0" w:line="260"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585,131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ind w:left="332" w:right="100" w:hanging="332"/>
        <w:spacing w:after="0" w:line="254"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292,566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hanging="332"/>
        <w:spacing w:after="0" w:line="259"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2,724,344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Selling Stockholder was the Sponsor of Learn CW and is owned by CWAM Investors LLC and Learn Capital, LLC. Each of Messrs. Adam Fisher and Alan Howard (indirectly through their respective investment vehicles) is a member of CWAM Investors LLC. Mr. Robert Hutter is the sole member of Learn Capital, LLC. The non-member manager of the Sponsor is ABF Manager LLC. Mr. Fisher is the sole member of ABF Manager LLC. Accordingly, Messrs. Hutter, Fisher and Howard each may be deemed to indirectly beneficially own the shares directly beneficially owned by the Selling Stockholder. Messrs. Hutter, Fisher, and Howard served on the board of directors of Learn CW and Messrs. Hutter and Fisher served as Learn CW’s Chief Executive Officer and President, respectively. The business address of the listed Selling Stockholder is 11755 Wilshire Boulevard, Suite 2320, Los Angeles, California 90025.</w:t>
      </w:r>
    </w:p>
    <w:p>
      <w:pPr>
        <w:ind w:left="332" w:right="320" w:hanging="332"/>
        <w:spacing w:after="0" w:line="262" w:lineRule="auto"/>
        <w:tabs>
          <w:tab w:leader="none" w:pos="329"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25,000 shares of Common Stock issuable pursuant to the Roth Letter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888 San Clemente Drive, Suite 400, Newport Beach, California 92660.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12"/>
          </w:cols>
          <w:pgMar w:left="328" w:top="1440" w:right="359" w:bottom="1440" w:gutter="0" w:footer="0" w:header="0"/>
        </w:sectPr>
      </w:pPr>
    </w:p>
    <w:bookmarkStart w:id="127" w:name="page128"/>
    <w:bookmarkEnd w:id="12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250,000,000 shares of Common Stock authorized and, as of October 25, 2024, 49,522,673 shares of Common Stock are issued and outstanding. The Company also has 25,000,000 shares of preferred stock authorized. Of the 25,000,000 shares of preferred stock authorized, 3,000,000 shares have been designated as “Series B Preferred Stock.” As of October 25, 2024, 1,102,000 shares of Series B Preferred Stock are issued and outstanding.</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issued in connection with the Business Combination are freely transferable under the Securities Act by persons other than by the Company’s “affiliates” or Learn CW’s “affiliates” without restriction or further registration under the Securities Act. In addition, certain Innventure LLC members are subject to certain transfer restrictions specified in the A&amp;R Certificate of Incorporation with respect to a portion of their Common Stock, which may not be freely traded or sold until April 1, 2025, which is 180 days after the closing of the Business Combination.</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Common Stock in the public market could adversely affect prevailing market prices of the Common Stock. Prior to the Business Combination, there was no public market for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A&amp;R Registration Right Agreement, Innventure is required to file a registration statement within 45 days after the consummation of the Business Combination registering the number of shares of Common Stock to permit the public resale of the Registrable Securities (as defined in the A&amp;R Registration Right Agreement) held by the holders thereto and use commercially reasonable efforts to have the registration statement declared effective and to maintain the effectiveness of such registration statement.</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further agreed to file a registration statement with the SEC to permit the public resale of the shares of Common Stock issued to the Series B Investors, WTI Fund X, LLC and WTI Fund XI, LLC, Yorkville, and Roth pursuant to the Series B Investment Agreements, the Registration Rights Agreement, dated October 22, 2024, by and among the Company and WTI Fund X, LLC and WTI Fund XI, LLC (the “WTI RRA”), the SEPA, and the Roth Letter Agreement, respectively.</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registering securities of the Company pursuant to the A&amp;R Registration Right Agreement, the WTI RRA, the SEPA, and the Roth Letter Agreement, respectively, held by certain Company equity holders, each identified as a Selling Stockholder herein. The aggregate number of shares of Common Stock that will be entitled to registration under the A&amp;R Registration Right Agreement, the WTI RRA, the SEPA (giving effect to the Exchange Cap), and the Roth Letter Agreement is approximately 14,488,342.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pursuant to which such persons agreed, subject to certain customary exceptions, not to (i) sell, offer to sell, contract or agree to sell, hypothecate, pledge, grant any option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Common Stock, or any securities convertible into, exercisable for, exchangeable for or that represent the right to receive any shares of Common Stock (collectively, the “Restricted Shares”), currently owned or acquired after the date of the applicable Lock-Up Agreement, that is owned directly by such Lock-Up Party (including securities held as custodian) or with respect to which such Lock-Up Party has beneficial ownership within the rules and regulations of the SEC, (ii) enter into any swap or other arrangement that transfers to another, in whole or in part, any of the economic consequences of ownership of any of the Restricted Shares, whether any such transaction is to be settled by delivery of such securities, in cash or otherwise or (iii) publicly announce any intention to effect any transaction specified in clause (i) or (ii) for a period ending upon the earlier of (A) the expiration of one year after the Closing, and (B) subsequent to the Closing, (i) if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Common Stock for cash securities or other property.</w:t>
      </w:r>
    </w:p>
    <w:p>
      <w:pPr>
        <w:spacing w:after="0" w:line="12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On October 7, 2021, Learn CW entered into a letter agreement dated October 7, 2021, by and among Learn CW and its officers, directors, director nominees, and the Sponsor (the “Original Sponsor Letter Agreement”), pursuant to which, among other things and in relevant part, the parties are subject to a lock-up on sales of their Common Stock until one year after the completion of the Business Combination or (b) subsequent to the Business Combination,</w:t>
      </w:r>
    </w:p>
    <w:p>
      <w:pPr>
        <w:spacing w:after="0" w:line="2" w:lineRule="exact"/>
        <w:rPr>
          <w:sz w:val="20"/>
          <w:szCs w:val="20"/>
          <w:color w:val="auto"/>
        </w:rPr>
      </w:pPr>
    </w:p>
    <w:p>
      <w:pPr>
        <w:ind w:right="20" w:firstLine="8"/>
        <w:spacing w:after="0" w:line="252"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completes a liquidation, merger, share exchange or other similar transaction that results in all of the Company’s shareholders having the right to exchange their shares of Common Stock for cash, securities or other property or (y) if the closing price of the Common Stock equals or exceeds $12.00 per share (as adjusted for share sub-divisions, share capitalizations, reorganizations, recapitalizations and other similar transactions) for any twenty (20) trading days within any 30-trading day period commencing at least 150 days after the Business Combination. Any of their Innventure Warrants and shares of Common Stock underlying such warrants are also locked up until thirty (30) days after the completion of the Business Combination.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Subject to the further restrictions described below under “</w:t>
      </w:r>
      <w:r>
        <w:rPr>
          <w:rFonts w:ascii="Times New Roman" w:cs="Times New Roman" w:eastAsia="Times New Roman" w:hAnsi="Times New Roman"/>
          <w:sz w:val="18"/>
          <w:szCs w:val="18"/>
          <w:i w:val="1"/>
          <w:iCs w:val="1"/>
          <w:color w:val="auto"/>
        </w:rPr>
        <w:t>Restrictions on the Use of Rule 144 for Securities of Shell Companies or Former Shell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pursuant to Rule 144 under the Securities Act (“Rule 144”), a person who has beneficially owned restricted Common Stock or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Innventure Warrants for at least six months but who are affiliates of Innventure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22"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Common Stock then outstanding;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by affiliates of Innventure under Rule 144 are also limited by manner of sale provisions and notice requirements and to the availability of current public information about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for Securities of Shell Companies or Former Shell Companies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40" w:lineRule="exact"/>
        <w:rPr>
          <w:sz w:val="20"/>
          <w:szCs w:val="20"/>
          <w:color w:val="auto"/>
        </w:rPr>
      </w:pPr>
    </w:p>
    <w:p>
      <w:pPr>
        <w:ind w:left="660" w:right="20" w:hanging="328"/>
        <w:spacing w:after="0" w:line="282"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although Innventure is a new registrant, shares of Common Stock and Innventure Warrants may not be eligible for sale pursuant to Rule 144 without registration until October 9, 2025—one year from the time that Innventure filed current Form 10 type information with the SEC.</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Innventure is no longer a shell company, and so, once the conditions set forth in the exceptions listed above are satisfied, Rule 144 will become available for the resale of the above noted restricted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remain subject to lock-up arrangements and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of up to 14,488,342 shares of Common Stock, which includes (i) up to 3,275,035 shares of Common Stock that may be issued upon conversion of Series B Preferred Stock, (ii) up to 4,418,307 shares of Common Stock that we may issue and sell to Yorkville, from time to time pursuant to the SEPA (without exceeding the Exchange Cap), (iii) 5,770,000 shares of Common Stock held by certain stockholders party to the A&amp;R Registration Rights Agreement, (iv) 25,000 shares of Common Stock issued to Roth, and (v) 1,000,000 shares of Common Stock that may be issued upon exercise of the WTI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2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 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their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Selling Stockholders under the A&amp;R Registration Rights Agreement and the WTI RRA, the Company has agreed to keep this prospectus effective and in compliance with the Securities Act until the earlier of (i) such time as there are no longer any registrable securities under such agreements or (ii) the tenth-year anniversary of such agreement. The Company has also agreed to keep this prospectus effective and in compliance with the Securities Act until such time as there are no longer any registrable securities under the Roth Letter Agreement or until the one-year anniversary of such agreement and to keep this prospectus effective and in compliance with the Securities Act until the expiration of the SEPA.</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have entered into lock-up agreements. See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Innventure LLC as of and for the years ended December 31, 2023 and 2022 included in this prospectus and in the registration statement of which this prospectus forms a part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financial statements for Learn CW Investment Corporation as of and for the years ended December 31, 2023 and 2022 appearing in this prospectus have been audited by Marcum LLP, independent registered public accounting firm, as set forth in their report thereon (which contains an explanatory paragraph relating to substantial doubt about the ability of Learn CW Investment Corporation to continue as a going concern) appearing elsewhere in this prospectus, and are included in reliance on such report given on the authority of such firm as experts in auditing and accounting.</w:t>
      </w:r>
    </w:p>
    <w:p>
      <w:pPr>
        <w:spacing w:after="0" w:line="1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by this prospectus.</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80"/>
          </w:cols>
          <w:pgMar w:left="320" w:top="1440" w:right="3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gridSpan w:val="18"/>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7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0" w:type="dxa"/>
            <w:vAlign w:val="bottom"/>
            <w:gridSpan w:val="20"/>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LEARN CW INVESTMENT CORPORATION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61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Number 688)</w:t>
            </w:r>
          </w:p>
        </w:tc>
        <w:tc>
          <w:tcPr>
            <w:tcW w:w="4280" w:type="dxa"/>
            <w:vAlign w:val="bottom"/>
            <w:gridSpan w:val="14"/>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Balance Sheets as of December 31, 2023 and 2022</w:t>
            </w:r>
          </w:p>
        </w:tc>
        <w:tc>
          <w:tcPr>
            <w:tcW w:w="4280" w:type="dxa"/>
            <w:vAlign w:val="bottom"/>
            <w:gridSpan w:val="14"/>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F-4</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Statements of Operations for the year ended December 31, 2023 and December 31, 2022</w:t>
            </w:r>
          </w:p>
        </w:tc>
        <w:tc>
          <w:tcPr>
            <w:tcW w:w="4060" w:type="dxa"/>
            <w:vAlign w:val="bottom"/>
            <w:gridSpan w:val="1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Statements of Changes in Shareholders’ Deficit for the year ended December 31, 2023 and December 31,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F-6</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Statements of Cash Flows for the year ended December 31, 2023 and December 31, 2022</w:t>
            </w:r>
          </w:p>
        </w:tc>
        <w:tc>
          <w:tcPr>
            <w:tcW w:w="4000" w:type="dxa"/>
            <w:vAlign w:val="bottom"/>
            <w:gridSpan w:val="1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87"/>
              </w:rPr>
              <w:t>F-7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4300" w:type="dxa"/>
            <w:vAlign w:val="bottom"/>
            <w:gridSpan w:val="10"/>
          </w:tcPr>
          <w:p>
            <w:pPr>
              <w:spacing w:after="0"/>
              <w:rPr>
                <w:sz w:val="16"/>
                <w:szCs w:val="16"/>
                <w:color w:val="auto"/>
              </w:rPr>
            </w:pPr>
          </w:p>
        </w:tc>
        <w:tc>
          <w:tcPr>
            <w:tcW w:w="4000" w:type="dxa"/>
            <w:vAlign w:val="bottom"/>
            <w:gridSpan w:val="12"/>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5"/>
              </w:rPr>
              <w:t>F-8</w:t>
            </w:r>
            <w:r>
              <w:rPr>
                <w:rFonts w:ascii="Times New Roman" w:cs="Times New Roman" w:eastAsia="Times New Roman" w:hAnsi="Times New Roman"/>
                <w:sz w:val="18"/>
                <w:szCs w:val="18"/>
                <w:color w:val="000000"/>
                <w:w w:val="95"/>
              </w:rPr>
              <w:t>-</w:t>
            </w:r>
            <w:r>
              <w:rPr>
                <w:rFonts w:ascii="Times New Roman" w:cs="Times New Roman" w:eastAsia="Times New Roman" w:hAnsi="Times New Roman"/>
                <w:sz w:val="18"/>
                <w:szCs w:val="18"/>
                <w:color w:val="0000FF"/>
                <w:w w:val="95"/>
              </w:rPr>
              <w:t>F-23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3"/>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Balance Sheets as of June 30, 2024 (Unaudited) and December 31, 2023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F-24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 ended June 30, 2024 and 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F-25</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Shareholders’ Deficit for the Three and Six Months ended June 30, 2024 and 2023</w:t>
            </w:r>
          </w:p>
        </w:tc>
        <w:tc>
          <w:tcPr>
            <w:tcW w:w="980" w:type="dxa"/>
            <w:vAlign w:val="bottom"/>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Unaudited Condensed Statements of Cash Flows for the Six Months ended June 30, 2024 and 2023</w:t>
            </w:r>
          </w:p>
        </w:tc>
        <w:tc>
          <w:tcPr>
            <w:tcW w:w="98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F-27</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Financial Statements (Unaudited)</w:t>
            </w:r>
          </w:p>
        </w:tc>
        <w:tc>
          <w:tcPr>
            <w:tcW w:w="7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F-28</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F-44</w:t>
            </w:r>
          </w:p>
        </w:tc>
      </w:tr>
      <w:tr>
        <w:trPr>
          <w:trHeight w:val="450"/>
        </w:trPr>
        <w:tc>
          <w:tcPr>
            <w:tcW w:w="20" w:type="dxa"/>
            <w:vAlign w:val="bottom"/>
            <w:tcBorders>
              <w:top w:val="single" w:sz="8" w:color="CCEEFF"/>
            </w:tcBorders>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gridSpan w:val="17"/>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6"/>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0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F-46</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Mezzanine Capital for the years ended December 31, 2023 and 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F-49</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6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Unitholders’ Deficit for the years ended December 31, 2023 and 2022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F-50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9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2540" w:type="dxa"/>
            <w:vAlign w:val="bottom"/>
            <w:gridSpan w:val="7"/>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F-51</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00" w:type="dxa"/>
            <w:vAlign w:val="bottom"/>
            <w:gridSpan w:val="21"/>
            <w:shd w:val="clear" w:color="auto" w:fill="CCEEFF"/>
          </w:tcPr>
          <w:p>
            <w:pPr>
              <w:spacing w:after="0"/>
              <w:rPr>
                <w:sz w:val="18"/>
                <w:szCs w:val="18"/>
                <w:color w:val="auto"/>
              </w:rPr>
            </w:pPr>
          </w:p>
        </w:tc>
        <w:tc>
          <w:tcPr>
            <w:tcW w:w="760" w:type="dxa"/>
            <w:vAlign w:val="bottom"/>
            <w:gridSpan w:val="6"/>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F-53</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F-77</w:t>
            </w:r>
          </w:p>
        </w:tc>
      </w:tr>
      <w:tr>
        <w:trPr>
          <w:trHeight w:val="500"/>
        </w:trPr>
        <w:tc>
          <w:tcPr>
            <w:tcW w:w="20" w:type="dxa"/>
            <w:vAlign w:val="bottom"/>
            <w:tcBorders>
              <w:top w:val="single" w:sz="8" w:color="CCEEFF"/>
            </w:tcBorders>
          </w:tcPr>
          <w:p>
            <w:pPr>
              <w:spacing w:after="0"/>
              <w:rPr>
                <w:sz w:val="24"/>
                <w:szCs w:val="24"/>
                <w:color w:val="auto"/>
              </w:rPr>
            </w:pPr>
          </w:p>
        </w:tc>
        <w:tc>
          <w:tcPr>
            <w:tcW w:w="3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7300" w:type="dxa"/>
            <w:vAlign w:val="bottom"/>
            <w:tcBorders>
              <w:top w:val="single" w:sz="8" w:color="CCEEFF"/>
            </w:tcBorders>
            <w:gridSpan w:val="21"/>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70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as of June 30, 2024 (Unaudited) and December 31, 2023</w:t>
            </w:r>
          </w:p>
        </w:tc>
        <w:tc>
          <w:tcPr>
            <w:tcW w:w="3400" w:type="dxa"/>
            <w:vAlign w:val="bottom"/>
            <w:gridSpan w:val="11"/>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F-78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six months ended June 30, 2024 and 2023 (Unaudited)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F-79</w:t>
            </w:r>
          </w:p>
        </w:tc>
      </w:tr>
      <w:tr>
        <w:trPr>
          <w:trHeight w:val="21"/>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5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Mezzanine Capital for the six months ended June 30, 2024 and 2023 (Unaudited)</w:t>
            </w:r>
          </w:p>
        </w:tc>
        <w:tc>
          <w:tcPr>
            <w:tcW w:w="8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F-80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Unitholders' Deficit for the six months ended June 30, 2024 and 2023 (Unaudited)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F-81</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22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2024 and 2023 (Unaudited)</w:t>
            </w:r>
          </w:p>
        </w:tc>
        <w:tc>
          <w:tcPr>
            <w:tcW w:w="2240" w:type="dxa"/>
            <w:vAlign w:val="bottom"/>
            <w:gridSpan w:val="4"/>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3"/>
              </w:rPr>
              <w:t>F-82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220" w:type="dxa"/>
            <w:vAlign w:val="bottom"/>
            <w:gridSpan w:val="14"/>
          </w:tcPr>
          <w:p>
            <w:pPr>
              <w:spacing w:after="0"/>
              <w:rPr>
                <w:sz w:val="16"/>
                <w:szCs w:val="16"/>
                <w:color w:val="auto"/>
              </w:rPr>
            </w:pPr>
          </w:p>
        </w:tc>
        <w:tc>
          <w:tcPr>
            <w:tcW w:w="2240" w:type="dxa"/>
            <w:vAlign w:val="bottom"/>
            <w:gridSpan w:val="4"/>
          </w:tcPr>
          <w:p>
            <w:pPr>
              <w:spacing w:after="0"/>
              <w:rPr>
                <w:sz w:val="16"/>
                <w:szCs w:val="16"/>
                <w:color w:val="auto"/>
              </w:rPr>
            </w:pPr>
          </w:p>
        </w:tc>
        <w:tc>
          <w:tcPr>
            <w:tcW w:w="760" w:type="dxa"/>
            <w:vAlign w:val="bottom"/>
            <w:gridSpan w:val="6"/>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97"/>
              </w:rPr>
              <w:t>F-84</w:t>
            </w:r>
            <w:r>
              <w:rPr>
                <w:rFonts w:ascii="Times New Roman" w:cs="Times New Roman" w:eastAsia="Times New Roman" w:hAnsi="Times New Roman"/>
                <w:sz w:val="18"/>
                <w:szCs w:val="18"/>
                <w:color w:val="000000"/>
                <w:w w:val="97"/>
              </w:rPr>
              <w:t>-</w:t>
            </w:r>
            <w:r>
              <w:rPr>
                <w:rFonts w:ascii="Times New Roman" w:cs="Times New Roman" w:eastAsia="Times New Roman" w:hAnsi="Times New Roman"/>
                <w:sz w:val="18"/>
                <w:szCs w:val="18"/>
                <w:color w:val="0000FF"/>
                <w:w w:val="97"/>
              </w:rPr>
              <w:t>F-94</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CW Investment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Learn CW Investment Corporation (the “Company”) as of December 31, 2023 and 2022, the related statements of operations, changes in shareholders’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October 13, 2024. The Company entered into a business combination agreement with a business combination target on October 24,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April 13, 2024, if at all. The Company also has no approved plan in place to extend the business combination deadline and fund operations for any period of time after October 13,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0139"/>
          </w:cols>
          <w:pgMar w:left="320" w:top="121"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09" w:lineRule="exact"/>
        <w:rPr>
          <w:sz w:val="20"/>
          <w:szCs w:val="20"/>
          <w:color w:val="auto"/>
        </w:rPr>
      </w:pPr>
    </w:p>
    <w:p>
      <w:pPr>
        <w:jc w:val="right"/>
        <w:ind w:right="20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December 31, 2023</w:t>
      </w:r>
      <w:r>
        <w:rPr>
          <w:sz w:val="20"/>
          <w:szCs w:val="20"/>
          <w:color w:val="auto"/>
        </w:rPr>
        <w:tab/>
      </w:r>
      <w:r>
        <w:rPr>
          <w:rFonts w:ascii="Times New Roman" w:cs="Times New Roman" w:eastAsia="Times New Roman" w:hAnsi="Times New Roman"/>
          <w:sz w:val="14"/>
          <w:szCs w:val="14"/>
          <w:b w:val="1"/>
          <w:bCs w:val="1"/>
          <w:color w:val="auto"/>
        </w:rPr>
        <w:t>December 31, 2022</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Assets Held in Trust Account</w:t>
            </w:r>
          </w:p>
        </w:tc>
        <w:tc>
          <w:tcPr>
            <w:tcW w:w="2080" w:type="dxa"/>
            <w:vAlign w:val="bottom"/>
          </w:tcPr>
          <w:p>
            <w:pPr>
              <w:spacing w:after="0"/>
              <w:rPr>
                <w:sz w:val="23"/>
                <w:szCs w:val="23"/>
                <w:color w:val="auto"/>
              </w:rPr>
            </w:pPr>
          </w:p>
        </w:tc>
      </w:tr>
      <w:tr>
        <w:trPr>
          <w:trHeight w:val="297"/>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95"/>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080" w:type="dxa"/>
            <w:vAlign w:val="bottom"/>
          </w:tcPr>
          <w:p>
            <w:pPr>
              <w:spacing w:after="0"/>
              <w:rPr>
                <w:sz w:val="24"/>
                <w:szCs w:val="24"/>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80" w:type="dxa"/>
            <w:vAlign w:val="bottom"/>
          </w:tcPr>
          <w:p>
            <w:pPr>
              <w:spacing w:after="0"/>
              <w:rPr>
                <w:sz w:val="20"/>
                <w:szCs w:val="20"/>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80" w:type="dxa"/>
            <w:vAlign w:val="bottom"/>
          </w:tcPr>
          <w:p>
            <w:pPr>
              <w:spacing w:after="0"/>
              <w:rPr>
                <w:sz w:val="22"/>
                <w:szCs w:val="22"/>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2080" w:type="dxa"/>
            <w:vAlign w:val="bottom"/>
          </w:tcPr>
          <w:p>
            <w:pPr>
              <w:spacing w:after="0"/>
              <w:rPr>
                <w:sz w:val="22"/>
                <w:szCs w:val="22"/>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credits</w:t>
            </w:r>
          </w:p>
        </w:tc>
        <w:tc>
          <w:tcPr>
            <w:tcW w:w="208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80" w:type="dxa"/>
            <w:vAlign w:val="bottom"/>
          </w:tcPr>
          <w:p>
            <w:pPr>
              <w:spacing w:after="0"/>
              <w:rPr>
                <w:sz w:val="23"/>
                <w:szCs w:val="23"/>
                <w:color w:val="auto"/>
              </w:rPr>
            </w:pPr>
          </w:p>
        </w:tc>
      </w:tr>
      <w:tr>
        <w:trPr>
          <w:trHeight w:val="25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Underwriter’s Fee Payable</w:t>
            </w:r>
          </w:p>
        </w:tc>
        <w:tc>
          <w:tcPr>
            <w:tcW w:w="2080" w:type="dxa"/>
            <w:vAlign w:val="bottom"/>
          </w:tcPr>
          <w:p>
            <w:pPr>
              <w:spacing w:after="0"/>
              <w:rPr>
                <w:sz w:val="22"/>
                <w:szCs w:val="22"/>
                <w:color w:val="auto"/>
              </w:rPr>
            </w:pP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 Related Party</w:t>
            </w:r>
          </w:p>
        </w:tc>
        <w:tc>
          <w:tcPr>
            <w:tcW w:w="2080" w:type="dxa"/>
            <w:vAlign w:val="bottom"/>
          </w:tcPr>
          <w:p>
            <w:pPr>
              <w:spacing w:after="0"/>
              <w:rPr>
                <w:sz w:val="22"/>
                <w:szCs w:val="22"/>
                <w:color w:val="auto"/>
              </w:rPr>
            </w:pP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80" w:type="dxa"/>
            <w:vAlign w:val="bottom"/>
          </w:tcPr>
          <w:p>
            <w:pPr>
              <w:spacing w:after="0"/>
              <w:rPr>
                <w:sz w:val="23"/>
                <w:szCs w:val="23"/>
                <w:color w:val="auto"/>
              </w:rPr>
            </w:pPr>
          </w:p>
        </w:tc>
      </w:tr>
      <w:tr>
        <w:trPr>
          <w:trHeight w:val="261"/>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&amp; CONTINGENCIES (NOTE 6)</w:t>
            </w:r>
          </w:p>
        </w:tc>
        <w:tc>
          <w:tcPr>
            <w:tcW w:w="20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-1774190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80" w:right="160" w:hanging="161"/>
        <w:spacing w:after="0" w:line="234" w:lineRule="auto"/>
        <w:rPr>
          <w:sz w:val="20"/>
          <w:szCs w:val="20"/>
          <w:color w:val="auto"/>
        </w:rPr>
      </w:pPr>
      <w:r>
        <w:rPr>
          <w:rFonts w:ascii="Times New Roman" w:cs="Times New Roman" w:eastAsia="Times New Roman" w:hAnsi="Times New Roman"/>
          <w:sz w:val="18"/>
          <w:szCs w:val="18"/>
          <w:color w:val="auto"/>
        </w:rPr>
        <w:t>Class A ordinary shares; 9,338,421 and 23,000,000 shares at redemption value of $10.71 per share and $10.24 per share at December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116,234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748,857</w:t>
            </w:r>
          </w:p>
        </w:tc>
      </w:tr>
      <w:tr>
        <w:trPr>
          <w:trHeight w:val="277"/>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602,682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581,408</w:t>
            </w:r>
          </w:p>
        </w:tc>
      </w:tr>
      <w:tr>
        <w:trPr>
          <w:trHeight w:val="243"/>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718,916</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1,330,265</w:t>
            </w:r>
          </w:p>
        </w:tc>
      </w:tr>
      <w:tr>
        <w:trPr>
          <w:trHeight w:val="277"/>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100,304,232</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50"/>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101,023,148</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236,908,540</w:t>
            </w:r>
          </w:p>
        </w:tc>
      </w:tr>
      <w:tr>
        <w:trPr>
          <w:trHeight w:val="27"/>
        </w:trPr>
        <w:tc>
          <w:tcPr>
            <w:tcW w:w="1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-8255</wp:posOffset>
            </wp:positionV>
            <wp:extent cx="994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8"/>
          <w:szCs w:val="18"/>
          <w:color w:val="auto"/>
        </w:rPr>
        <w:t>5,985,161</w:t>
      </w:r>
      <w:r>
        <w:rPr>
          <w:sz w:val="20"/>
          <w:szCs w:val="20"/>
          <w:color w:val="auto"/>
        </w:rPr>
        <w:tab/>
      </w:r>
      <w:r>
        <w:rPr>
          <w:rFonts w:ascii="Times New Roman" w:cs="Times New Roman" w:eastAsia="Times New Roman" w:hAnsi="Times New Roman"/>
          <w:sz w:val="18"/>
          <w:szCs w:val="18"/>
          <w:color w:val="auto"/>
        </w:rPr>
        <w:t>1,041,776</w:t>
      </w:r>
    </w:p>
    <w:p>
      <w:pPr>
        <w:spacing w:after="0" w:line="50" w:lineRule="exact"/>
        <w:rPr>
          <w:sz w:val="20"/>
          <w:szCs w:val="20"/>
          <w:color w:val="auto"/>
        </w:rPr>
      </w:pPr>
    </w:p>
    <w:p>
      <w:pPr>
        <w:ind w:left="320"/>
        <w:spacing w:after="0"/>
        <w:tabs>
          <w:tab w:leader="none" w:pos="2360" w:val="left"/>
        </w:tabs>
        <w:rPr>
          <w:sz w:val="20"/>
          <w:szCs w:val="20"/>
          <w:color w:val="auto"/>
        </w:rPr>
      </w:pPr>
      <w:r>
        <w:rPr>
          <w:rFonts w:ascii="Times New Roman" w:cs="Times New Roman" w:eastAsia="Times New Roman" w:hAnsi="Times New Roman"/>
          <w:sz w:val="18"/>
          <w:szCs w:val="18"/>
          <w:color w:val="auto"/>
        </w:rPr>
        <w:t>249,339</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20"/>
        <w:spacing w:after="0"/>
        <w:tabs>
          <w:tab w:leader="none" w:pos="2360" w:val="left"/>
        </w:tabs>
        <w:rPr>
          <w:sz w:val="20"/>
          <w:szCs w:val="20"/>
          <w:color w:val="auto"/>
        </w:rPr>
      </w:pPr>
      <w:r>
        <w:rPr>
          <w:rFonts w:ascii="Times New Roman" w:cs="Times New Roman" w:eastAsia="Times New Roman" w:hAnsi="Times New Roman"/>
          <w:sz w:val="18"/>
          <w:szCs w:val="18"/>
          <w:color w:val="auto"/>
        </w:rPr>
        <w:t>400,000</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80"/>
        <w:spacing w:after="0"/>
        <w:tabs>
          <w:tab w:leader="none" w:pos="1820" w:val="left"/>
        </w:tabs>
        <w:rPr>
          <w:sz w:val="20"/>
          <w:szCs w:val="20"/>
          <w:color w:val="auto"/>
        </w:rPr>
      </w:pPr>
      <w:r>
        <w:rPr>
          <w:rFonts w:ascii="Times New Roman" w:cs="Times New Roman" w:eastAsia="Times New Roman" w:hAnsi="Times New Roman"/>
          <w:sz w:val="18"/>
          <w:szCs w:val="18"/>
          <w:color w:val="auto"/>
        </w:rPr>
        <w:t>6,634,500</w:t>
      </w:r>
      <w:r>
        <w:rPr>
          <w:sz w:val="20"/>
          <w:szCs w:val="20"/>
          <w:color w:val="auto"/>
        </w:rPr>
        <w:tab/>
      </w:r>
      <w:r>
        <w:rPr>
          <w:rFonts w:ascii="Times New Roman" w:cs="Times New Roman" w:eastAsia="Times New Roman" w:hAnsi="Times New Roman"/>
          <w:sz w:val="18"/>
          <w:szCs w:val="18"/>
          <w:color w:val="auto"/>
        </w:rPr>
        <w:t>1,041,776</w:t>
      </w:r>
    </w:p>
    <w:p>
      <w:pPr>
        <w:spacing w:after="0" w:line="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—9,780,500</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2,439,0001,050,000</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372,920</w:t>
      </w:r>
      <w:r>
        <w:rPr>
          <w:rFonts w:ascii="Times New Roman" w:cs="Times New Roman" w:eastAsia="Times New Roman" w:hAnsi="Times New Roman"/>
          <w:sz w:val="17"/>
          <w:szCs w:val="17"/>
          <w:color w:val="auto"/>
        </w:rPr>
        <w:t>1,118,760</w:t>
      </w:r>
    </w:p>
    <w:p>
      <w:pPr>
        <w:spacing w:after="0" w:line="73" w:lineRule="exact"/>
        <w:rPr>
          <w:sz w:val="20"/>
          <w:szCs w:val="20"/>
          <w:color w:val="auto"/>
        </w:rPr>
      </w:pPr>
    </w:p>
    <w:p>
      <w:pPr>
        <w:ind w:left="180"/>
        <w:spacing w:after="0"/>
        <w:tabs>
          <w:tab w:leader="none" w:pos="1080" w:val="left"/>
          <w:tab w:leader="none" w:pos="1740" w:val="left"/>
        </w:tabs>
        <w:rPr>
          <w:sz w:val="20"/>
          <w:szCs w:val="20"/>
          <w:color w:val="auto"/>
        </w:rPr>
      </w:pPr>
      <w:r>
        <w:rPr>
          <w:rFonts w:ascii="Times New Roman" w:cs="Times New Roman" w:eastAsia="Times New Roman" w:hAnsi="Times New Roman"/>
          <w:sz w:val="18"/>
          <w:szCs w:val="18"/>
          <w:b w:val="1"/>
          <w:bCs w:val="1"/>
          <w:color w:val="auto"/>
        </w:rPr>
        <w:t>9,446,420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12,991,036</w:t>
      </w:r>
    </w:p>
    <w:p>
      <w:pPr>
        <w:spacing w:after="0" w:line="200" w:lineRule="exact"/>
        <w:rPr>
          <w:sz w:val="20"/>
          <w:szCs w:val="20"/>
          <w:color w:val="auto"/>
        </w:rPr>
      </w:pPr>
    </w:p>
    <w:p>
      <w:pPr>
        <w:spacing w:after="0" w:line="24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100,054,892</w:t>
      </w:r>
      <w:r>
        <w:rPr>
          <w:sz w:val="20"/>
          <w:szCs w:val="20"/>
          <w:color w:val="auto"/>
        </w:rPr>
        <w:tab/>
      </w:r>
      <w:r>
        <w:rPr>
          <w:rFonts w:ascii="Times New Roman" w:cs="Times New Roman" w:eastAsia="Times New Roman" w:hAnsi="Times New Roman"/>
          <w:sz w:val="18"/>
          <w:szCs w:val="18"/>
          <w:color w:val="auto"/>
        </w:rPr>
        <w:t>235,578,275</w:t>
      </w:r>
    </w:p>
    <w:p>
      <w:pPr>
        <w:spacing w:after="0" w:line="559" w:lineRule="exact"/>
        <w:rPr>
          <w:sz w:val="20"/>
          <w:szCs w:val="20"/>
          <w:color w:val="auto"/>
        </w:rPr>
      </w:pPr>
    </w:p>
    <w:p>
      <w:pPr>
        <w:sectPr>
          <w:pgSz w:w="11900" w:h="16838" w:orient="portrait"/>
          <w:cols w:equalWidth="0" w:num="2">
            <w:col w:w="8120" w:space="480"/>
            <w:col w:w="2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outstanding</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outstanding (excluding</w:t>
            </w:r>
          </w:p>
        </w:tc>
        <w:tc>
          <w:tcPr>
            <w:tcW w:w="3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23,000,000 subject to possible redemption) at December 31, 2023 and 2022</w:t>
            </w:r>
          </w:p>
        </w:tc>
        <w:tc>
          <w:tcPr>
            <w:tcW w:w="3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5,750,000 shares issued and</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2023 and 2022</w:t>
            </w: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28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236,908,540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7" w:lineRule="exact"/>
        <w:rPr>
          <w:sz w:val="20"/>
          <w:szCs w:val="20"/>
          <w:color w:val="auto"/>
        </w:rPr>
      </w:pPr>
    </w:p>
    <w:tbl>
      <w:tblPr>
        <w:tblLayout w:type="fixed"/>
        <w:tblInd w:w="8260" w:type="dxa"/>
        <w:tblCellMar>
          <w:top w:w="0" w:type="dxa"/>
          <w:left w:w="0" w:type="dxa"/>
          <w:bottom w:w="0" w:type="dxa"/>
          <w:right w:w="0" w:type="dxa"/>
        </w:tblCellMar>
      </w:tblPr>
      <w:tr>
        <w:trPr>
          <w:trHeight w:val="161"/>
        </w:trPr>
        <w:tc>
          <w:tcPr>
            <w:tcW w:w="13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3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6"/>
        </w:trPr>
        <w:tc>
          <w:tcPr>
            <w:tcW w:w="1340" w:type="dxa"/>
            <w:vAlign w:val="bottom"/>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360" w:type="dxa"/>
            <w:vAlign w:val="bottom"/>
          </w:tcPr>
          <w:p>
            <w:pPr>
              <w:jc w:val="center"/>
              <w:ind w:left="248"/>
              <w:spacing w:after="0" w:line="146" w:lineRule="exact"/>
              <w:rPr>
                <w:sz w:val="20"/>
                <w:szCs w:val="20"/>
                <w:color w:val="auto"/>
              </w:rPr>
            </w:pPr>
            <w:r>
              <w:rPr>
                <w:rFonts w:ascii="Times New Roman" w:cs="Times New Roman" w:eastAsia="Times New Roman" w:hAnsi="Times New Roman"/>
                <w:sz w:val="14"/>
                <w:szCs w:val="14"/>
                <w:b w:val="1"/>
                <w:bCs w:val="1"/>
                <w:color w:val="auto"/>
              </w:rPr>
              <w:t>ended December</w:t>
            </w:r>
          </w:p>
        </w:tc>
      </w:tr>
      <w:tr>
        <w:trPr>
          <w:trHeight w:val="190"/>
        </w:trPr>
        <w:tc>
          <w:tcPr>
            <w:tcW w:w="13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3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31, 2022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Formation costs and other operating expenses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tabs>
          <w:tab w:leader="none" w:pos="720" w:val="left"/>
          <w:tab w:leader="none" w:pos="16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6,204,223</w:t>
        <w:tab/>
        <w:t>$</w:t>
      </w:r>
      <w:r>
        <w:rPr>
          <w:sz w:val="20"/>
          <w:szCs w:val="20"/>
          <w:color w:val="auto"/>
        </w:rPr>
        <w:tab/>
      </w:r>
      <w:r>
        <w:rPr>
          <w:rFonts w:ascii="Times New Roman" w:cs="Times New Roman" w:eastAsia="Times New Roman" w:hAnsi="Times New Roman"/>
          <w:sz w:val="18"/>
          <w:szCs w:val="18"/>
          <w:color w:val="auto"/>
        </w:rPr>
        <w:t>1,802,357</w:t>
      </w:r>
    </w:p>
    <w:p>
      <w:pPr>
        <w:spacing w:after="0" w:line="73" w:lineRule="exact"/>
        <w:rPr>
          <w:sz w:val="20"/>
          <w:szCs w:val="20"/>
          <w:color w:val="auto"/>
        </w:rPr>
      </w:pPr>
    </w:p>
    <w:p>
      <w:pPr>
        <w:jc w:val="both"/>
        <w:ind w:left="68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(6,204,223)</w:t>
      </w:r>
      <w:r>
        <w:rPr>
          <w:sz w:val="20"/>
          <w:szCs w:val="20"/>
          <w:color w:val="auto"/>
        </w:rPr>
        <w:tab/>
      </w:r>
      <w:r>
        <w:rPr>
          <w:rFonts w:ascii="Times New Roman" w:cs="Times New Roman" w:eastAsia="Times New Roman" w:hAnsi="Times New Roman"/>
          <w:sz w:val="18"/>
          <w:szCs w:val="18"/>
          <w:color w:val="auto"/>
        </w:rPr>
        <w:t>(1,802,357)</w:t>
      </w:r>
    </w:p>
    <w:p>
      <w:pPr>
        <w:spacing w:after="0" w:line="283"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8,809,032</w:t>
      </w:r>
      <w:r>
        <w:rPr>
          <w:sz w:val="20"/>
          <w:szCs w:val="20"/>
          <w:color w:val="auto"/>
        </w:rPr>
        <w:tab/>
      </w:r>
      <w:r>
        <w:rPr>
          <w:rFonts w:ascii="Times New Roman" w:cs="Times New Roman" w:eastAsia="Times New Roman" w:hAnsi="Times New Roman"/>
          <w:sz w:val="18"/>
          <w:szCs w:val="18"/>
          <w:color w:val="auto"/>
        </w:rPr>
        <w:t>3,274,564</w:t>
      </w:r>
    </w:p>
    <w:p>
      <w:pPr>
        <w:spacing w:after="0" w:line="50" w:lineRule="exact"/>
        <w:rPr>
          <w:sz w:val="20"/>
          <w:szCs w:val="20"/>
          <w:color w:val="auto"/>
        </w:rPr>
      </w:pPr>
    </w:p>
    <w:p>
      <w:pPr>
        <w:ind w:left="880"/>
        <w:spacing w:after="0"/>
        <w:tabs>
          <w:tab w:leader="none" w:pos="2920" w:val="left"/>
        </w:tabs>
        <w:rPr>
          <w:sz w:val="20"/>
          <w:szCs w:val="20"/>
          <w:color w:val="auto"/>
        </w:rPr>
      </w:pPr>
      <w:r>
        <w:rPr>
          <w:rFonts w:ascii="Times New Roman" w:cs="Times New Roman" w:eastAsia="Times New Roman" w:hAnsi="Times New Roman"/>
          <w:sz w:val="18"/>
          <w:szCs w:val="18"/>
          <w:color w:val="auto"/>
        </w:rPr>
        <w:t>556,743</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80"/>
        <w:spacing w:after="0"/>
        <w:tabs>
          <w:tab w:leader="none" w:pos="2380" w:val="left"/>
        </w:tabs>
        <w:rPr>
          <w:sz w:val="20"/>
          <w:szCs w:val="20"/>
          <w:color w:val="auto"/>
        </w:rPr>
      </w:pPr>
      <w:r>
        <w:rPr>
          <w:rFonts w:ascii="Times New Roman" w:cs="Times New Roman" w:eastAsia="Times New Roman" w:hAnsi="Times New Roman"/>
          <w:sz w:val="18"/>
          <w:szCs w:val="18"/>
          <w:color w:val="auto"/>
        </w:rPr>
        <w:t>745,840</w:t>
      </w:r>
      <w:r>
        <w:rPr>
          <w:sz w:val="20"/>
          <w:szCs w:val="20"/>
          <w:color w:val="auto"/>
        </w:rPr>
        <w:tab/>
      </w:r>
      <w:r>
        <w:rPr>
          <w:rFonts w:ascii="Times New Roman" w:cs="Times New Roman" w:eastAsia="Times New Roman" w:hAnsi="Times New Roman"/>
          <w:sz w:val="18"/>
          <w:szCs w:val="18"/>
          <w:color w:val="auto"/>
        </w:rPr>
        <w:t>8,419,283</w:t>
      </w:r>
    </w:p>
    <w:p>
      <w:pPr>
        <w:spacing w:after="0" w:line="41"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3,907,392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9,891,490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B ordinary shares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CHANGES IN SHAREHOLDERS’ DEFICIT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January 1, 2023</w:t>
      </w:r>
    </w:p>
    <w:p>
      <w:pPr>
        <w:spacing w:after="0" w:line="27" w:lineRule="exact"/>
        <w:rPr>
          <w:sz w:val="20"/>
          <w:szCs w:val="20"/>
          <w:color w:val="auto"/>
        </w:rPr>
      </w:pPr>
    </w:p>
    <w:p>
      <w:pPr>
        <w:ind w:left="20" w:right="100"/>
        <w:spacing w:after="0" w:line="234" w:lineRule="auto"/>
        <w:rPr>
          <w:sz w:val="20"/>
          <w:szCs w:val="20"/>
          <w:color w:val="auto"/>
        </w:rPr>
      </w:pPr>
      <w:r>
        <w:rPr>
          <w:rFonts w:ascii="Times New Roman" w:cs="Times New Roman" w:eastAsia="Times New Roman" w:hAnsi="Times New Roman"/>
          <w:sz w:val="18"/>
          <w:szCs w:val="18"/>
          <w:color w:val="auto"/>
        </w:rPr>
        <w:t>Accretion of Class A shares subject to possible redemption</w:t>
      </w:r>
    </w:p>
    <w:p>
      <w:pPr>
        <w:spacing w:after="0" w:line="37" w:lineRule="exact"/>
        <w:rPr>
          <w:sz w:val="20"/>
          <w:szCs w:val="20"/>
          <w:color w:val="auto"/>
        </w:rPr>
      </w:pPr>
    </w:p>
    <w:p>
      <w:pPr>
        <w:ind w:left="20"/>
        <w:spacing w:after="0" w:line="328" w:lineRule="auto"/>
        <w:rPr>
          <w:sz w:val="20"/>
          <w:szCs w:val="20"/>
          <w:color w:val="auto"/>
        </w:rPr>
      </w:pPr>
      <w:r>
        <w:rPr>
          <w:rFonts w:ascii="Times New Roman" w:cs="Times New Roman" w:eastAsia="Times New Roman" w:hAnsi="Times New Roman"/>
          <w:sz w:val="18"/>
          <w:szCs w:val="18"/>
          <w:color w:val="auto"/>
        </w:rPr>
        <w:t>Gain on settlement of underwriting fees Net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Class B Ordinary</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60" w:type="dxa"/>
            <w:vAlign w:val="bottom"/>
            <w:gridSpan w:val="3"/>
            <w:vMerge w:val="restart"/>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7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244"/>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340" w:type="dxa"/>
            <w:vAlign w:val="bottom"/>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3"/>
        </w:trPr>
        <w:tc>
          <w:tcPr>
            <w:tcW w:w="15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43"/>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1"/>
                <w:szCs w:val="21"/>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21"/>
                <w:szCs w:val="21"/>
                <w:color w:val="auto"/>
              </w:rPr>
            </w:pPr>
          </w:p>
        </w:tc>
        <w:tc>
          <w:tcPr>
            <w:tcW w:w="1240" w:type="dxa"/>
            <w:vAlign w:val="bottom"/>
          </w:tcPr>
          <w:p>
            <w:pPr>
              <w:jc w:val="right"/>
              <w:ind w:right="104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418"/>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0" w:type="dxa"/>
            <w:vAlign w:val="bottom"/>
          </w:tcPr>
          <w:p>
            <w:pPr>
              <w:spacing w:after="0"/>
              <w:rPr>
                <w:sz w:val="1"/>
                <w:szCs w:val="1"/>
                <w:color w:val="auto"/>
              </w:rPr>
            </w:pPr>
          </w:p>
        </w:tc>
      </w:tr>
      <w:tr>
        <w:trPr>
          <w:trHeight w:val="257"/>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0" w:type="dxa"/>
            <w:vAlign w:val="bottom"/>
          </w:tcPr>
          <w:p>
            <w:pPr>
              <w:spacing w:after="0"/>
              <w:rPr>
                <w:sz w:val="1"/>
                <w:szCs w:val="1"/>
                <w:color w:val="auto"/>
              </w:rPr>
            </w:pPr>
          </w:p>
        </w:tc>
      </w:tr>
      <w:tr>
        <w:trPr>
          <w:trHeight w:val="250"/>
        </w:trPr>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1"/>
                <w:szCs w:val="21"/>
                <w:color w:val="auto"/>
              </w:rPr>
            </w:pPr>
          </w:p>
        </w:tc>
        <w:tc>
          <w:tcPr>
            <w:tcW w:w="124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(8,478,739)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(8,478,164)</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4520" w:type="dxa"/>
            <w:vAlign w:val="bottom"/>
            <w:gridSpan w:val="6"/>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6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vMerge w:val="restart"/>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60" w:type="dxa"/>
            <w:vAlign w:val="bottom"/>
            <w:gridSpan w:val="3"/>
            <w:vMerge w:val="restart"/>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76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244"/>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340" w:type="dxa"/>
            <w:vAlign w:val="bottom"/>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-1757680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-1320165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-986155</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80" w:space="200"/>
            <w:col w:w="8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January 1, 2022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(18,274,560)</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(18,273,985)</w:t>
            </w: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shares subject to</w:t>
            </w:r>
          </w:p>
        </w:tc>
        <w:tc>
          <w:tcPr>
            <w:tcW w:w="1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5"/>
                <w:szCs w:val="15"/>
                <w:color w:val="auto"/>
              </w:rPr>
            </w:pP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(3,278,276)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(3,278,276)</w:t>
            </w:r>
          </w:p>
        </w:tc>
        <w:tc>
          <w:tcPr>
            <w:tcW w:w="0" w:type="dxa"/>
            <w:vAlign w:val="bottom"/>
          </w:tcPr>
          <w:p>
            <w:pPr>
              <w:spacing w:after="0"/>
              <w:rPr>
                <w:sz w:val="1"/>
                <w:szCs w:val="1"/>
                <w:color w:val="auto"/>
              </w:rPr>
            </w:pPr>
          </w:p>
        </w:tc>
      </w:tr>
      <w:tr>
        <w:trPr>
          <w:trHeight w:val="23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possible redemption</w:t>
            </w:r>
          </w:p>
        </w:tc>
        <w:tc>
          <w:tcPr>
            <w:tcW w:w="164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2"/>
                <w:szCs w:val="22"/>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2"/>
                <w:szCs w:val="22"/>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(11,661,346)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(11,660,771)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134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3,907,392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9,891,490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earned on investments in Trust Account</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(8,808,542)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(8,419,283)</w:t>
            </w:r>
          </w:p>
        </w:tc>
        <w:tc>
          <w:tcPr>
            <w:tcW w:w="0" w:type="dxa"/>
            <w:vAlign w:val="bottom"/>
          </w:tcPr>
          <w:p>
            <w:pPr>
              <w:spacing w:after="0"/>
              <w:rPr>
                <w:sz w:val="1"/>
                <w:szCs w:val="1"/>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settlement of deferred underwriting fees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(3,274,564)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692,444</w:t>
            </w:r>
          </w:p>
        </w:tc>
        <w:tc>
          <w:tcPr>
            <w:tcW w:w="0" w:type="dxa"/>
            <w:vAlign w:val="bottom"/>
          </w:tcPr>
          <w:p>
            <w:pPr>
              <w:spacing w:after="0"/>
              <w:rPr>
                <w:sz w:val="1"/>
                <w:szCs w:val="1"/>
                <w:color w:val="auto"/>
              </w:rPr>
            </w:pPr>
          </w:p>
        </w:tc>
      </w:tr>
      <w:tr>
        <w:trPr>
          <w:trHeight w:val="25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4,943,384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571,407</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credits</w:t>
            </w: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(881,623)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(538,506)</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of cash in Trust Account</w:t>
            </w: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145,222,585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144,082,585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1,445,000</w:t>
      </w:r>
      <w:r>
        <w:rPr>
          <w:sz w:val="20"/>
          <w:szCs w:val="20"/>
          <w:color w:val="auto"/>
        </w:rPr>
        <w:tab/>
      </w:r>
      <w:r>
        <w:rPr>
          <w:rFonts w:ascii="Times New Roman" w:cs="Times New Roman" w:eastAsia="Times New Roman" w:hAnsi="Times New Roman"/>
          <w:sz w:val="18"/>
          <w:szCs w:val="18"/>
          <w:color w:val="auto"/>
        </w:rPr>
        <w:t>1,050,000</w:t>
      </w:r>
    </w:p>
    <w:p>
      <w:pPr>
        <w:spacing w:after="0" w:line="50" w:lineRule="exact"/>
        <w:rPr>
          <w:sz w:val="20"/>
          <w:szCs w:val="20"/>
          <w:color w:val="auto"/>
        </w:rPr>
      </w:pPr>
    </w:p>
    <w:p>
      <w:pPr>
        <w:ind w:left="900"/>
        <w:spacing w:after="0"/>
        <w:tabs>
          <w:tab w:leader="none" w:pos="2920" w:val="left"/>
        </w:tabs>
        <w:rPr>
          <w:sz w:val="20"/>
          <w:szCs w:val="20"/>
          <w:color w:val="auto"/>
        </w:rPr>
      </w:pPr>
      <w:r>
        <w:rPr>
          <w:rFonts w:ascii="Times New Roman" w:cs="Times New Roman" w:eastAsia="Times New Roman" w:hAnsi="Times New Roman"/>
          <w:sz w:val="18"/>
          <w:szCs w:val="18"/>
          <w:color w:val="auto"/>
        </w:rPr>
        <w:t>(56,000)</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500"/>
        <w:spacing w:after="0"/>
        <w:tabs>
          <w:tab w:leader="none" w:pos="2920" w:val="left"/>
        </w:tabs>
        <w:rPr>
          <w:sz w:val="20"/>
          <w:szCs w:val="20"/>
          <w:color w:val="auto"/>
        </w:rPr>
      </w:pPr>
      <w:r>
        <w:rPr>
          <w:rFonts w:ascii="Times New Roman" w:cs="Times New Roman" w:eastAsia="Times New Roman" w:hAnsi="Times New Roman"/>
          <w:sz w:val="18"/>
          <w:szCs w:val="18"/>
          <w:color w:val="auto"/>
        </w:rPr>
        <w:t>(145,222,585)</w:t>
      </w:r>
      <w:r>
        <w:rPr>
          <w:sz w:val="20"/>
          <w:szCs w:val="20"/>
          <w:color w:val="auto"/>
        </w:rPr>
        <w:tab/>
      </w:r>
      <w:r>
        <w:rPr>
          <w:rFonts w:ascii="Times New Roman" w:cs="Times New Roman" w:eastAsia="Times New Roman" w:hAnsi="Times New Roman"/>
          <w:sz w:val="18"/>
          <w:szCs w:val="18"/>
          <w:color w:val="auto"/>
        </w:rPr>
        <w:t>—</w:t>
      </w:r>
    </w:p>
    <w:p>
      <w:pPr>
        <w:spacing w:after="0" w:line="73" w:lineRule="exact"/>
        <w:rPr>
          <w:sz w:val="20"/>
          <w:szCs w:val="20"/>
          <w:color w:val="auto"/>
        </w:rPr>
      </w:pPr>
    </w:p>
    <w:p>
      <w:pPr>
        <w:spacing w:after="0"/>
        <w:tabs>
          <w:tab w:leader="none" w:pos="480" w:val="left"/>
          <w:tab w:leader="none" w:pos="23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(143,833,585)  $</w:t>
      </w:r>
      <w:r>
        <w:rPr>
          <w:sz w:val="20"/>
          <w:szCs w:val="20"/>
          <w:color w:val="auto"/>
        </w:rPr>
        <w:tab/>
      </w:r>
      <w:r>
        <w:rPr>
          <w:rFonts w:ascii="Times New Roman" w:cs="Times New Roman" w:eastAsia="Times New Roman" w:hAnsi="Times New Roman"/>
          <w:sz w:val="18"/>
          <w:szCs w:val="18"/>
          <w:b w:val="1"/>
          <w:bCs w:val="1"/>
          <w:color w:val="auto"/>
        </w:rPr>
        <w:t>1,050,000</w:t>
      </w:r>
    </w:p>
    <w:p>
      <w:pPr>
        <w:spacing w:after="0" w:line="77" w:lineRule="exact"/>
        <w:rPr>
          <w:sz w:val="20"/>
          <w:szCs w:val="20"/>
          <w:color w:val="auto"/>
        </w:rPr>
      </w:pPr>
    </w:p>
    <w:p>
      <w:pPr>
        <w:jc w:val="both"/>
        <w:ind w:left="80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(632,623)</w:t>
      </w:r>
      <w:r>
        <w:rPr>
          <w:sz w:val="20"/>
          <w:szCs w:val="20"/>
          <w:color w:val="auto"/>
        </w:rPr>
        <w:tab/>
      </w:r>
      <w:r>
        <w:rPr>
          <w:rFonts w:ascii="Times New Roman" w:cs="Times New Roman" w:eastAsia="Times New Roman" w:hAnsi="Times New Roman"/>
          <w:sz w:val="18"/>
          <w:szCs w:val="18"/>
          <w:color w:val="auto"/>
        </w:rPr>
        <w:t>511,494</w:t>
      </w:r>
    </w:p>
    <w:p>
      <w:pPr>
        <w:spacing w:after="0" w:line="62"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237,363</w:t>
            </w: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116,234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748,857</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5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Class A ordinary shares subject to possible redemption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9,948,542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3,278,276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underwriting fees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9,223,757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Learn CW Investment Corporation (the “Company”) is a blank check company incorporated in the Cayman Islands on February 2, 2021. The Company was formed for the purpose of effectuating a merger, capital share exchange, asset acquisition, share purchase, reorganization, or other similar business combination with one or more businesses (the “Business Combination”). The Company is an early stage and emerging growth company and, as such, the Company is subject to all of the risks associated with early stage and emerging growth companies.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not yet commenced any operations. All activity for the period February 2, 2021 (inception) through December 31, 2023, related to the Company’s formation and the initial public offering (the “Initial Public Offering”), identifying a target for a Business Combination, and activities in connection with the Company’s proposed business combination with Innventure LLC (“Innventure”). The Company will not generate any operating revenues until after the completion of its initial business combination, at the earliest. The Company generates non-operating income in the form of interest income from the proceeds derived from the Initial Public Offering and change in fair value of warrant liabilities. The Company has selected December 31 as its fiscal year end.</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October 7, 2021. On October 13, 2021, the Company consummated the Initial Public Offering of 23,000,000 units (the “Units”), which included 3,000,000 units issued pursuant to the exercise by the underwriter of its over-allotment option. Each Unit consists of one Class A ordinary share of the Company, $0.0001 par value per share (the “Class A Ordinary Shares”), and one-half of one redeemable warrant of the Company (the “Public Warrants”), each whole Public Warrant entitling the holder thereof to purchase one Class A ordinary share at an exercise price of $11.50 per share. The Units were sold at an offering price of $10.00 per Unit, generating gross proceeds of $230,000,000.</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consummated the sale of 7,146,000 private placement warrants (the “Private Placement Warrants”) to the Company’s sponsor, CWAM LC Sponsor LLC (the “Sponsor”), at a purchase price of $1.00 per Private Placement Warrant, generating gross proceeds to the Company of $7,146,000.</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Following the closing of the IPO on October 13, 2021, an amount of $230,000,000 ($10.00 per Unit) from the net proceeds of the sale of the Units in the Initial Public Offering and the Private Placement Units was placed in a trust account (“Trust Account”) until the earlier of: (i) the consummation of a Business Combination or (ii) the distribution of the Trust Account, as described below.</w:t>
      </w:r>
    </w:p>
    <w:p>
      <w:pPr>
        <w:spacing w:after="0" w:line="1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costs of the Initial Public Offering amounted to $13,157,186, consisting of $2,446,000 of underwriting fee, $9,780,500 of deferred underwriting fee and $930,686 of other offering costs, with $781,595 included in accumulated deficit as an allocation for the Public Warrants and the Private Placement Warrants.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NYSE rules provide that the Business Combination must be with one or more target businesses that together have a fair market value equal to at least 80% of the balance in the Trust Account (less any deferred underwriting commissions and taxes payable on interest earned on the Trust Account) at the time of the signing of a definitive agreement to enter a Business Combination. At the time of signing the definitive agreement to enter the Business Combination, the Company’s board of directors determined that the target satisfied the NYSE requirements. The post-Business Combination company will own 100% of the outstanding voting securities of the target and will therefore not be required to register as an investment company under the Investment Company Act of 1940, as amended (the “Investment Company Act”). Upon the closing of the Initial Public Offering, management agreed that $10.00 per Unit sold in the Initial Public Offering, including the proceeds from the sale of the Private Placement Warrants,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20"/>
          </w:cols>
          <w:pgMar w:left="320" w:top="121"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 held in the Trust Account until the earlier of: (i) the consummation of a Business Combination or (ii) the distribution of the funds in the Trust Account to the Company’s shareholders, as described below.</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provide its public shareholders with the opportunity to redeem all or a portion of their Public Shares upon the completion of the Business Combination either (i) in connection with a shareholder meeting called to approve the Business Combination or (ii) by means of a tender offer. In connection with a proposed Business Combination, the Company may seek shareholder approval of a Business Combination at a meeting called for such purpose at which shareholders may seek to redeem their shares, regardless of whether they vote for or against a Business Combination. If the Company seeks shareholder approval, a majority of the outstanding shares voted are voted in favor of the Business Combination.</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Company seeks shareholder approval of the Business Combination, the Company will proceed with a Business Combination only if the Company receives an ordinary resolution under Cayman Islands law approving a Business Combination, which requires the affirmative vote of a majority of the shareholders who attend and vote at a general meeting of the Company, or such other vote as required by law or stock exchange rule.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(the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Proposed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Class A ordinary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Class A ordinary shares.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an extraordinary general meeting (the “Meeting”) and approved a proposal to (i) amend the Company’s amended and restated memorandum and articles of association (the “Charter”) to extend to the date by which the Company must consummate an initial business combination (the ‘Extension Amendment Proposal”) from October 13, 2023 to October 13, 2024, by electing to extend the date to consummate an initial business combination on a monthly basis for up to twelve (12) times by an additional one month each time (as extended, the “Extended Date”), unless the closing of an initial business combination has occurred, provided that the Sponsor (or its affiliates or permitted designees) will deposit into the Trust Account for each such one-month extension period the lesser of (x) $150,000 or (y) $0.03 per Public Share that remains outstanding and is not redeemed prior to any such one-month extension, unless the closing of the Business Combination has occurred, which may be made in exchange for a non-interest bearing promissory note payable upon consummation of an initial business combination, (ii) amend the Charter to permit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Class A ordinary shares to holders of the Class B ordinary shares, upon the exercise of the right of a holder of the Class B ordinary shares to convert such Class B ordinary shares into Class A ordinary shares on a one-for-one basis, at any time and from time to time, prior to the closing of an initial business combination (the “Founder Share Amendment Proposal”), and (iii) amend the Charter to eliminate the limitation that the Company may not redeem Class A ordinary shares in an amount that would cause the Company’s net tangible assets to be less than $5,000,001 (the “Redemption Limitation Proposal”). At the Meeting, the Public Shareholders approved the Extension Amendment Proposal, the Founder Share Amendment Proposal and the Redemption Limitation Proposal.</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Meeting, shareholders holding 13,661,579 Class A ordinary shares exercised their right to redeem such shares for a pro rata portion of the funds in the Trust Account. As a result, approximately $145.2 million (based on a redemption price of approximately $10.63 per share) was removed from the Trust Account to pay such holders.</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October 24, 2023, the Company entered into a Business Combination Agreement with Learn SPAC HoldCo, Inc., a Delaware corporation and direct, wholly owned subsidiary of the Company (“Holdco”), LCW Merger Sub, Inc., a Delaware corporation and direct, wholly owned subsidiary of Holdco (“LCW Merger Sub”), and Innventure Merger Sub, LLC, a Delaware limited liability company and direct, wholly owned subsidiary of Holdco (“Innventure Merger Sub”) and Innventure.</w:t>
      </w:r>
    </w:p>
    <w:p>
      <w:pPr>
        <w:spacing w:after="0" w:line="12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Pursuant to the Business Combination Agreement, the parties thereto will enter into a business combination transaction (the “Business Combination” and, together with the other transactions contemplated by thereby, the “Transactions”), pursuant to which, among other things, (i) LCW Merger Sub will merge with and into Learn CW (the “LCW Merger”), with Learn CW being the surviving company, and (ii) Innventure Merger Sub will merge with and into the Company (the “Innventure Merger” and together with the LCW Merger, the “Mergers”), with Innventure being the surviving company. Following the Mergers, each of the Company and Innventure will be a subsidiary of Holdco, and Holdco will become a publicly traded company. At the Closing, Holdco is expected to change its name to Innventure, Inc, and its common stock, par value $0.0001, is expected to list on either the NYSE or Nasdaq.</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recorded a deferred credit of $400,000 as of December 31, 2023 on our balance sheet which reflects payments received from Innventure for the reimbursement of 50% of certain expenses of the Company by Innventure pursuant to the Business Combination Agreement.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consummation of the proposed Business Combination with Innventure is subject to certain conditions as further described in the Business Combination Agreement.</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more information about the Business Combination Agreement and the proposed Business Combination with Innventure, see our Current Report on Form 8-K filed with the SEC on October 24, 2023 and the Innventure Disclosure Statement that we filed with the SEC. Unless specifically stated, this Annual Report on Form 10-K does not give effect to the proposed Transactions and does not contain the risks associated with the proposed Transactions. Such risks and effects relating to the proposed Transactions are included in the Innventure Disclosure Statement relating to our proposed Innventure Business Combination.</w:t>
      </w:r>
    </w:p>
    <w:p>
      <w:pPr>
        <w:spacing w:after="0" w:line="1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April 13, 2024, the Company announced that $150,000 was deposited into the Trust Account to extend the period of time the Company has to consummate its initial business combination to May 13, 2024.</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Company has not completed a Business Combination by May 13, 2024 and the Company decides not to extend the period of time to consummate a Business Combination, the Company will (i) cease all operations except for the purpose of winding up, (ii) as promptly as reasonably possible but not more than ten business days thereafter, redeem 100% of the Class A ordinary shares, at a per-share price, payable in cash, equal to the aggregate amount then on deposit in the Trust Account, including interest earned and not previously released to us to pay our taxes, if any (less up to $100,000 of interest to pay dissolution expenses), divided by the number of then issued and outstanding Class A ordinary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 of the Proposed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$100,304,232 cash held in the Trust Account and $116,234 held outside of the Trust Account. Subsequent to the consummation of the Initial Public Offering and Private Placement, the Company’s liquidity needs have been satisfied from the proceeds from the Initial Public Offering and Private Placement not held in the Trust Account. The Company’s Sponsor has undertaken to fund working capital deficiencies of the Company and finance transaction costs in connection with an initial business combination of the Company by means of Company working capital loans, as defined below (see Note 5).</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 Business Combination, and the effective date of a Business Combination. On December, 29, 2023, the Company and the Sponsor amended and restated the promissory note (the “First Restated Note”), agreeing to amend the principal amount of the loan of up to $2,487,000. On March 19, 2024, the Company and the Sponsor further amended and restated the First Restated Note (the “Restated Note”), agreeing to amend the principal amount of the loan of up to $3,050,000, which was fully drawn as of such date. The outstanding balance under this loan amounted to $2,439,000 as of December 31, 2023 and $1,050,000 as of December 31, 2022. Management determined that there was an embedded conversion feature related to the note that would require bifurcation and be classified as a liability. However, based on a third-party valuation, the amount was determined to be de minimis.</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has sustained negative cash flows from operations and expects to continue to incur negative cash flows from operations for at least the next twelve months from the filing of this report.</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 Board’s (“FASB”) Accounting Standards Update (“ASU”) 2014-15, “Disclosures of Uncertainties about an Entity’s Ability to Continue as a Going Concern,” the Company has until the Extended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 consummate the proposed Business Combination. It is uncertain that the Company will be able to consummate the proposed Business Combination by this time. On April 13, 2024, the Company announced that $150,000 was deposited into the Trust Account to extend the period of time the Company has to consummate its initial business combination to May 13, 2024. If a business combination is not consummated by this date, absent any further extensions,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for the next twelve months from the issuance of this filing. No adjustments have been made to the carrying amounts of assets or liabilities should the Company be required to liquidate after October 13, 2024 or earlier if the period of time the Company has to consummate its initial business combination is not extended on a monthly basis. The Company intends to complete the proposed Business Combination before the mandatory liquidation date. However, there can be no assurance that the Company will be able to consummate any business combination by the Extended Date.</w:t>
      </w:r>
    </w:p>
    <w:p>
      <w:pPr>
        <w:spacing w:after="0" w:line="13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Company’s evaluation of its working capital, along with, the liquidity condition and date for mandatory liquidation and subsequent dissolution raise substantial doubt about the Company’s ability to continue as a going concern one year from the date that these financial statements are issued. These financial statements do not include any adjustment relating to the recovery of the recorded assets or the classification of the liabilities that might be necessary should the Company be unable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$116,234 and $748,857, respectively, and no cash equivalents as of December 31,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all of the assets held in the Trust Account were invested in cash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Accounting Standards Codification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(currently zero), if any, as income tax expense. There were no unrecognized tax benefits and no amounts accrued for interest and penalties as of December 31, 2023. The Company is currently not aware of any issues under review that could result in significant payments, accruals or material deviation from its position.</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(currently zero) will materially change over the next twelve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Possible Redemption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its shares subject to possible redemption in accordance with the guidance in ASC Topic 480, “Distinguishing Liabilities from Equity” (“ASC 480”). Shares subject to mandatory redemption (if any) are classified as a liability instrument and measured at fair value. Conditionally redeemable shares of ordinary share (including shares of ordinary share that feature redemption rights that are either within the control of the holder or subject to redemption upon the occurrence of uncertain events not solely within the Company’s control) is classified as temporary equity. At all other times, shares are classified as shareholders’ equity. The Company’s shares feature certain redemption rights that are considered to be outside of the Company’s control and subject to occurrence of uncertain future events. Accordingly, at December 31, 2023, and 2022, shares subject to possible redemption are presented as temporary equity, outside of the shareholders’ deficit section of the Company’s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Class A ordinary shares subject to possible redemption reflected on the balance sheets are reconciled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Proceeds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issuance costs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(12,375,591)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31,063,866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(145,222,585)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9,948,542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as of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100,054,892</w:t>
            </w:r>
          </w:p>
        </w:tc>
      </w:tr>
      <w:tr>
        <w:trPr>
          <w:trHeight w:val="21"/>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balance sheet date that were directly related to the Initial Public Offering. The Company complies with the requirements of the ASC 340-10-S99-1 and SEC Staff Accounting Bulletin (“SAB”) Topic 5A—“Expenses of Offering”. Offering costs consist principally of professional and registration fees incurred through the balance sheet date that are related to the Initial Public Offering. Offering costs are charged to shareholders’ deficit or the statements of operations based on the relative value of the Public Warrants and the Private Placement Warrants to the proceeds received from the Units sold upon the completion of the Initial Public Offering. No offering costs were incurred for the year ended December 31, 2023 and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model (see Note 10).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The Company has two classes of shares, which are referred to as Class A ordinary shares and Class B ordinary shares. Income is shared pro rata between the two classes of shares. Net income per share is computed by dividing net income by the weighted average number of ordinary shares outstanding for the period. Accretion associated with the redeemable shares of Class A ordinary share is excluded from earnings per share as the redemption value approximates fair value. The calculation of diluted income per ordinary share does not consider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effect of the Warrants issued in connection with the IPO since the exercise of the Warrants are contingent upon the occurrence of future events and the inclusion of such Warrants would be anti-dilutive.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20" w:type="dxa"/>
            <w:vAlign w:val="bottom"/>
          </w:tcPr>
          <w:p>
            <w:pPr>
              <w:spacing w:after="0"/>
              <w:rPr>
                <w:sz w:val="13"/>
                <w:szCs w:val="13"/>
                <w:color w:val="auto"/>
              </w:rPr>
            </w:pPr>
          </w:p>
        </w:tc>
      </w:tr>
      <w:tr>
        <w:trPr>
          <w:trHeight w:val="195"/>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Borders>
              <w:bottom w:val="single" w:sz="8" w:color="auto"/>
            </w:tcBorders>
          </w:tcPr>
          <w:p>
            <w:pPr>
              <w:spacing w:after="0"/>
              <w:rPr>
                <w:sz w:val="16"/>
                <w:szCs w:val="16"/>
                <w:color w:val="auto"/>
              </w:rPr>
            </w:pPr>
          </w:p>
        </w:tc>
      </w:tr>
      <w:tr>
        <w:trPr>
          <w:trHeight w:val="195"/>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4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4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w w:val="98"/>
              </w:rPr>
              <w:t>Class B</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share</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Allocation of net income as adjusted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7,913,192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1,978,298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ordinary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ordinary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date of issuance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account for the conversion features in Convertible notes under ASC Topic 815. However, if a conversion feature meets the criteria of the scope exception, then it will not be bifurcated.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August 2020, FASB issued ASU 2020-06, Debt — Debt with Conversion and Other Options (Subtopic 470-20) and Derivatives and Hedging — Contracts in Entity’s Own Equity (Subtopic 815-40),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for fiscal years beginning after December 15, 2023, including interim periods within those fiscal years, with early adoption permitted. The Company is currently evaluating the impact this guidance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pronouncements, if currently adopted, would have a material effect on the Company’s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Pursuant to the Initial Public Offering on October 13, 2021, the Company sold 23,000,000 Units, including 3,000,000 Units as a result of the underwriters’ exercise of their over-allotment option in full, at a purchase price of $10.00 per Unit. Each Unit consists of one share of the Company’s Class A ordinary share, and one-half of one Public Warrant. Each Public Warrant entitles the holder to purchase one share of Class A ordinary share at an exercise price of $11.50 per whole share (see Note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Simultaneously with the Initial Public Offering, the Sponsor purchased an aggregate of 7,146,000 Private Placement Units at a price of $1.00 per unit for an aggregate purchase price of $7,146,000. Each Private Placement Warrant is identical to the warrants offered in the Initial Public Offering, except there will be no redemption rights or liquidating distributions from the Trust Account with respect to Private Placement Warrants, which will expire worthless if we do not consummate a Business Combination within the Combination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February 2, 2021, in consideration for the payment of certain of the Company’s offering costs, the Company applied $25,000 of outstanding advances from the Sponsor towards the issuance of 7,187,000 shares of the Company’s Class B ordinary shares. On August 20, 2021 and September 9, 2021, the Sponsor effected a surrender of 1,287,000 Class B ordinary shares and 150,000 Class B ordinary shares, respectively, to the Company for no consideration, resulting in a decrease in the total number of Class B ordinary shares outstanding from 7,187,000 to 5,750,000. All shares and associated amounts have been retroactively restated to reflect the share surrender. The initial shareholders agreed to forfeit up to 750,000 Founder Shares to the extent the over-allotment was not exercised in full by the underwriter. In May 2021, our sponsor transferred 30,000 founder shares to each of our independent directors at the same price originally paid for such shares. On October 13, 2021, the underwriter exercised the full over-allotment option.</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Sponsor has agreed not to transfer, assign or sell any of its Founder Shares until the earlier to occur of: (A) one year after the completion of a Business Combination or (B) the date on which the Company completes a liquidation, merger, capital stock exchange or similar transaction that results in the Company’s shareholders having the right to exchange their ordinary shares for cash, securities or other property. Notwithstanding the foregoing, if the last sale price of the Company’s Class A ordinary shares equals or exceeds $12.00 per share (as adjusted for stock splits, stock dividends, reorganizations, recapitalizations and the like) for any 20 trading days within any 30-trading day period commencing at least 150 days after the Business Combination, the Founder Shares will be released from the lock-up.</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warrants at a price of $1.00 per warrant. The warrants will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 Business Combination, and the effective date of a Business Combination. On December, 29, 2023, the Company and the Sponsor amended and restated the promissory note, agreeing to amend the principal amount of the loan of up to $2,487,000. On March 19, 2024, the Company and the Sponsor further amended and restated the First Restated Note, agreeing to amend the principal amount of the loan of up to $3,050,000, which was fully drawn as of such date. The outstanding balance under this loan amounted to $2,439,000 as of December 31, 2023 and $1,050,000 as of December 31, 2022. Management determined that there was an embedded conversion feature related to the note that would require bifurcation and be classified as a liability. However, based on a third-party valuation, the amount was determined to be de minimis.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Shareholders Rights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upon conversion of the Working Capital Loans (and in each case holders of their component securities, as applicable) will be entitled to registration rights pursuant to a registration rights agreement to be signed prior to or on the effective date of the Offering (October 13, 2021), requiring the Company to register such securities for resale (in the case of the Founder Shares, only after conversion to our Class A ordinary shares).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 Agreement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underwriter was entitled to a deferred fee of $0.35 per Unit, or $7,780,500 in the aggregate, and a discretionary deferred fee of $2,000,000. The deferred fee would have become payable to the underwriter from the amounts held in the Trust Account solely in the event that the Company completed a Business Combination, subject to the terms of the underwriting agreement.</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as of September 1, 2023, the underwriters from the Initial Public Offering resigned and withdrew from their role in the Business Combination and thereby waived their entitlement to the deferred underwriting commissions in the amount of $9,780,500, which was recorded as a gain on settlement of underwriter fees on the statement of shareholders’ deficit for the three and nine months ended September 30, 2023 for $9,223,757, which represents the original amount recorded to accumulated deficit, and the remaining balance representing the original amount recorded to the statements of operations of $556,743 was recorded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 LIABILITY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accounted for the 18,646,000 warrants issued in connection with the Initial Public Offering in accordance with the guidance contained in ASC 815-40. Such guidance provides that, because the warrants do not meet the criteria for equity treatment thereunder, each warrant must be recorded as a liability. Accordingly, the Company has classified each warrant as a liability at its fair value. This liability is subject to re-measurement at each balance sheet date. With each such remeasurement, the warrant liability will be adjusted to fair value, with the change in fair value recognized in the Company’s statements of operations. The warrants are also subject to re-evaluation of the proper classification and accounting treatment at each reporting period. If the classification changes as a result of events during the period, the warrants will be reclassified as of the date of the event that causes the reclassification.</w:t>
      </w:r>
    </w:p>
    <w:p>
      <w:pPr>
        <w:spacing w:after="0" w:line="1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offered warrants in connection with its sale of Units. Each whole warrant that is part of the Units sold in the Offering is exercisable to purchase one share of the Company’s Class A ordinary shares, subject to adjustment as provided in the Company’s Offering prospectus, and only whole warrants are exercisable.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fractional warrants will be issued upon separation of the Units and only whole warrants will trade. If, upon separation of the Units, a holder of warrants would be entitled to receive a fractional warrant, the Company will round down to the nearest whole number of warrants to be issued to such holder.</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fifteen (15) business days, after the closing of a Business Combination, it will use its best efforts to file with the SEC a registration statement registering the issuance, under the Securities Act, of the Class A ordinary shares issuable upon exercise of the Public Warrants. The Company will use its best efforts to file with the SEC a registration statement covering the Class A ordinary shares issuable upon exercise of the warrants, to cause such registration statement to become effective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share of Class A common stock equals or exceeds $18.00.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share of Class A common stock equals or exceeds $10.00.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ordinary shares;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called for redemption on the same terms as the outstanding Public Warrants, as described above.</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not exercise its redemption right if the issuance of ordinary shares upon exercise of the warrants is not exempt from registration or qualification under applicable state blue sky laws or the Company is unable to effect such registration or qualification.</w:t>
      </w:r>
    </w:p>
    <w:p>
      <w:pPr>
        <w:spacing w:after="0" w:line="12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exercise price and number of Class A ordinary shares issuable upon exercise of the warrants may be adjusted in certain circumstances including in the event of a share dividend, or recapitalization, reorganization, merger or consolidation. Additionally, in no event will the Company be required to net cash settle the Public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stock dividend, extraordinary dividend or recapitalization, reorganization, merger or consolidation.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greater of the Market Value and the Newly Issued Price.</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being sold in the Initial Public Offering, except that the Private Placement Warrants are not and the ordinary shares issuable upon the exercise of the Private Placement Warrants are not transferable, assignable or salable until 30 days after the completion of a Business Combination, subject to certain limited exceptions. Additionally, the Private Placement Warrants are exercisable on a cashless basis and are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2023, there were 11,500,000 whole public warrants and 7,146,000 private placement warrants outstanding with a fair value of $230,000 and $142,920, respectively. At December 31, 2022, there were 11,500,000 whole public warrants and 7,146,000 private placement warrants outstanding with a fair value of $5,865,000 and $3,673,044, respectively.</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accounts for the 11,500,000 warrants issued in connection with the Initial Public Offering and the 7,146,000 private placement warrants in accordance with the guidance contained in ASC 815-40. Such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provides that because the warrants do not meet the criteria for equity treatment thereunder, each warrant must be recorded as a derivative liability. The warrant agreement contains an Alternative Issuance provision that if less than 70% of the consideration receivable by the holders of the Class A ordinary share in the Business Combination is payable in the form of ordinary equity in the successor entity, and if the holders of the warrants properly exercises the warrants within thirty days following the public disclosure of the consummation of Business Combination by the Company, the warrant price shall be reduced by an amount equal to the difference (but in no event less than zero) of (i) the warrant price in effect prior to such reduction minus (ii) (A) the Per Share Consideration (as defined below) minus (B) the Black-Scholes Warrant Value (as defined below). The “Black-Scholes Warrant Value” means the value of a Warrant immediately prior to the consummation of the Business Combination based on the Black-Scholes Warrant Model for a Capped American Call on Bloomberg Financial Markets. “Per Share Consideration” means (i) if the consideration paid to holders of the ordinary share consists exclusively of cash, the amount of such cash per ordinary share, and (ii) in all other cases, the volume weighted average price of the ordinary share as reported during the ten-trading day period ending on the trading day prior to the effective date of the Business Combination.</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believes that the adjustments to the exercise price of the warrants is based on a variable that is not an input to the fair value of a “fixed-for-fixed” option as defined under FASB ASC Topic No. 815 – 40, and thus the warrants are not eligible for an exception from derivative accounting. The accounting treatment of derivative financial instruments requires that the Company record a derivative liability upon the closing of the Initial Public Offering. Accordingly, the Company will classify each warrant as a liability at its fair value and the warrants will be allocated a portion of the proceeds from the issuance of the Units equal to its fair value determined by the Monte Carlo simulation. This liability is subject to re-measurement at each balance sheet date. With each such remeasurement, the warrant liability will be adjusted to fair value, with the change in fair value recognized in the Company’s statements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CLASS A ORDINARY SHARES SUBJECT TO POSSIBLE REDEMPTION</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shares of Class A ordinary shares with a par value $0.0001 per share. Holders of the Company’s Class A ordinary shares are entitled to one vote for each share. As of December 31, 2023, and 2022, there were 9,338,421 and</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23,000,000 Class A ordinary shares outstanding, respectively, which were subject to possible redemption and are classified outside of permanent equity in the balance sheets.</w:t>
      </w:r>
    </w:p>
    <w:p>
      <w:pPr>
        <w:spacing w:after="0" w:line="1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the Meeting to approve the Extension Amendment Proposal, the Founder Share Amendment Proposal, and the Redemption Limitation Proposal. At the Meeting, the Public Shareholders approved each of the Extension Amendment Proposal, the Founder Share Amendment Proposal, and the Redemption Limitation Proposal. In connection with the Meeting, shareholders holding 13,661,579 Class A ordinary shares (after giving effect to withdrawals of redemptions) exercised their right to redeem such shares for a pro rata portion of the funds in the Company’s Trust Account. As a result, approximately $145.2 million (approximately $10.63 per share) was removed from the Trust Account to pay such holders. Following these redemptions, the Company had 9,338,421 Class A ordinary shares outstanding.</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Following the redemptions, the Company recorded shareholder redemption payable for additional interest earned by redeeming Class A Ordinary shareholders that exercised their redemption rights in the amount of $249,339, which equates to approximately $0.018 per Class A Ordinary Share. As of the date of this report, this amount remains outstanding and the Company is in the process of remitting the additional interest to such redeeming Class A Ordinary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DEFICIT</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shares of $0.0001 par value preference shares. At December 31, 2023, and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were no preference shares issued or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21"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 </w:t>
      </w:r>
      <w:r>
        <w:rPr>
          <w:rFonts w:ascii="Times New Roman" w:cs="Times New Roman" w:eastAsia="Times New Roman" w:hAnsi="Times New Roman"/>
          <w:sz w:val="18"/>
          <w:szCs w:val="18"/>
          <w:color w:val="auto"/>
        </w:rPr>
        <w:t>— The Company is authorized to issue up to 200,000,000 shares of Class A, $0.0001 par value ordinary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Class A ordinary share are entitled to one vote for each share. At December 31, 2023, and 2022, there were zero shares of Class A ordinary share issued or outstanding, (excluding the 9,338,421 and 23,000,000 Class A shares, respectively, subject to possible redemption).</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 </w:t>
      </w:r>
      <w:r>
        <w:rPr>
          <w:rFonts w:ascii="Times New Roman" w:cs="Times New Roman" w:eastAsia="Times New Roman" w:hAnsi="Times New Roman"/>
          <w:sz w:val="18"/>
          <w:szCs w:val="18"/>
          <w:color w:val="auto"/>
        </w:rPr>
        <w:t>— The Company is authorized to issue up to 20,000,000 Class B ordinary shares, $0.0001 par value. Holders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are entitled to one vote for each share. As of December 31, 2023, and 2022, there were 5,750,000 Class B ordinary shares issued and outstanding.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Business Combination on a one-for-one basis, subject to adjustment for stock splits, stock dividends, reorganizations, recapitalizations and the like. In the case that additional Class A ordinary shares, or equity linked securities, are issued or deemed issued in excess of the amounts offered in the Initial Public Offering and related to the closing of a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 converted basis, 20% of the sum of the total number of all ordinary shares outstanding upon the completion of the Initial Public Offering plus all Class A ordinary shares and equity linked securities issued or deemed issued in connection with a Business Combination (excluding any shares or equity linked securities issued, or to be issued, to any seller in a Business Combination, and any private placement-equivalent warrants issued to the sponsor or its affiliates upon conversion of loans made to the Company). Holders of Founder Shares may also elect to convert their Class B ordinary shares into an equal number of Class A ordinary shares, subject to adjustment as provided above, at any time.</w:t>
      </w:r>
    </w:p>
    <w:p>
      <w:pPr>
        <w:spacing w:after="0" w:line="1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may issue additional ordinary shares or preference shares to complete its Business Combination or under an employee incentive plan after completion of its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December 31, 2023, and 2022,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24"/>
                <w:szCs w:val="24"/>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24"/>
                <w:szCs w:val="24"/>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235,578,275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428,760</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1,118,760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Measurement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established the initial fair value for the Public Warrants and the Private Placement Warrants on October 13, 2021, the date of the Company’s Initial Public Offering, using a Monte Carlo simulation model. The Company allocated the proceeds received from (i) the sale of Units (which is inclusive of one share of Class A ordinary share and one-fifth of one Public Warrant), and (ii) the sale of Private Placement Units, first to the Warrants based on their fair values as determined at initial measurement, with the remaining proceeds allocated to shares of Class A ordinary share subject to possible redemption based on their relative fair values at the initial measurement date. The Private Placement Warrants were classified as Level 3 at the initial measurement date due to the use of unobservable inputs. For periods subsequent to the detachment of the Public Warrants from the Units, which occurred on November 29, 2021, the Public Warrants were valued using the instrument’s publicly listed trading price on the NYSE as of the balance sheet date, which is considered to be a Level 1 measurement due to the use of an observable market quote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Private Placement Warrants were as follows on December 31,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Weighted Fair Value of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0.06</w:t>
            </w:r>
          </w:p>
        </w:tc>
      </w:tr>
    </w:tbl>
    <w:p>
      <w:pPr>
        <w:spacing w:after="0" w:line="2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Warrants were valued using a Monte Carlo Simulation Model, which is considered to be a Level 3 fair value measurement. The Modified Black Scholes model’s primary unobservable input utilized in determining the fair value of the Warrants is the expected volatility as of the IPO date, which was derived from observable warrant pricing on comparable ‘blank-check’ companies without an identified target. The expected volatility as of subsequent valuation dates was implied from the Company’s own Public Warrant pricing.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96"/>
        </w:trPr>
        <w:tc>
          <w:tcPr>
            <w:tcW w:w="9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Placement Warrants</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428,760</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valuation inputs or other assumptions</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8"/>
                <w:szCs w:val="18"/>
                <w:color w:val="auto"/>
              </w:rPr>
              <w:t>(285,840)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142,920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valuation inputs or other assumptions are recognized in change in fair value of warrant liabilities in the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 Liability</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liability for the conversion option was valued using a Black-Scholes Option Pricing Model, which is considered to be a Level 3 fair value measurement. The Black Scholes model’s primary unobservable input utilized in determining the fair value of the conversion option is the expected volatility of the Class A ordinary shares. During the year ended December 31, 2023, there were no changes in the fair value of the conversion option liability. As of December 31, 2023, the fair value of the conversion feature was di minimis.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of 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 other than as disclosed below.</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February 13, 2024, the Company announced that 150,000 was deposited into the Trust Account to extend the period of time the Company has to consummate its initial business combination to March 13, 2024.</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On March 13, 2024, the Company announced that 150,000 was deposited into the Trust Account to extend the period of time the Company has to consummate its initial business combination to April 13, 2024.</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March 19, 2024, the First Restated Note was further amended and issued in the principal amount of up to $3,050,000 in favor of the Sponsor, which was fully drawn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0"/>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116,234</w:t>
            </w: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267,005</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602,682</w:t>
            </w: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718,916</w:t>
            </w:r>
          </w:p>
        </w:tc>
      </w:tr>
      <w:tr>
        <w:trPr>
          <w:trHeight w:val="270"/>
        </w:trPr>
        <w:tc>
          <w:tcPr>
            <w:tcW w:w="8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101,592,732</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102,065,191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8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tabs>
          <w:tab w:leader="none" w:pos="720" w:val="left"/>
          <w:tab w:leader="none" w:pos="164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8,018,827</w:t>
        <w:tab/>
        <w:t>$</w:t>
      </w:r>
      <w:r>
        <w:rPr>
          <w:sz w:val="20"/>
          <w:szCs w:val="20"/>
          <w:color w:val="auto"/>
        </w:rPr>
        <w:tab/>
      </w:r>
      <w:r>
        <w:rPr>
          <w:rFonts w:ascii="Times New Roman" w:cs="Times New Roman" w:eastAsia="Times New Roman" w:hAnsi="Times New Roman"/>
          <w:sz w:val="18"/>
          <w:szCs w:val="18"/>
          <w:color w:val="auto"/>
        </w:rPr>
        <w:t>5,985,161</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249,339</w:t>
      </w:r>
    </w:p>
    <w:p>
      <w:pPr>
        <w:spacing w:after="0" w:line="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586,918</w:t>
      </w:r>
      <w:r>
        <w:rPr>
          <w:rFonts w:ascii="Times New Roman" w:cs="Times New Roman" w:eastAsia="Times New Roman" w:hAnsi="Times New Roman"/>
          <w:sz w:val="17"/>
          <w:szCs w:val="17"/>
          <w:color w:val="auto"/>
        </w:rPr>
        <w:t>400,000</w:t>
      </w:r>
    </w:p>
    <w:p>
      <w:pPr>
        <w:spacing w:after="0" w:line="77" w:lineRule="exact"/>
        <w:rPr>
          <w:sz w:val="20"/>
          <w:szCs w:val="20"/>
          <w:color w:val="auto"/>
        </w:rPr>
      </w:pPr>
    </w:p>
    <w:p>
      <w:pPr>
        <w:ind w:left="740"/>
        <w:spacing w:after="0"/>
        <w:tabs>
          <w:tab w:leader="none" w:pos="2380" w:val="left"/>
        </w:tabs>
        <w:rPr>
          <w:sz w:val="20"/>
          <w:szCs w:val="20"/>
          <w:color w:val="auto"/>
        </w:rPr>
      </w:pPr>
      <w:r>
        <w:rPr>
          <w:rFonts w:ascii="Times New Roman" w:cs="Times New Roman" w:eastAsia="Times New Roman" w:hAnsi="Times New Roman"/>
          <w:sz w:val="18"/>
          <w:szCs w:val="18"/>
          <w:color w:val="auto"/>
        </w:rPr>
        <w:t>8,605,745</w:t>
      </w:r>
      <w:r>
        <w:rPr>
          <w:sz w:val="20"/>
          <w:szCs w:val="20"/>
          <w:color w:val="auto"/>
        </w:rPr>
        <w:tab/>
      </w:r>
      <w:r>
        <w:rPr>
          <w:rFonts w:ascii="Times New Roman" w:cs="Times New Roman" w:eastAsia="Times New Roman" w:hAnsi="Times New Roman"/>
          <w:sz w:val="18"/>
          <w:szCs w:val="18"/>
          <w:color w:val="auto"/>
        </w:rPr>
        <w:t>6,634,500</w:t>
      </w:r>
    </w:p>
    <w:p>
      <w:pPr>
        <w:spacing w:after="0" w:line="200" w:lineRule="exact"/>
        <w:rPr>
          <w:sz w:val="20"/>
          <w:szCs w:val="20"/>
          <w:color w:val="auto"/>
        </w:rPr>
      </w:pPr>
    </w:p>
    <w:p>
      <w:pPr>
        <w:sectPr>
          <w:pgSz w:w="11900" w:h="16838" w:orient="portrait"/>
          <w:cols w:equalWidth="0" w:num="2">
            <w:col w:w="7320" w:space="720"/>
            <w:col w:w="3200"/>
          </w:cols>
          <w:pgMar w:left="320" w:top="121"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3,800,000</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2,439,000</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2,796,900</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372,920</w:t>
            </w:r>
          </w:p>
        </w:tc>
        <w:tc>
          <w:tcPr>
            <w:tcW w:w="0" w:type="dxa"/>
            <w:vAlign w:val="bottom"/>
          </w:tcPr>
          <w:p>
            <w:pPr>
              <w:spacing w:after="0"/>
              <w:rPr>
                <w:sz w:val="1"/>
                <w:szCs w:val="1"/>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15,202,645</w:t>
            </w:r>
          </w:p>
        </w:tc>
        <w:tc>
          <w:tcPr>
            <w:tcW w:w="4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9,446,420</w:t>
            </w:r>
          </w:p>
        </w:tc>
        <w:tc>
          <w:tcPr>
            <w:tcW w:w="0" w:type="dxa"/>
            <w:vAlign w:val="bottom"/>
          </w:tcPr>
          <w:p>
            <w:pPr>
              <w:spacing w:after="0"/>
              <w:rPr>
                <w:sz w:val="1"/>
                <w:szCs w:val="1"/>
                <w:color w:val="auto"/>
              </w:rPr>
            </w:pPr>
          </w:p>
        </w:tc>
      </w:tr>
      <w:tr>
        <w:trPr>
          <w:trHeight w:val="270"/>
        </w:trPr>
        <w:tc>
          <w:tcPr>
            <w:tcW w:w="8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9,338,421 and 9,338,421 shares at redemption value of $10.88 per share and $10.71</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101,592,732</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100,054,892</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at June 30, 2024 and December 31, 2023, respectively</w:t>
            </w: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8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$0.0001 par value; 1,000,000 shares authorized; none outstanding</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Class A ordinary shares, $0.0001 par value; 200,000,000 shares authorized; none outstanding (excluding</w:t>
            </w:r>
          </w:p>
        </w:tc>
        <w:tc>
          <w:tcPr>
            <w:tcW w:w="340" w:type="dxa"/>
            <w:vAlign w:val="bottom"/>
          </w:tcPr>
          <w:p>
            <w:pPr>
              <w:spacing w:after="0"/>
              <w:rPr>
                <w:sz w:val="15"/>
                <w:szCs w:val="15"/>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9,338,421 shares subject to possible redemption) at June 30, 2024 and December 31, 2023</w:t>
            </w:r>
          </w:p>
        </w:tc>
        <w:tc>
          <w:tcPr>
            <w:tcW w:w="3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Class B ordinary shares, $0.0001 par value; 20,000,000 shares authorized; 5,750,000 shares issued and</w:t>
            </w:r>
          </w:p>
        </w:tc>
        <w:tc>
          <w:tcPr>
            <w:tcW w:w="3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c>
          <w:tcPr>
            <w:tcW w:w="4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3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(14,730,761)</w:t>
            </w:r>
          </w:p>
        </w:tc>
        <w:tc>
          <w:tcPr>
            <w:tcW w:w="4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(14,730,186)</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102,065,191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101,023,148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21"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28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Formation costs and other operating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781,121</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(1,333,608)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(428,076)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(2,928,040)</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(781,121)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trust account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5,204,752</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cash account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(2,423,980)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559,380</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(2,560,370)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2,129,667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(4,714,182)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4,983,386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A ordinary shares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9,338,422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Basic and diluted net (loss)/income per share, Class A</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of Class B ordinary shares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Basic and diluted net (loss)/income per share, Class B</w:t>
            </w: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SHAREHOLDERS’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08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9"/>
                <w:szCs w:val="9"/>
                <w:color w:val="auto"/>
              </w:rPr>
            </w:pPr>
          </w:p>
        </w:tc>
        <w:tc>
          <w:tcPr>
            <w:tcW w:w="1440" w:type="dxa"/>
            <w:vAlign w:val="bottom"/>
            <w:gridSpan w:val="2"/>
            <w:vMerge w:val="restart"/>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9"/>
                <w:szCs w:val="9"/>
                <w:color w:val="auto"/>
              </w:rPr>
            </w:pPr>
          </w:p>
        </w:tc>
        <w:tc>
          <w:tcPr>
            <w:tcW w:w="1340" w:type="dxa"/>
            <w:vAlign w:val="bottom"/>
            <w:vMerge w:val="restart"/>
          </w:tcPr>
          <w:p>
            <w:pPr>
              <w:jc w:val="center"/>
              <w:ind w:right="154"/>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(8,478,739)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(8,478,164)</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ordinary shares to</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(2,153,812)</w:t>
            </w:r>
          </w:p>
        </w:tc>
        <w:tc>
          <w:tcPr>
            <w:tcW w:w="0" w:type="dxa"/>
            <w:vAlign w:val="bottom"/>
          </w:tcPr>
          <w:p>
            <w:pPr>
              <w:spacing w:after="0"/>
              <w:rPr>
                <w:sz w:val="1"/>
                <w:szCs w:val="1"/>
                <w:color w:val="auto"/>
              </w:rPr>
            </w:pPr>
          </w:p>
        </w:tc>
      </w:tr>
      <w:tr>
        <w:trPr>
          <w:trHeight w:val="257"/>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(11,082,551)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(11,081,976)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Accretion of Class A ordinary shares to</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(1,087,840)</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(2,560,370)</w:t>
            </w: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(14,730,761)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(14,730,186)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080" w:type="dxa"/>
            <w:vAlign w:val="bottom"/>
          </w:tcPr>
          <w:p>
            <w:pPr>
              <w:spacing w:after="0"/>
              <w:rPr>
                <w:sz w:val="24"/>
                <w:szCs w:val="24"/>
                <w:color w:val="auto"/>
              </w:rPr>
            </w:pPr>
          </w:p>
        </w:tc>
        <w:tc>
          <w:tcPr>
            <w:tcW w:w="51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2023</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4"/>
                <w:szCs w:val="24"/>
                <w:color w:val="auto"/>
              </w:rPr>
            </w:pPr>
          </w:p>
        </w:tc>
        <w:tc>
          <w:tcPr>
            <w:tcW w:w="32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8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080" w:type="dxa"/>
            <w:vAlign w:val="bottom"/>
          </w:tcPr>
          <w:p>
            <w:pPr>
              <w:spacing w:after="0"/>
              <w:rPr>
                <w:sz w:val="9"/>
                <w:szCs w:val="9"/>
                <w:color w:val="auto"/>
              </w:rPr>
            </w:pPr>
          </w:p>
        </w:tc>
        <w:tc>
          <w:tcPr>
            <w:tcW w:w="3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20" w:type="dxa"/>
            <w:vAlign w:val="bottom"/>
          </w:tcPr>
          <w:p>
            <w:pPr>
              <w:spacing w:after="0"/>
              <w:rPr>
                <w:sz w:val="9"/>
                <w:szCs w:val="9"/>
                <w:color w:val="auto"/>
              </w:rPr>
            </w:pPr>
          </w:p>
        </w:tc>
        <w:tc>
          <w:tcPr>
            <w:tcW w:w="1440" w:type="dxa"/>
            <w:vAlign w:val="bottom"/>
            <w:gridSpan w:val="2"/>
            <w:vMerge w:val="restart"/>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9"/>
                <w:szCs w:val="9"/>
                <w:color w:val="auto"/>
              </w:rPr>
            </w:pPr>
          </w:p>
        </w:tc>
        <w:tc>
          <w:tcPr>
            <w:tcW w:w="1340" w:type="dxa"/>
            <w:vAlign w:val="bottom"/>
            <w:vMerge w:val="restart"/>
          </w:tcPr>
          <w:p>
            <w:pPr>
              <w:jc w:val="center"/>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6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57"/>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(11,661,346)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(11,660,771)</w:t>
            </w: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Accretion of Class A ordinary shares to</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(2,460,924)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(2,460,924)</w:t>
            </w:r>
          </w:p>
        </w:tc>
        <w:tc>
          <w:tcPr>
            <w:tcW w:w="0" w:type="dxa"/>
            <w:vAlign w:val="bottom"/>
          </w:tcPr>
          <w:p>
            <w:pPr>
              <w:spacing w:after="0"/>
              <w:rPr>
                <w:sz w:val="1"/>
                <w:szCs w:val="1"/>
                <w:color w:val="auto"/>
              </w:rPr>
            </w:pPr>
          </w:p>
        </w:tc>
      </w:tr>
      <w:tr>
        <w:trPr>
          <w:trHeight w:val="23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2,853,719</w:t>
            </w:r>
          </w:p>
        </w:tc>
        <w:tc>
          <w:tcPr>
            <w:tcW w:w="0" w:type="dxa"/>
            <w:vAlign w:val="bottom"/>
          </w:tcPr>
          <w:p>
            <w:pPr>
              <w:spacing w:after="0"/>
              <w:rPr>
                <w:sz w:val="1"/>
                <w:szCs w:val="1"/>
                <w:color w:val="auto"/>
              </w:rPr>
            </w:pPr>
          </w:p>
        </w:tc>
      </w:tr>
      <w:tr>
        <w:trPr>
          <w:trHeight w:val="25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(11,268,551)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(11,267,976)</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Accretion of Class A ordinary shares to</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(2,743,828)</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value</w:t>
            </w: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2,129,667</w:t>
            </w: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5,750,000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(11,882,712)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(11,882,137)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8380" w:type="dxa"/>
        <w:tblCellMar>
          <w:top w:w="0" w:type="dxa"/>
          <w:left w:w="0" w:type="dxa"/>
          <w:bottom w:w="0" w:type="dxa"/>
          <w:right w:w="0" w:type="dxa"/>
        </w:tblCellMar>
      </w:tblPr>
      <w:tr>
        <w:trPr>
          <w:trHeight w:val="161"/>
        </w:trPr>
        <w:tc>
          <w:tcPr>
            <w:tcW w:w="124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12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the six</w:t>
            </w:r>
          </w:p>
        </w:tc>
      </w:tr>
      <w:tr>
        <w:trPr>
          <w:trHeight w:val="146"/>
        </w:trPr>
        <w:tc>
          <w:tcPr>
            <w:tcW w:w="1240" w:type="dxa"/>
            <w:vAlign w:val="bottom"/>
          </w:tcPr>
          <w:p>
            <w:pPr>
              <w:jc w:val="center"/>
              <w:ind w:right="368"/>
              <w:spacing w:after="0" w:line="146" w:lineRule="exact"/>
              <w:rPr>
                <w:sz w:val="20"/>
                <w:szCs w:val="20"/>
                <w:color w:val="auto"/>
              </w:rPr>
            </w:pPr>
            <w:r>
              <w:rPr>
                <w:rFonts w:ascii="Times New Roman" w:cs="Times New Roman" w:eastAsia="Times New Roman" w:hAnsi="Times New Roman"/>
                <w:sz w:val="14"/>
                <w:szCs w:val="14"/>
                <w:b w:val="1"/>
                <w:bCs w:val="1"/>
                <w:color w:val="auto"/>
                <w:w w:val="99"/>
              </w:rPr>
              <w:t>months</w:t>
            </w:r>
          </w:p>
        </w:tc>
        <w:tc>
          <w:tcPr>
            <w:tcW w:w="1260" w:type="dxa"/>
            <w:vAlign w:val="bottom"/>
          </w:tcPr>
          <w:p>
            <w:pPr>
              <w:jc w:val="center"/>
              <w:ind w:left="328"/>
              <w:spacing w:after="0" w:line="146"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37"/>
        </w:trPr>
        <w:tc>
          <w:tcPr>
            <w:tcW w:w="1240" w:type="dxa"/>
            <w:vAlign w:val="bottom"/>
          </w:tcPr>
          <w:p>
            <w:pPr>
              <w:jc w:val="center"/>
              <w:ind w:right="32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260" w:type="dxa"/>
            <w:vAlign w:val="bottom"/>
          </w:tcPr>
          <w:p>
            <w:pPr>
              <w:jc w:val="center"/>
              <w:ind w:left="34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124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6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June 30, 2023</w:t>
            </w:r>
          </w:p>
        </w:tc>
      </w:tr>
    </w:tbl>
    <w:p>
      <w:pPr>
        <w:spacing w:after="0" w:line="15" w:lineRule="exact"/>
        <w:rPr>
          <w:sz w:val="20"/>
          <w:szCs w:val="20"/>
          <w:color w:val="auto"/>
        </w:rPr>
      </w:pP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(loss)/income</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of cash in Trust Account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withdrawn from Trust Account in connection with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tabs>
          <w:tab w:leader="none" w:pos="660" w:val="left"/>
          <w:tab w:leader="none" w:pos="2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(4,714,182)  $</w:t>
      </w:r>
      <w:r>
        <w:rPr>
          <w:sz w:val="20"/>
          <w:szCs w:val="20"/>
          <w:color w:val="auto"/>
        </w:rPr>
        <w:tab/>
      </w:r>
      <w:r>
        <w:rPr>
          <w:rFonts w:ascii="Times New Roman" w:cs="Times New Roman" w:eastAsia="Times New Roman" w:hAnsi="Times New Roman"/>
          <w:sz w:val="18"/>
          <w:szCs w:val="18"/>
          <w:color w:val="auto"/>
        </w:rPr>
        <w:t>4,983,386</w:t>
      </w:r>
    </w:p>
    <w:p>
      <w:pPr>
        <w:spacing w:after="0" w:line="279" w:lineRule="exact"/>
        <w:rPr>
          <w:sz w:val="20"/>
          <w:szCs w:val="20"/>
          <w:color w:val="auto"/>
        </w:rPr>
      </w:pPr>
    </w:p>
    <w:p>
      <w:pPr>
        <w:jc w:val="both"/>
        <w:ind w:left="800"/>
        <w:spacing w:after="0"/>
        <w:tabs>
          <w:tab w:leader="none" w:pos="2320" w:val="left"/>
        </w:tabs>
        <w:rPr>
          <w:sz w:val="20"/>
          <w:szCs w:val="20"/>
          <w:color w:val="auto"/>
        </w:rPr>
      </w:pPr>
      <w:r>
        <w:rPr>
          <w:rFonts w:ascii="Times New Roman" w:cs="Times New Roman" w:eastAsia="Times New Roman" w:hAnsi="Times New Roman"/>
          <w:sz w:val="18"/>
          <w:szCs w:val="18"/>
          <w:color w:val="auto"/>
        </w:rPr>
        <w:t>(637,838)</w:t>
      </w:r>
      <w:r>
        <w:rPr>
          <w:sz w:val="20"/>
          <w:szCs w:val="20"/>
          <w:color w:val="auto"/>
        </w:rPr>
        <w:tab/>
      </w:r>
      <w:r>
        <w:rPr>
          <w:rFonts w:ascii="Times New Roman" w:cs="Times New Roman" w:eastAsia="Times New Roman" w:hAnsi="Times New Roman"/>
          <w:sz w:val="18"/>
          <w:szCs w:val="18"/>
          <w:color w:val="auto"/>
        </w:rPr>
        <w:t>(5,204,752)</w:t>
      </w:r>
    </w:p>
    <w:p>
      <w:pPr>
        <w:spacing w:after="0" w:line="50" w:lineRule="exact"/>
        <w:rPr>
          <w:sz w:val="20"/>
          <w:szCs w:val="20"/>
          <w:color w:val="auto"/>
        </w:rPr>
      </w:pPr>
    </w:p>
    <w:p>
      <w:pPr>
        <w:jc w:val="both"/>
        <w:ind w:left="740"/>
        <w:spacing w:after="0"/>
        <w:tabs>
          <w:tab w:leader="none" w:pos="2440" w:val="left"/>
        </w:tabs>
        <w:rPr>
          <w:sz w:val="20"/>
          <w:szCs w:val="20"/>
          <w:color w:val="auto"/>
        </w:rPr>
      </w:pPr>
      <w:r>
        <w:rPr>
          <w:rFonts w:ascii="Times New Roman" w:cs="Times New Roman" w:eastAsia="Times New Roman" w:hAnsi="Times New Roman"/>
          <w:sz w:val="18"/>
          <w:szCs w:val="18"/>
          <w:color w:val="auto"/>
        </w:rPr>
        <w:t>2,423,980</w:t>
      </w:r>
      <w:r>
        <w:rPr>
          <w:sz w:val="20"/>
          <w:szCs w:val="20"/>
          <w:color w:val="auto"/>
        </w:rPr>
        <w:tab/>
      </w:r>
      <w:r>
        <w:rPr>
          <w:rFonts w:ascii="Times New Roman" w:cs="Times New Roman" w:eastAsia="Times New Roman" w:hAnsi="Times New Roman"/>
          <w:sz w:val="18"/>
          <w:szCs w:val="18"/>
          <w:color w:val="auto"/>
        </w:rPr>
        <w:t>(559,380)</w:t>
      </w:r>
    </w:p>
    <w:p>
      <w:pPr>
        <w:spacing w:after="0" w:line="279" w:lineRule="exact"/>
        <w:rPr>
          <w:sz w:val="20"/>
          <w:szCs w:val="20"/>
          <w:color w:val="auto"/>
        </w:rPr>
      </w:pPr>
    </w:p>
    <w:p>
      <w:pPr>
        <w:ind w:left="880"/>
        <w:spacing w:after="0"/>
        <w:tabs>
          <w:tab w:leader="none" w:pos="2540" w:val="left"/>
        </w:tabs>
        <w:rPr>
          <w:sz w:val="20"/>
          <w:szCs w:val="20"/>
          <w:color w:val="auto"/>
        </w:rPr>
      </w:pPr>
      <w:r>
        <w:rPr>
          <w:rFonts w:ascii="Times New Roman" w:cs="Times New Roman" w:eastAsia="Times New Roman" w:hAnsi="Times New Roman"/>
          <w:sz w:val="18"/>
          <w:szCs w:val="18"/>
          <w:color w:val="auto"/>
        </w:rPr>
        <w:t>335,677</w:t>
      </w:r>
      <w:r>
        <w:rPr>
          <w:sz w:val="20"/>
          <w:szCs w:val="20"/>
          <w:color w:val="auto"/>
        </w:rPr>
        <w:tab/>
      </w:r>
      <w:r>
        <w:rPr>
          <w:rFonts w:ascii="Times New Roman" w:cs="Times New Roman" w:eastAsia="Times New Roman" w:hAnsi="Times New Roman"/>
          <w:sz w:val="18"/>
          <w:szCs w:val="18"/>
          <w:color w:val="auto"/>
        </w:rPr>
        <w:t>311,348</w:t>
      </w:r>
    </w:p>
    <w:p>
      <w:pPr>
        <w:spacing w:after="0" w:line="50" w:lineRule="exact"/>
        <w:rPr>
          <w:sz w:val="20"/>
          <w:szCs w:val="20"/>
          <w:color w:val="auto"/>
        </w:rPr>
      </w:pPr>
    </w:p>
    <w:p>
      <w:pPr>
        <w:ind w:left="740"/>
        <w:spacing w:after="0"/>
        <w:tabs>
          <w:tab w:leader="none" w:pos="2520" w:val="left"/>
        </w:tabs>
        <w:rPr>
          <w:sz w:val="20"/>
          <w:szCs w:val="20"/>
          <w:color w:val="auto"/>
        </w:rPr>
      </w:pPr>
      <w:r>
        <w:rPr>
          <w:rFonts w:ascii="Times New Roman" w:cs="Times New Roman" w:eastAsia="Times New Roman" w:hAnsi="Times New Roman"/>
          <w:sz w:val="18"/>
          <w:szCs w:val="18"/>
          <w:color w:val="auto"/>
        </w:rPr>
        <w:t>2,033,666</w:t>
      </w:r>
      <w:r>
        <w:rPr>
          <w:sz w:val="20"/>
          <w:szCs w:val="20"/>
          <w:color w:val="auto"/>
        </w:rPr>
        <w:tab/>
      </w:r>
      <w:r>
        <w:rPr>
          <w:rFonts w:ascii="Times New Roman" w:cs="Times New Roman" w:eastAsia="Times New Roman" w:hAnsi="Times New Roman"/>
          <w:sz w:val="18"/>
          <w:szCs w:val="18"/>
          <w:color w:val="auto"/>
        </w:rPr>
        <w:t>309,780</w:t>
      </w:r>
    </w:p>
    <w:p>
      <w:pPr>
        <w:spacing w:after="0" w:line="50" w:lineRule="exact"/>
        <w:rPr>
          <w:sz w:val="20"/>
          <w:szCs w:val="20"/>
          <w:color w:val="auto"/>
        </w:rPr>
      </w:pPr>
    </w:p>
    <w:p>
      <w:pPr>
        <w:ind w:left="880"/>
        <w:spacing w:after="0"/>
        <w:tabs>
          <w:tab w:leader="none" w:pos="3040" w:val="left"/>
        </w:tabs>
        <w:rPr>
          <w:sz w:val="20"/>
          <w:szCs w:val="20"/>
          <w:color w:val="auto"/>
        </w:rPr>
      </w:pPr>
      <w:r>
        <w:rPr>
          <w:rFonts w:ascii="Times New Roman" w:cs="Times New Roman" w:eastAsia="Times New Roman" w:hAnsi="Times New Roman"/>
          <w:sz w:val="18"/>
          <w:szCs w:val="18"/>
          <w:color w:val="auto"/>
        </w:rPr>
        <w:t>186,918</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800"/>
        <w:spacing w:after="0"/>
        <w:tabs>
          <w:tab w:leader="none" w:pos="2440" w:val="left"/>
        </w:tabs>
        <w:rPr>
          <w:sz w:val="20"/>
          <w:szCs w:val="20"/>
          <w:color w:val="auto"/>
        </w:rPr>
      </w:pPr>
      <w:r>
        <w:rPr>
          <w:rFonts w:ascii="Times New Roman" w:cs="Times New Roman" w:eastAsia="Times New Roman" w:hAnsi="Times New Roman"/>
          <w:sz w:val="18"/>
          <w:szCs w:val="18"/>
          <w:color w:val="auto"/>
        </w:rPr>
        <w:t>(371,780)</w:t>
      </w:r>
      <w:r>
        <w:rPr>
          <w:sz w:val="20"/>
          <w:szCs w:val="20"/>
          <w:color w:val="auto"/>
        </w:rPr>
        <w:tab/>
      </w:r>
      <w:r>
        <w:rPr>
          <w:rFonts w:ascii="Times New Roman" w:cs="Times New Roman" w:eastAsia="Times New Roman" w:hAnsi="Times New Roman"/>
          <w:sz w:val="18"/>
          <w:szCs w:val="18"/>
          <w:color w:val="auto"/>
        </w:rPr>
        <w:t>(159,618)</w:t>
      </w:r>
    </w:p>
    <w:p>
      <w:pPr>
        <w:spacing w:after="0" w:line="200" w:lineRule="exact"/>
        <w:rPr>
          <w:sz w:val="20"/>
          <w:szCs w:val="20"/>
          <w:color w:val="auto"/>
        </w:rPr>
      </w:pPr>
    </w:p>
    <w:p>
      <w:pPr>
        <w:spacing w:after="0" w:line="349" w:lineRule="exact"/>
        <w:rPr>
          <w:sz w:val="20"/>
          <w:szCs w:val="20"/>
          <w:color w:val="auto"/>
        </w:rPr>
      </w:pPr>
    </w:p>
    <w:p>
      <w:pPr>
        <w:jc w:val="both"/>
        <w:ind w:left="800"/>
        <w:spacing w:after="0"/>
        <w:tabs>
          <w:tab w:leader="none" w:pos="2440" w:val="left"/>
        </w:tabs>
        <w:rPr>
          <w:sz w:val="20"/>
          <w:szCs w:val="20"/>
          <w:color w:val="auto"/>
        </w:rPr>
      </w:pPr>
      <w:r>
        <w:rPr>
          <w:rFonts w:ascii="Times New Roman" w:cs="Times New Roman" w:eastAsia="Times New Roman" w:hAnsi="Times New Roman"/>
          <w:sz w:val="18"/>
          <w:szCs w:val="18"/>
          <w:color w:val="auto"/>
        </w:rPr>
        <w:t>(900,001)</w:t>
      </w:r>
      <w:r>
        <w:rPr>
          <w:sz w:val="20"/>
          <w:szCs w:val="20"/>
          <w:color w:val="auto"/>
        </w:rPr>
        <w:tab/>
      </w:r>
      <w:r>
        <w:rPr>
          <w:rFonts w:ascii="Times New Roman" w:cs="Times New Roman" w:eastAsia="Times New Roman" w:hAnsi="Times New Roman"/>
          <w:sz w:val="18"/>
          <w:szCs w:val="18"/>
          <w:color w:val="auto"/>
        </w:rPr>
        <w:t>(345,000)</w:t>
      </w:r>
    </w:p>
    <w:p>
      <w:pPr>
        <w:spacing w:after="0" w:line="50" w:lineRule="exact"/>
        <w:rPr>
          <w:sz w:val="20"/>
          <w:szCs w:val="20"/>
          <w:color w:val="auto"/>
        </w:rPr>
      </w:pPr>
    </w:p>
    <w:p>
      <w:pPr>
        <w:ind w:left="880"/>
        <w:spacing w:after="0"/>
        <w:tabs>
          <w:tab w:leader="none" w:pos="3040" w:val="left"/>
        </w:tabs>
        <w:rPr>
          <w:sz w:val="20"/>
          <w:szCs w:val="20"/>
          <w:color w:val="auto"/>
        </w:rPr>
      </w:pPr>
      <w:r>
        <w:rPr>
          <w:rFonts w:ascii="Times New Roman" w:cs="Times New Roman" w:eastAsia="Times New Roman" w:hAnsi="Times New Roman"/>
          <w:sz w:val="18"/>
          <w:szCs w:val="18"/>
          <w:color w:val="auto"/>
        </w:rPr>
        <w:t>249,339</w:t>
      </w:r>
      <w:r>
        <w:rPr>
          <w:sz w:val="20"/>
          <w:szCs w:val="20"/>
          <w:color w:val="auto"/>
        </w:rPr>
        <w:tab/>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left="80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(650,661)</w:t>
      </w:r>
      <w:r>
        <w:rPr>
          <w:sz w:val="20"/>
          <w:szCs w:val="20"/>
          <w:color w:val="auto"/>
        </w:rPr>
        <w:tab/>
      </w:r>
      <w:r>
        <w:rPr>
          <w:rFonts w:ascii="Times New Roman" w:cs="Times New Roman" w:eastAsia="Times New Roman" w:hAnsi="Times New Roman"/>
          <w:sz w:val="18"/>
          <w:szCs w:val="18"/>
          <w:color w:val="auto"/>
        </w:rPr>
        <w:t>(345,000)</w:t>
      </w:r>
    </w:p>
    <w:p>
      <w:pPr>
        <w:spacing w:after="0" w:line="200" w:lineRule="exact"/>
        <w:rPr>
          <w:sz w:val="20"/>
          <w:szCs w:val="20"/>
          <w:color w:val="auto"/>
        </w:rPr>
      </w:pPr>
    </w:p>
    <w:p>
      <w:pPr>
        <w:sectPr>
          <w:pgSz w:w="11900" w:h="16838" w:orient="portrait"/>
          <w:cols w:equalWidth="0" w:num="2">
            <w:col w:w="7320" w:space="720"/>
            <w:col w:w="3180"/>
          </w:cols>
          <w:pgMar w:left="320" w:top="121" w:right="359" w:bottom="1440" w:gutter="0" w:footer="0" w:header="0"/>
          <w:type w:val="continuous"/>
        </w:sectPr>
      </w:pP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Proceeds from convertible promissory note – related party</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for Class A ordinary shares previously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740"/>
        <w:spacing w:after="0"/>
        <w:tabs>
          <w:tab w:leader="none" w:pos="3040" w:val="left"/>
        </w:tabs>
        <w:rPr>
          <w:sz w:val="20"/>
          <w:szCs w:val="20"/>
          <w:color w:val="auto"/>
        </w:rPr>
      </w:pPr>
      <w:r>
        <w:rPr>
          <w:rFonts w:ascii="Times New Roman" w:cs="Times New Roman" w:eastAsia="Times New Roman" w:hAnsi="Times New Roman"/>
          <w:sz w:val="18"/>
          <w:szCs w:val="18"/>
          <w:color w:val="auto"/>
        </w:rPr>
        <w:t>1,734,192</w:t>
      </w:r>
      <w:r>
        <w:rPr>
          <w:sz w:val="20"/>
          <w:szCs w:val="20"/>
          <w:color w:val="auto"/>
        </w:rPr>
        <w:tab/>
      </w:r>
      <w:r>
        <w:rPr>
          <w:rFonts w:ascii="Times New Roman" w:cs="Times New Roman" w:eastAsia="Times New Roman" w:hAnsi="Times New Roman"/>
          <w:sz w:val="18"/>
          <w:szCs w:val="18"/>
          <w:color w:val="auto"/>
        </w:rPr>
        <w:t>-</w:t>
      </w:r>
    </w:p>
    <w:p>
      <w:pPr>
        <w:spacing w:after="0" w:line="46" w:lineRule="exact"/>
        <w:rPr>
          <w:sz w:val="20"/>
          <w:szCs w:val="20"/>
          <w:color w:val="auto"/>
        </w:rPr>
      </w:pPr>
    </w:p>
    <w:p>
      <w:pPr>
        <w:ind w:left="800"/>
        <w:spacing w:after="0"/>
        <w:tabs>
          <w:tab w:leader="none" w:pos="3040" w:val="left"/>
        </w:tabs>
        <w:rPr>
          <w:sz w:val="20"/>
          <w:szCs w:val="20"/>
          <w:color w:val="auto"/>
        </w:rPr>
      </w:pPr>
      <w:r>
        <w:rPr>
          <w:rFonts w:ascii="Times New Roman" w:cs="Times New Roman" w:eastAsia="Times New Roman" w:hAnsi="Times New Roman"/>
          <w:sz w:val="18"/>
          <w:szCs w:val="18"/>
          <w:color w:val="auto"/>
        </w:rPr>
        <w:t>(373,192)</w:t>
      </w:r>
      <w:r>
        <w:rPr>
          <w:sz w:val="20"/>
          <w:szCs w:val="20"/>
          <w:color w:val="auto"/>
        </w:rPr>
        <w:tab/>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800"/>
        <w:spacing w:after="0"/>
        <w:tabs>
          <w:tab w:leader="none" w:pos="3040" w:val="left"/>
        </w:tabs>
        <w:rPr>
          <w:sz w:val="20"/>
          <w:szCs w:val="20"/>
          <w:color w:val="auto"/>
        </w:rPr>
      </w:pPr>
      <w:r>
        <w:rPr>
          <w:rFonts w:ascii="Times New Roman" w:cs="Times New Roman" w:eastAsia="Times New Roman" w:hAnsi="Times New Roman"/>
          <w:sz w:val="18"/>
          <w:szCs w:val="18"/>
          <w:color w:val="auto"/>
        </w:rPr>
        <w:t>(249,339)</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760"/>
        <w:spacing w:after="0"/>
        <w:tabs>
          <w:tab w:leader="none" w:pos="3040" w:val="left"/>
        </w:tabs>
        <w:rPr>
          <w:sz w:val="20"/>
          <w:szCs w:val="20"/>
          <w:color w:val="auto"/>
        </w:rPr>
      </w:pPr>
      <w:r>
        <w:rPr>
          <w:rFonts w:ascii="Times New Roman" w:cs="Times New Roman" w:eastAsia="Times New Roman" w:hAnsi="Times New Roman"/>
          <w:sz w:val="18"/>
          <w:szCs w:val="18"/>
          <w:b w:val="1"/>
          <w:bCs w:val="1"/>
          <w:color w:val="auto"/>
        </w:rPr>
        <w:t>1,111,661</w:t>
      </w:r>
      <w:r>
        <w:rPr>
          <w:sz w:val="20"/>
          <w:szCs w:val="20"/>
          <w:color w:val="auto"/>
        </w:rPr>
        <w:tab/>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jc w:val="both"/>
        <w:ind w:left="980"/>
        <w:spacing w:after="0"/>
        <w:tabs>
          <w:tab w:leader="none" w:pos="2440" w:val="left"/>
        </w:tabs>
        <w:rPr>
          <w:sz w:val="20"/>
          <w:szCs w:val="20"/>
          <w:color w:val="auto"/>
        </w:rPr>
      </w:pPr>
      <w:r>
        <w:rPr>
          <w:rFonts w:ascii="Times New Roman" w:cs="Times New Roman" w:eastAsia="Times New Roman" w:hAnsi="Times New Roman"/>
          <w:sz w:val="18"/>
          <w:szCs w:val="18"/>
          <w:color w:val="auto"/>
        </w:rPr>
        <w:t>89,220</w:t>
      </w:r>
      <w:r>
        <w:rPr>
          <w:sz w:val="20"/>
          <w:szCs w:val="20"/>
          <w:color w:val="auto"/>
        </w:rPr>
        <w:tab/>
      </w:r>
      <w:r>
        <w:rPr>
          <w:rFonts w:ascii="Times New Roman" w:cs="Times New Roman" w:eastAsia="Times New Roman" w:hAnsi="Times New Roman"/>
          <w:sz w:val="18"/>
          <w:szCs w:val="18"/>
          <w:color w:val="auto"/>
        </w:rPr>
        <w:t>(504,618)</w:t>
      </w:r>
    </w:p>
    <w:p>
      <w:pPr>
        <w:spacing w:after="0" w:line="50" w:lineRule="exact"/>
        <w:rPr>
          <w:sz w:val="20"/>
          <w:szCs w:val="20"/>
          <w:color w:val="auto"/>
        </w:rPr>
      </w:pPr>
    </w:p>
    <w:p>
      <w:pPr>
        <w:ind w:left="880"/>
        <w:spacing w:after="0"/>
        <w:tabs>
          <w:tab w:leader="none" w:pos="2520" w:val="left"/>
        </w:tabs>
        <w:rPr>
          <w:sz w:val="20"/>
          <w:szCs w:val="20"/>
          <w:color w:val="auto"/>
        </w:rPr>
      </w:pPr>
      <w:r>
        <w:rPr>
          <w:rFonts w:ascii="Times New Roman" w:cs="Times New Roman" w:eastAsia="Times New Roman" w:hAnsi="Times New Roman"/>
          <w:sz w:val="18"/>
          <w:szCs w:val="18"/>
          <w:color w:val="auto"/>
        </w:rPr>
        <w:t>116,234</w:t>
      </w:r>
      <w:r>
        <w:rPr>
          <w:sz w:val="20"/>
          <w:szCs w:val="20"/>
          <w:color w:val="auto"/>
        </w:rPr>
        <w:tab/>
      </w:r>
      <w:r>
        <w:rPr>
          <w:rFonts w:ascii="Times New Roman" w:cs="Times New Roman" w:eastAsia="Times New Roman" w:hAnsi="Times New Roman"/>
          <w:sz w:val="18"/>
          <w:szCs w:val="18"/>
          <w:color w:val="auto"/>
        </w:rPr>
        <w:t>748,857</w:t>
      </w:r>
    </w:p>
    <w:p>
      <w:pPr>
        <w:spacing w:after="0" w:line="73" w:lineRule="exact"/>
        <w:rPr>
          <w:sz w:val="20"/>
          <w:szCs w:val="20"/>
          <w:color w:val="auto"/>
        </w:rPr>
      </w:pPr>
    </w:p>
    <w:p>
      <w:pPr>
        <w:spacing w:after="0"/>
        <w:tabs>
          <w:tab w:leader="none" w:pos="860" w:val="left"/>
          <w:tab w:leader="none" w:pos="1640" w:val="left"/>
          <w:tab w:leader="none" w:pos="25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205,454</w:t>
        <w:tab/>
        <w:t>$</w:t>
      </w:r>
      <w:r>
        <w:rPr>
          <w:sz w:val="20"/>
          <w:szCs w:val="20"/>
          <w:color w:val="auto"/>
        </w:rPr>
        <w:tab/>
      </w:r>
      <w:r>
        <w:rPr>
          <w:rFonts w:ascii="Times New Roman" w:cs="Times New Roman" w:eastAsia="Times New Roman" w:hAnsi="Times New Roman"/>
          <w:sz w:val="17"/>
          <w:szCs w:val="17"/>
          <w:b w:val="1"/>
          <w:bCs w:val="1"/>
          <w:color w:val="auto"/>
        </w:rPr>
        <w:t>244,239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20485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180"/>
          </w:cols>
          <w:pgMar w:left="320" w:top="121" w:right="359" w:bottom="1440" w:gutter="0" w:footer="0" w:header="0"/>
          <w:type w:val="continuous"/>
        </w:sectPr>
      </w:pP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Class A ordinary shares subject to possible redemption</w:t>
            </w:r>
          </w:p>
        </w:tc>
        <w:tc>
          <w:tcPr>
            <w:tcW w:w="1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1,537,840</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204851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48510" cy="34290"/>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20"/>
          </w:cols>
          <w:pgMar w:left="320" w:top="121" w:right="35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Learn CW Investment Corporation (the “Company”) is a blank check company incorporated in the Cayman Islands on February 2, 2021. The Company was formed for the purpose of effectuating a merger, capital stock exchange, asset acquisition, stock purchase, reorganization or other similar business combination with one or more businesses (an “initial business combination”). The Company is an early stage and emerging growth company and, as such, the Company is subject to all of the risks associated with early stage and emerging growth companies.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not yet commenced any operations. All activity through June 30, 2024 relates to the Company’s formation, the initial public offering (the “Initial Public Offering”), identifying a target for an initial business combination, executing agreements, including without limitation the Business Combination Agreement (the “Business Combination Agreement”) entered into on October 24, 2023 with Learn SPAC HoldCo, Inc., a Delaware corporation and direct, wholly owned subsidiary of the Company (“Holdco”), LCW Merger Sub, Inc., a Delaware corporation and direct, wholly owned subsidiary of Holdco (“LCW Merger Sub”), Innventure Merger Sub, LLC, a Delaware limited liability company and direct, wholly owned subsidiary of Holdco (“Innventure Merger Sub”) and Innventure LLC, a Delaware limited liability company (“Innventure”).</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related to the proposed business combination transaction with Innventure (the “Business Combination” and, together with the other transactions contemplated by thereby, the “Transactions”), and public filings associated therewith.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October 7, 2021. On October 13, 2021, the Company consummated the Initial Public Offering of 23,000,000 units (the “Units”), which included 3,000,000 Units issued pursuant to the exercise by the underwriter of its over-allotment option. Each Unit consists of one Class A ordinary share of the Company, $0.0001 par value per share (the “Class A ordinary shares”), and one-half of one redeemable warrant of the Company (the “Public Warrants”), each whole Public Warrant entitling the holder thereof to purchase one Class A ordinary share at an exercise price of $11.50 per share. The Units were sold at an offering price of $10.00 per Unit, generating gross proceeds of $230,000,000.</w:t>
      </w:r>
    </w:p>
    <w:p>
      <w:pPr>
        <w:spacing w:after="0" w:line="13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Substantially concurrently with the closing of the Initial Public Offering, the Company completed the private sale of 7,146,000 warrants (the “Private Placement Warrants” and, together with the Public Warrants, the “Warrants”) to the Company’s sponsor, CWAM LC Sponsor LLC (the “Sponsor”), at a purchase price of $1.00 per Private Placement Warrant, generating gross proceeds to the Company of $7,146,000.</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on October 13, 2021, an amount of $232,300,000 ($10.10 per Unit) from the net proceeds of the sale of the Units in the Initial Public Offering and the Private Placement Warrants was placed in a trust account (“Trust Account”), to be held until the earlier of: (i) the consummation of an initial business combination or (ii) the distribution of the Trust Account, as described below. The amounts held in the Trust Account were initially invested in permitted United States “government securities” within the meaning of Section 2(a)(16) of the Investment Company Act, having a maturity of 185 days or less or in money market funds meeting certain conditions under Rule 2a-7 promulgated under the Investment Company Act that invest only in direct U.S. government treasury obligations until October 2023, when the trustee liquidated such investments and the assets in the Trust Account were held in cash accounts. In May 2024, the assets in the Trust Account were moved to an interest-bearing demand deposit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costs of the Initial Public Offering amounted to $13,157,186, consisting of $2,446,000 of underwriting fee, $9,780,500 of deferred underwriting fee and $930,686 of other offering costs, with $781,595 included in accumulated deficit as an allocation for the Public Warrants and the Private Placement Warrants.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an initial business combination. New York Stock Exchange (“NYSE”) rules provide that an initial business combination must be with one or more target businesses that together have a fair market value equal to at least 80% of the balance in the Trust Account (as defined below) (less any deferred underwriting commissions and taxes payable on interest earned on the Trust Account) at the time of the signing of a definitive agreement to enter an initial business combination. There is no assurance that the Company will be able to successfully effect an initial business combination.</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will provide its holders of Public Shares (the “public shareholders”) with the opportunity to redeem all or a portion of their Public Shares upon the completion of an initial business combination either (i) in connection with a shareholder meeting of the Company called to approve an initial business combination or (ii) by means of a tender offer. In connection with a proposed initial business combination, the Company may seek shareholder approval of such business combination at a meeting called for such purpose at which shareholders may seek to redeem their shares, regardless of whether they vote for or against such business combination.</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 Company seeks shareholder approval of an initial business combination, the Company will proceed with such business combination only if the Company receives an ordinary resolution under Cayman Islands law approving such business combination, which requires the affirmative vote of a majority of the shareholders who attend and vote at a general meeting of the Company, or such other vote as required by law or stock exchange rule. If a shareholder vote is not required and the Company does not decide to hold a shareholder vote for business or other legal reasons, the Company will, pursuant to its Amended and Restated Memorandum and Articles of Association (the “Charter”), conduct the redemptions pursuant to the tender offer rules of the Securities and Exchange Commission (the “SEC”), and file tender offer documents containing substantially the same information as would be included in a proxy statement with the SEC prior to completing an initial business combination. If the Company seeks shareholder approval in connection with an initial business combination, the Sponsor has agreed to vote its Founder Shares (as defined in Note 5) and any Public Shares purchased during or after the Proposed Public Offering in favor of approving such business combination. Additionally, each Public Shareholder may elect to redeem their Public Shares, without voting, and if they do vote, irrespective of whether they vote for or against a proposed initial business combination.</w:t>
      </w:r>
    </w:p>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an initial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an initial business combination and (b) not to propose an amendment to the Charter (i) to modify the substance or timing of the Company’s obligation to allow redemption in connection with an initial business combination or to redeem 100% of the Public Shares if the Company does not complete an initial business combination by the Extended Date (as defined below) or (ii) with respect to any other provision relating to shareholders’ rights or pre-initial business combination activity, unless the Company provides the Public Shareholders with the opportunity to redeem their Class A ordinary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Class A ordinary shares.</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an extraordinary general meeting (the “Meeting”) and approved a proposal to (i) amend the Charter to extend to the date by which the Company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20"/>
          </w:cols>
          <w:pgMar w:left="320" w:top="121"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consummate an initial business combination (the “Extension Amendment Proposal”) from October 13, 2023 to October 13, 2024, by electing to extend the date to consummate an initial business combination on a monthly basis for up to twelve (12) times by an additional one month each time (as extended, the “Extended Date”), unless the closing of an initial business combination has occurred, provided that the Sponsor (or its affiliates or permitted designees) will deposit into the Trust Account for each such one-month extension period the lesser of (x) $150,000 or (y) $0.03 per Public Share that remains outstanding and is not redeemed prior to any such one-month extension, unless the closing of an initial business combination has occurred, which may be made in exchange for a non-interest bearing promissory note payable upon consummation of an initial business combination, (ii) amend the Charter to permit the issuance of Class A ordinary shares to holders of the Class B ordinary shares, $0.0001 par value per share (the “Class B ordinary shares”), upon the exercise of the right of a holder of the Class B ordinary shares to convert such Class B ordinary shares into Class A ordinary shares on a one-for-one basis, at any time and from time to time, prior to the closing of an initial business combination (the “Founder Share Amendment Proposal”), and (iii) amend the Charter to eliminate the limitation that the Company may not redeem Class A ordinary shares in an amount that would cause the Company’s net tangible assets to be less than $5,000,001 (the “Redemption Limitation Proposal”). At the Meeting, the Public Shareholders approved the Extension Amendment Proposal, the Founder Share Amendment Proposal and the Redemption Limitation Proposal.</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Furthermore, in connection with the Meeting, shareholders holding 13,661,579 Class A ordinary shares exercised their right to redeem such shares for a pro rata portion of the funds in the Trust Account. As a result, approximately $145.2 million (based on a redemption price of approximately $10.63 per share) was removed from the Trust Account to pay such holders.</w:t>
      </w:r>
    </w:p>
    <w:p>
      <w:pPr>
        <w:spacing w:after="0" w:line="12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On October 24, 2023, the Company entered into the Business Combination Agreement with Holdco, LCW Merger Sub, Innventure Merger Sub and Innventure, pursuant to which the parties thereto will enter into the Business Combination, pursuant to which, among other things, (i) LCW Merger Sub will merge with and into the Company (the “LCW Merger”), with the Company being the surviving company, and (ii) Innventure Merger Sub will merge with and into Innventure (the “Innventure Merger” and together with the LCW Merger, the “Mergers”), with Innventure being the surviving company. Following the Mergers, each of the Company and Innventure will be a subsidiary of Holdco, and Holdco will become a publicly traded company. At the closing of the Business Combination, Holdco is expected to change its name to Innventure, Inc., and its common stock, par value $0.0001, is expected to list on Nasdaq.</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recorded a deferred credit of $586,918 as of June 30, 2024, on its balance sheet which reflects payments received from Innventure for the reimbursement of 50% of certain expenses of the Company by Innventure pursuant to the Business Combination Agreement.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consummation of the proposed Business Combination with Innventure is subject to certain conditions as further described in the Business Combination Agreement.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August 12, 2024, the Company announced that $150,000 was deposited into the Trust Account to extend the period of time the Company has to consummate an initial business combination to September 13, 2024.</w:t>
      </w:r>
    </w:p>
    <w:p>
      <w:pPr>
        <w:spacing w:after="0" w:line="10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Company has not completed an initial business combination by September 13, 2024 and the Company decides not to extend the period of time to consummate an initial business combination, the Company will (i) cease all operations except for the purpose of winding up, (ii) as promptly as reasonably possible but not more than ten business days thereafter, redeem 100% of the Class A ordinary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Class A ordinary shares, which redemption will completely extinguish the rights of the Public Shareholders as shareholders (including the right to receive further liquidating distributions, if any), and</w:t>
      </w:r>
    </w:p>
    <w:p>
      <w:pPr>
        <w:spacing w:after="0" w:line="5" w:lineRule="exact"/>
        <w:rPr>
          <w:sz w:val="20"/>
          <w:szCs w:val="20"/>
          <w:color w:val="auto"/>
        </w:rPr>
      </w:pPr>
    </w:p>
    <w:p>
      <w:pPr>
        <w:ind w:right="140" w:firstLine="8"/>
        <w:spacing w:after="0" w:line="255" w:lineRule="auto"/>
        <w:tabs>
          <w:tab w:leader="none" w:pos="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following such redemption, subject to the approval of the Company’s remaining Public Shareholders and its board of directors (the “Board”), liquidate and dissolve, subject in each case to the Company’s obligations under Cayman Islands law to provide for claims of creditors and the requirements of other applicable law. There will be no redemption rights or liquidating distributions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Public Warrants, which will expire worthless if the Company fails to complete an initial business combination by the Extended Date.</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Sponsor has agreed to waive its rights to liquidating distributions from the Trust Account with respect to the Founder Shares it will receive if the Company fails to complete an initial business combination by the Extended Date. However, if the Sponsor or any of its respective affiliates acquire Public Shares, such Public Shares will be entitled to liquidating distributions from the Trust Account if the Company fails to complete an initial business combination by the Extended Date.</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June 30, 2024 and December 31, 2023, the Company had cash of $205,454 and $116,234 held outside of the Trust Account, respectively. The Company intends to use substantially all of the funds held the Trust Account. To the extent that its shares or debt are used, in whole or in part, as consideration to complete its initial business combination, the remaining proceeds held in the Trust Account will be used as working capital to finance the operations of the post-business combination entity, make other acquisitions and pursue the Company’s growth strategies.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amended and restated the promissory note (the “First Restated Note”), agreeing to amend the principal amount of the loan of up to $2,487,000. On March 19, 2024, the Company and the Sponsor further amended and restated the First Restated Note (the “Second Restated Note”), agreeing to amend the principal amount of the loan of up to $3,050,000. On June 28, 2024, the Company and the Sponsor further amended and restated the Second Restated Note (the “Third Restated Note” and, as may be further amended and restated, the “Note”), agreeing to amend the principal amount of the loan of up to $3,800,000, which was fully drawn as of such date. The outstanding balance under this loan amounted to $3,800,000 as of June 30, 2024. Management determined that there was an embedded conversion feature related to the Note that would require bifurcation and be classified as a liability. However, based on a third-party valuation, the amount was determined to be de minimis.</w:t>
      </w:r>
    </w:p>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the Company sustained negative cash flows from operations and expects to continue to incur negative cash flows from operations for at least the next twelve months from the filing of this report.</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 Board’s (“FASB”) Accounting Standards Update (“ASU”) 2014-15, “Disclosures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Uncertainties about an Entity’s Ability to Continue as a Going Concern,” the Company has until the Extended Date to consummate the proposed Business Combination. It is uncertain that the Company will be able to consummate the proposed Business Combination by this time. On August 12, 2024, the Company announced that $150,000 was deposited into the Trust Account to extend the period of time the Company has to consummate an initial business combination to September 13, 2024. If an initial business combination is not consummated by this date, absent any further extensions, there will be a mandatory liquidation and subsequent dissolution of the Company. Management has determined that the mandatory liquidation, should an initial business combination not occur, and potential subsequent dissolution, raises substantial doubt about the Company’s ability to continue as a going concern for the next twelve months from the issuance of this filing. No adjustments have been made to the carrying amounts of assets or liabilities should the Company be required to liquidate after October 13, 2024 or earlier if the period of time the Company has to consummate an initial business combination is not extended on a monthly basis. The Company intends to complete the proposed Business Combination before the mandatory liquidation date. However, there can be no assurance that the Company will be able to consummate any business combination by the Extended Date.</w:t>
      </w:r>
    </w:p>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evaluation of its working capital, along with, the liquidity condition and date for mandatory liquidation and subsequent dissolution raise substantial doubt about the Company’s ability to continue as a going concern one year from the date that these unaudited condensed financial statements are issued. These unaudited condensed financial statements do not include any adjustment relating to the recovery of the recorded assets or the classification of the liabilities that might be necessary should the Company be unable to continue as a going concern.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condensed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3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Form 10-K as filed with the SEC on April 4, 2024. The financial information as of December 31, 2023 is derived from the audited financial statements presented in the Company’s Annual Report on Form 10-K for the year ended December 31, 2023. The interim results for the six months ended June 30, 2024, are not necessarily indicative of the results expected for the year ending December 31, 2024 or for any future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20"/>
          </w:cols>
          <w:pgMar w:left="320" w:top="121"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cash of $205,454 and $116,234 as of June 30, 2024 and December 31, 2023, respectively, and no cash equivalents as of June 30, 2024 and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in Trust Account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all of the assets held in the Trust Account were invested in interest-bearing demand deposit accounts and cash accounts,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Accounting Standards Codification (“ASC”) 740 (“ASC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June 30, 2024. The Company is currently not aware of any issues under review that could result in significant payments, accruals or material deviation from its position.</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Possible Redemption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accounts for its shares subject to possible redemption in accordance with the guidance in ASC 480 (“ASC 480”), “Distinguishing Liabilities from Equity.” Shares subject to mandatory redemption (if any) are classified as a liability instrument and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shares are classified as shareholders’ equity. The Company’s shares feature certain redemption rights that are considered to be outside of the Company’s control and subject to occurrence of uncertain future events. Accordingly, at June 30, 2024 and December 31, 2023, shares subject to possible redemption are presented as temporary equity, outside of the shareholders’ deficit section of the Company’s balance sheet.</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Class A ordinary shares subject to possible redemption reflected on the balance sheets are reconciled in the following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2022</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235,578,275</w:t>
            </w:r>
          </w:p>
        </w:tc>
      </w:tr>
      <w:tr>
        <w:trPr>
          <w:trHeight w:val="25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(145,222,585)</w:t>
            </w:r>
          </w:p>
        </w:tc>
      </w:tr>
      <w:tr>
        <w:trPr>
          <w:trHeight w:val="26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redemption payable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(249,339)</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9,948,542</w:t>
            </w:r>
          </w:p>
        </w:tc>
      </w:tr>
      <w:tr>
        <w:trPr>
          <w:trHeight w:val="25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December 31, 2023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100,054,892</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1,537,840</w:t>
            </w:r>
          </w:p>
        </w:tc>
      </w:tr>
      <w:tr>
        <w:trPr>
          <w:trHeight w:val="26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 ordinary shares subject to possible redemption, June 30, 2024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101,592,732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Costs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Offering costs consisted of legal, accounting, and other expenses incurred through the balance sheet date that were directly related to the Initial Public Offering. The Company complies with the requirements of the ASC 340-10-S99-1 and SEC Staff Accounting Bulletin (“SAB”) Topic 5A— “Expenses of Offering.” Offering costs consist principally of professional and registration fees incurred through the balance sheet date that are related to the Initial Public Offering. Offering costs are charged to shareholders’ equity or the statement of operations based on the relative value of the Public Warrants and the Private Placement Warrants to the proceeds received from the Units sold upon the completion of the Initial Public Offering. Accordingly, on December 31, 2021, offering costs totaling $13,157,186 (consisting of $2,446,000 of underwriting fee, $9,780,500 of deferred underwriting fee and $930,686 of other offering costs) were recognized with $781,595 included in the statements of operations as an allocation for the Public Warrants and the Private Placement Warrants. No offering costs were incurred for the three and six months ended June 30,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“Distinguishing Liabilities from Equity,” and ASC 815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3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model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The Company has two classes of shares, which are referred to as Class A ordinary shares and Class B ordinary shares. Income is shared pro rata between the two classes of ordinary shares. Net income per share is computed by dividing net income by the weighted average number of ordinary shares outstanding for the period. Accretion associated with the redeemable Class A ordinary shares is excluded from earnings per share as the redemption value approximates fair value. The calculation of diluted income per ordinary share does not consider the effect of the Warrants issued in connection with the Initial Public Offering, as well as warrants potentially issuable upon conversion of the Note, since the exercise of such warrants are contingent upon the occurrence of future events and the inclusion of such warrants would be anti-dilutive.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(loss)/income per ordinary share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13"/>
                <w:szCs w:val="13"/>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04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30,2024</w:t>
            </w:r>
          </w:p>
        </w:tc>
        <w:tc>
          <w:tcPr>
            <w:tcW w:w="200" w:type="dxa"/>
            <w:vAlign w:val="bottom"/>
          </w:tcPr>
          <w:p>
            <w:pPr>
              <w:spacing w:after="0"/>
              <w:rPr>
                <w:sz w:val="16"/>
                <w:szCs w:val="16"/>
                <w:color w:val="auto"/>
              </w:rPr>
            </w:pPr>
          </w:p>
        </w:tc>
        <w:tc>
          <w:tcPr>
            <w:tcW w:w="21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30,2024</w:t>
            </w:r>
          </w:p>
        </w:tc>
        <w:tc>
          <w:tcPr>
            <w:tcW w:w="140" w:type="dxa"/>
            <w:vAlign w:val="bottom"/>
          </w:tcPr>
          <w:p>
            <w:pPr>
              <w:spacing w:after="0"/>
              <w:rPr>
                <w:sz w:val="16"/>
                <w:szCs w:val="16"/>
                <w:color w:val="auto"/>
              </w:rPr>
            </w:pPr>
          </w:p>
        </w:tc>
        <w:tc>
          <w:tcPr>
            <w:tcW w:w="21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6"/>
                <w:szCs w:val="16"/>
                <w:color w:val="auto"/>
              </w:rPr>
            </w:pPr>
          </w:p>
        </w:tc>
        <w:tc>
          <w:tcPr>
            <w:tcW w:w="204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25"/>
        </w:trPr>
        <w:tc>
          <w:tcPr>
            <w:tcW w:w="202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Basic and diluted net</w:t>
            </w:r>
          </w:p>
        </w:tc>
        <w:tc>
          <w:tcPr>
            <w:tcW w:w="16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income/(loss) per ordinary</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Allocation of net income/(loss),</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(1,584,646)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(975,724)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(2,917,669)</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(1,796,513)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1,703,734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425,933</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3,986,709</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996,677</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 adjusted</w:t>
            </w:r>
          </w:p>
        </w:tc>
        <w:tc>
          <w:tcPr>
            <w:tcW w:w="1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Basic and diluted weighted</w:t>
            </w:r>
          </w:p>
        </w:tc>
        <w:tc>
          <w:tcPr>
            <w:tcW w:w="1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9,338,422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9,338,422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5,750,000</w:t>
            </w:r>
          </w:p>
        </w:tc>
        <w:tc>
          <w:tcPr>
            <w:tcW w:w="0" w:type="dxa"/>
            <w:vAlign w:val="bottom"/>
          </w:tcPr>
          <w:p>
            <w:pPr>
              <w:spacing w:after="0"/>
              <w:rPr>
                <w:sz w:val="1"/>
                <w:szCs w:val="1"/>
                <w:color w:val="auto"/>
              </w:rPr>
            </w:pPr>
          </w:p>
        </w:tc>
      </w:tr>
      <w:tr>
        <w:trPr>
          <w:trHeight w:val="20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average shares outstanding</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20" w:type="dxa"/>
            <w:vAlign w:val="bottom"/>
          </w:tcPr>
          <w:p>
            <w:pPr>
              <w:ind w:left="20"/>
              <w:spacing w:after="0" w:line="113" w:lineRule="exact"/>
              <w:rPr>
                <w:sz w:val="20"/>
                <w:szCs w:val="20"/>
                <w:color w:val="auto"/>
              </w:rPr>
            </w:pPr>
            <w:r>
              <w:rPr>
                <w:rFonts w:ascii="Times New Roman" w:cs="Times New Roman" w:eastAsia="Times New Roman" w:hAnsi="Times New Roman"/>
                <w:sz w:val="13"/>
                <w:szCs w:val="13"/>
                <w:color w:val="auto"/>
              </w:rPr>
              <w:t>Basic and diluted net</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income/(loss) per ordinary</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2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1"/>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condensed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will account for the conversion features in the Note under ASC 815. However, if a conversion feature meets the criteria of the scope exception, then it will not be bifurcated.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(“ASU 2020-06”), Debt — Debt with Conversion and Other Options (Subtopic 470-20) and Derivatives and Hedging — Contracts in Entity’s Own Equity (Subtopic 815-40)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if-convened method for all convertible instruments. The Company adopted this standard on January 1, 2024. The adoption of this standard did not have a significant impact to the Company’s financial statements.</w:t>
      </w:r>
    </w:p>
    <w:p>
      <w:pPr>
        <w:spacing w:after="0" w:line="13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Management does not believe there are any other recently issued, but not yet effective, accounting pronouncements, if currently adopted, that would have a material effect on the Company’s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75"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Pursuant to the Initial Public Offering on October 13, 2021, the Company sold 23,000,000 Units, including 3,000,000 Units as a result of the underwriter’s exercise of their over-allotment option in full, at a purchase price of $10.00 per Unit. Each Unit consists of one Class A ordinary share, and one-half of one Public Warrant. Each Public Warrant entitles the holder to purchase one Class A ordinary share at an exercise price of $11.50 per whole share (see Note 7).</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7,146,000 Private Placement Warrants at a price of $1.00 per Private Placement Warrant, for an aggregate purchase price of $7,146,000, in a private placement. Each Private Placement Warrant is identical to the Public Warrants, except there will be no redemption rights or liquidating distributions from the trust account with respect to Private Placement Warrants, which will expire worthless if the Company does not consummate an initial business combination by the Extended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February 2, 2021, in consideration for the payment of certain of the Company’s offering costs, the Company applied $25,000 of outstanding advances from the Sponsor towards the issuance of 7,187,000 Class B ordinary shares. On August 20, 2021, and September 9, 2021, the Sponsor effected a surrender of 1,287,000 Class B ordinary shares and 150,000 Class B ordinary shares, respectively, to the Company for no consideration, resulting in a decrease in the total number of Class B ordinary shares outstanding from 7,187,000 to 5,750,000. All shares and associated amounts have been retroactively restated to reflect the share surrender. The initial shareholders agreed to forfeit up to 750,000 Founder Shares to the extent the over-allotment was not exercised in full by the underwriter. In May 2021, the Sponsor transferred 30,000 Founder Shares to each of the Company’s independent directors at the same price originally paid for such shares. On October 13, 2021, the underwriter exercised the full over-allotment option.</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Sponsor has agreed not to transfer, assign or sell any of its Founder Shares until the earlier to occur of: (A) one year after the completion of an initial business combination or (B) the date on which the Company completes a liquidation, merger, capital stock exchange or similar transaction that results in the Company’s shareholders having the right to exchange their ordinary shares for cash, securities or other property. Notwithstanding the foregoing, if the last sale price of the Class A ordinary shares equals or exceeds $12.00 per share (as adjusted for stock splits, stock dividends, reorganizations, recapitalizations and the like) for any 20 trading days within any 30-trading day period commencing at least 150 days after an initial business combination, the Founder Shares will be released from the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20"/>
          </w:cols>
          <w:pgMar w:left="320" w:top="121"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initial business combination, the Sponsor, an affiliate of the Sponsor, or the Company’s officers and directors may, but are not obligated to, loan the Company funds as may be required (the “Working Capital Loans”). Such Working Capital Loans would be evidenced by promissory notes. The notes would either be repaid upon consummation of an initial business combination, without interest, or, at the lender’s discretion, up to $1,500,000 of notes may be converted upon consummation of an initial business combination into warrants at a price of $1.00 per warrant. The warrants will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On May 3, 2022, the Company entered into a promissory note with the Sponsor pursuant to which the Sponsor agreed to loan the Company up to an aggregate amount of $1,050,000 which the Company drew down in full on May 5, 2022. This note is non-interest bearing and is due on the earlier of the day by which the Company must complete an initial business combination, and the effective date of such business combination. On December 29, 2023, the Company and the Sponsor entered into the First Restated Note, agreeing to amend the principal amount of the loan of up to $2,487,000. On March 19, 2024, the Company and the Sponsor entered into the Second Restated Note, agreeing to amend the principal amount of the loan of up to $3,050,000. On June 28, 2024, the Company and the Sponsor entered into the Third Restated Note, agreeing to amend the principal amount of the loan of up to $3,800,000, which was fully drawn as of such date. The outstanding balance under this loan amounted to $3,800,000 as of June 30, 2024 and $2,439,000 as of December 31, 2023. Management determined that there was an embedded conversion feature related to the Note that would require bifurcation and be classified as a liability. However, based on a third-party valuation, the amount was determined to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Shareholders Rights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any warrants that may be issued upon conversion of the Working Capital Loans (and in each case holders of their component securities, as applicable) will be entitled to registration rights pursuant to a registration rights agreement signed simultaneously with the offering (October 13, 2021), requiring the Company to register such securities for resale (in the case of the Founder Shares, only after conversion to the Class A ordinary shares).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consummation of an initial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underwriter was entitled to a deferred fee of $0.35 per Unit, or $7,780,500 in the aggregate, and a discretionary deferred fee of $2,000,000. The deferred fee would have become payable to the underwriter from the amounts held in the Trust Account solely in the event that the Company completed an initial business combination, subject to the terms of the underwriting agreement. Even though the services the underwriter owed the Company for such deferred compensation had already been provided in full in connection with the Initial Public Offering, on September 1, 2023, the underwriter gratuitously waived its entitlement to the deferred compensation. The underwriter was not provided, and will not be provided, any consideration in exchange for its waiver of their entitlement to the payment of the deferred compensation.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Warrant Liabilities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accounted for the 18,646,000 Warrants issued in connection with the Initial Public Offering in accordance with the guidance contained in ASC 815-40. Such guidance provides that, because the Warrants do not meet the criteria for equity treatment thereunder, each Warrant must be recorded as a liability. Accordingly,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Company has classified each Warrant as a liability at its fair value. This liability is subject to re-measurement at each balance sheet date. With each such remeasurement, the warrant liabilities will be adjusted to fair value, with the change in fair value recognized in the Company’s statement of operations. The Warrants are also subject to re-evaluation of the proper classification and accounting treatment at each reporting period. If the classification changes as a result of events during the period, the Warrants will be reclassified as of the date of the event that causes the reclassification.</w:t>
      </w:r>
    </w:p>
    <w:p>
      <w:pPr>
        <w:spacing w:after="0" w:line="12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 Company offered warrants in connection with its sale of Units. Each whole warrant that is part of the Units sold in the Offering is exercisable to purchase one Class A ordinary share, subject to adjustment as provided in the Initial Public Offering prospectus, and only whole warrants are exercisable. No fractional warrants will be issued upon separation of the Units and only whole warrants will trade. If, upon separation of the Units, a holder of warrants would be entitled to receive a fractional warrant, the Company will round down to the nearest whole number of warrants to be issued to such holder.</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an initial business combination, it will use its best efforts to file with the SEC a registration statement registering the issuance, under the Securities Act, of the Class A ordinary shares issuable upon exercise of the Public Warrants. The Company will use its best efforts to file with the SEC a registration statement covering the Class A ordinary shares issuable upon exercise of the warrants, to cause such registration statement to become effective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3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Class A ordinary shares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$10.00. Once the warrants become exercisable, the Company may redeem the outstanding warrants:</w:t>
      </w:r>
    </w:p>
    <w:p>
      <w:pPr>
        <w:spacing w:after="0" w:line="108" w:lineRule="exact"/>
        <w:rPr>
          <w:sz w:val="20"/>
          <w:szCs w:val="20"/>
          <w:color w:val="auto"/>
        </w:rPr>
      </w:pPr>
    </w:p>
    <w:p>
      <w:pPr>
        <w:ind w:left="660" w:hanging="328"/>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21"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determined by reference to an agreed table based on the redemption date and the “fair market value” of Class A ordinary shares;</w:t>
      </w:r>
    </w:p>
    <w:p>
      <w:pPr>
        <w:spacing w:after="0" w:line="171" w:lineRule="exact"/>
        <w:rPr>
          <w:sz w:val="20"/>
          <w:szCs w:val="20"/>
          <w:color w:val="auto"/>
        </w:rPr>
      </w:pPr>
    </w:p>
    <w:p>
      <w:pPr>
        <w:ind w:left="660" w:right="200" w:hanging="328"/>
        <w:spacing w:after="0" w:line="282"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ordinary shares equals or exceeds $10.00 per public share (as adjusted) for any 20 trading days within the 30-trading day period ending three trading days before the Company sends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and when the Public Warrants become redeemable by the Company, the Company may not exercise its redemption right if the issuance of ordinary shares upon exercise of the warrants is not exempt from registration or qualification under applicable state blue sky laws or the Company is unable to effect such registration or qualification.</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Class A ordinary shares issuable upon exercise of the warrants may be adjusted in certain circumstances including in the event of a share dividend, or recapitalization, reorganization, merger or consolidation. Additionally, in no event will the Company be required to net cash settle the Public Warrants.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stock dividend, extraordinary dividend or recapitalization, reorganization, merger or consolidation. If the Company is unable to complete an initial business combination by the Extended Date and the Company liquidates the funds held in the Trust Account, holders of warrants will not receive any of such funds with respect to their warrants, nor will they receive any distribution from the Company’s assets held outside of the Trust Account with respect to such warrants. Accordingly, the warrants may expire worthless.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if (x) the Company issues additional Class A ordinary shares or equity-linked securities for capital raising purposes in connection with the closing of its initial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greater of the Market Value and the Newly Issued Price.</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sold in the Initial Public Offering, except that the Private Placement Warrants will and the ordinary shares issuable upon the exercise of the Private Placement Warrants will not be transferable, assignable or salable until 30 days after the completion of an initial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purchasers or their permitted transferees, the Private Placement Warrants will be redeemable by the Company and exercisable by such holders on the same basis as the Public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there were 11,500,000 Public Warrants and 7,146,000 Private Placement Warrants outstanding with a fair value of $1,725,000 and</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$1,071,900, respectively. At December 31, 2023, there were 11,500,000 Public Warrants and 7,146,000 Private Placement Warrants outstanding with a fair value of $230,000 and $142,920, respectively.</w:t>
      </w:r>
    </w:p>
    <w:p>
      <w:pPr>
        <w:spacing w:after="0" w:line="1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accounts for the 11,500,000 Public Warrants issued in connection with the Initial Public Offering and the 7,146,000 Private Placement Warrants in accordance with the guidance contained in ASC 815-40. Such guidance provides that because the Warrants do not meet the criteria for equity treatment thereunder, each warrant must be recorded as a derivative liability. The warrant agreement contains an Alternative Issuance provision that if less than 70% of the consideration receivable by the holders of the Class A ordinary shares in an initial business combination is payable in the form of ordinary equity in the successor entity, and if the holders of the warrants properly exercises the warrants within thirty days following the public disclosure of the consummation of such business combination by the Company, the warrant price shall be reduced by an amount equal to the difference (but in no event less than zero) of (i) the warrant price in effect prior to such reduction minus (ii) (A) the Per Share Consideration (as defined below) minus (B) the Black-Scholes Warrant Value (as defined below). The “Black-Scholes Warrant Value” means the value of a Warrant immediately prior to the consummation of such business combination based on the Black-Scholes Warrant Model for a Capped American Call on Bloomberg Financial Markets. “Per Share Consideration” means (i) if the consideration paid to holders of the ordinary share consists exclusively of cash, the amount of such cash per ordinary share, and (ii) in all other cases, the volume weighted average price of the ordinary share as reported during the ten-trading day period ending on the trading day prior to the effective date of such business combination.</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believes that the adjustments to the exercise price of the warrants is based on a variable that is not an input to the fair value of a “fixed-for-fixed” option as defined under ASC 815-40 and, thus, the warrants are not eligible for an exception from derivative accounting. The accounting treatment of derivative financial instruments requires that the Company record a derivative liability upon the closing of the Initial Public Offering. Accordingly, the Company will classify each warrant as a liability at its fair value and the warrants will be allocated a portion of the proceeds from the issuance of the Units equal to its fair value determined by the Monte Carlo simulation. This liability is subject to re-measurement at each balance sheet date. With each such remeasurement, the warrant liabilities will be adjusted to fair value, with the change in fair value recognized in the Company’s statements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Class A Ordinary Shares Subject to Possible Redemption</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Class A ordinary shares feature certain redemption rights that are considered to be outside of the Company’s control and subject to the occurrence of future events. The Company is authorized to issue 200,000,000 Class A ordinary shares with a par value $0.0001 per share. Holders of the Company’s Class A ordinary shares are entitled to one vote for each share.</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11, 2023, the Public Shareholders of the Company held the Meeting to approve the Extension Amendment Proposal, the Founder Share Amendment Proposal, and the Redemption Limitation Proposal. At the Meeting, the Public Shareholders approved each of the Extension Amendment Proposal, the Founder Share Amendment Proposal, and the Redemption Limitation Proposal. In connection with the Meeting, shareholders holding 13,661,579 Class A ordinary shares (after giving effect to withdrawals of redemptions) exercised their right to redeem such shares for a pro rata portion of the funds in the Company’s Trust Account. As a result, approximately $145.2 million (approximately $10.63 per share) was removed from the Trust Account to pay such holders. Following these redemptions, the Company had 9,338,421 Class A ordinary shares outstanding.</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redemptions, the Company recorded shareholder redemption payable for additional interest earned by redeeming holders of Class A ordinary shares that exercised their redemption rights in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320" w:top="121"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$249,339, which equates to approximately $0.018 per Class A ordinary share. During the three months ended June 30, 2024, the Company remitted the additional interest to such redeeming holders of Class A ordinary shares.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there were 9,338,421 Class A ordinary shares outstanding which were subject to possible redemption and are classified outside of permanent equity in the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Shareholders’ Deficit</w:t>
      </w:r>
    </w:p>
    <w:p>
      <w:pPr>
        <w:spacing w:after="0" w:line="1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with a par value of $0.0001 per share. At June 30,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 there were no preference shares issued or outstanding, respectively.</w:t>
      </w:r>
    </w:p>
    <w:p>
      <w:pPr>
        <w:spacing w:after="0" w:line="10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200,000,000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are entitled to one vote for each share. At June 30, 2024 and December 31, 2023, there were zero Class A ordinary shares issued or outstanding (excluding the 9,338,421 Class A ordinary shares subject to possible redemption).</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20,000,000 Class B ordinary shares, with a par value of $0.0001 per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At June 30, 2024 and December 31, 2023, there were 5,750,000 Class B ordinary shares issued and outstanding, respectively.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an initial business combination on a one-for-one basis, subject to adjustment for stock splits, stock dividends, reorganizations, recapitalizations and the like. In the case that additional Class A ordinary shares, or equity linked securities, are issued or deemed issued in excess of the amounts offered in the Initial Public Offering and related to the closing of such business combination, the ratio at which Class B ordinary shares shall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on an as converted basis, 20% of the sum of the total number of all ordinary shares outstanding upon the completion of the Initial Public Offering plus all Class A ordinary shares and equity linked securities issued or deemed issued in connection with such business combination (excluding any shares or equity linked securities issued, or to be issued, to any seller in the business combination, and any private placement-equivalent warrants issued to the Sponsor or its affiliates upon conversion of loans made to the Company). Holders of Founder Shares may also elect to convert their Class B ordinary shares into an equal number of Class A ordinary shares, subject to adjustment as provided above, at any time.</w:t>
      </w:r>
    </w:p>
    <w:p>
      <w:pPr>
        <w:spacing w:after="0" w:line="1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may issue additional ordinary shares or preference shares to complete its initial business combination or under an employee incentive plan after completion of its initial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26"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00"/>
          </w:cols>
          <w:pgMar w:left="320" w:top="121" w:right="3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8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June 30, 2024,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101,592,732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101,592,732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r>
      <w:tr>
        <w:trPr>
          <w:trHeight w:val="26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1,071,900</w:t>
            </w:r>
          </w:p>
        </w:tc>
      </w:tr>
      <w:tr>
        <w:trPr>
          <w:trHeight w:val="28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December 31, 2023, and indicates the fair value hierarchy of the valuation inputs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5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in Trust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100,304,232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100,304,232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r>
      <w:tr>
        <w:trPr>
          <w:trHeight w:val="264"/>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8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Warrants are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 liabilities in the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Measurement</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established the initial fair value for the Public Warrants and the Private Placement Warrants on October 13, 2021, the date of the Company’s Initial Public Offering, using a Monte Carlo simulation model. The Company allocated the proceeds received from (i) the sale of Units (which is inclusive of one Class A ordinary share and one-fifth of one Public Warrant), and (ii) the sale of Private Placement Warrants, first to the Warrants based on their fair values as determined at initial measurement, with the remaining proceeds allocated to Class A ordinary shares subject to possible redemption based on their relative fair values at the initial measurement date. The Public Warrants and the Private Placement Warrants were classified as Level 3 at the initial measurement date due to the use of unobservable inputs. For periods subsequent to the detachment of the Public Warrants from the Units, which occurred on November 29, 2021, the Public Warrants were valued using the instrument’s publicly listed trading price on the NYSE as of the balance sheet date, which is considered to be a Level 1 measurement due to the use of an observable market quote in an active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Private Placement Warrants were as follows on June 30, 2024 and December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340" w:type="dxa"/>
            <w:vAlign w:val="bottom"/>
          </w:tcPr>
          <w:p>
            <w:pPr>
              <w:spacing w:after="0"/>
              <w:rPr>
                <w:sz w:val="13"/>
                <w:szCs w:val="13"/>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7"/>
        </w:trPr>
        <w:tc>
          <w:tcPr>
            <w:tcW w:w="7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Warrants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Warrants were valued using a Monte Carlo Simulation Model, which is considered to be a Level 3 fair value measurement. The Modified Black Scholes model’s primary unobservable input utilized in determining the fair value of the Warrants is the expected volatility as of the closing of the Initial Public Offering, which was derived from observable warrant pricing on comparable ‘blank-check’ companies without an identified target. The expected volatility as of subsequent valuation dates was implied from the Company’s own Public Warrant pricing.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warrant liabilities: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Private Warrants</w:t>
            </w:r>
          </w:p>
        </w:tc>
      </w:tr>
      <w:tr>
        <w:trPr>
          <w:trHeight w:val="30"/>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142,920</w:t>
            </w:r>
          </w:p>
        </w:tc>
      </w:tr>
      <w:tr>
        <w:trPr>
          <w:trHeight w:val="263"/>
        </w:trPr>
        <w:tc>
          <w:tcPr>
            <w:tcW w:w="968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Change in fair value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214,380</w:t>
            </w:r>
          </w:p>
        </w:tc>
      </w:tr>
      <w:tr>
        <w:trPr>
          <w:trHeight w:val="25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March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7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714,600</w:t>
            </w:r>
          </w:p>
        </w:tc>
      </w:tr>
      <w:tr>
        <w:trPr>
          <w:trHeight w:val="26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June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valuation inputs or other assumptions are recognized in change in fair value of warrant liabilities in the statement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 Liability</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liability for the conversion option was valued using a Black-Scholes Option Pricing Model, which is considered to be a Level 3 fair value measurement. The Black Scholes model’s primary unobservable input utilized in determining the fair value of the conversion option is the expected volatility of the ordinary shares. During the six months ended June 30, 2024 and 2023, there were no changes in the fair value of the conversion option liability. As of June 30, 2024 and December 31, 2023, the fair value of the conversion feature was de minimis.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17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Management of the Company evaluated subsequent events and transactions that occurred after the balance sheet date up to the date that the unaudited condensed financial statements were issued and has determined that there were no significant unrecognized events through that date other those noted below.</w:t>
      </w:r>
    </w:p>
    <w:p>
      <w:pPr>
        <w:spacing w:after="0" w:line="12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On July 11, 2024, the Company announced that $150,000 was deposited into the Trust Account to extend the period of time the Company has to consummate an initial business combination to August 13, 2024.</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August 12, 2024, the Company announced that $150,000 was deposited into the Trust Account to extend the period of time the Company has to consummate an initial business combination to September 13, 2024.</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13, 2024, the Company, acting pursuant to authorization from its Board, notified the NYSE of its intention to voluntarily withdraw the listing of its Class A ordinary shares, Public Warrants and Units from the NYSE and transfer the listing of its Class A ordinary shares to the Nasdaq Global Market (“Nasdaq”). The listing and trading of the Company's securities on the NYSE ended at market close on August 23, 2024, and trading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Class A ordinary shares commenced on Nasdaq on August 26, 2024, with the Units and Public Warrants commencing trading in the over-the-counter market on the same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0740"/>
          </w:cols>
          <w:pgMar w:left="320" w:top="121" w:right="8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Innventure LLC (the “Company”) as of December 31, 2023 and 2022, the related consolidated statements of operations, changes in mezzanine capital, changes in unitholders’ deficit,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described in Note 2 to the consolidated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20"/>
          </w:cols>
          <w:pgMar w:left="320" w:top="121" w:right="35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27,979</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23,306</w:t>
            </w:r>
          </w:p>
        </w:tc>
      </w:tr>
      <w:tr>
        <w:trPr>
          <w:trHeight w:val="250"/>
        </w:trPr>
        <w:tc>
          <w:tcPr>
            <w:tcW w:w="8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80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6"/>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 as of</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 as of</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4,639,557 and 3,608,545 units authorized, 4,109,961 units and</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2,226,144 units issued and outstanding as of December 31, 2023 and 2022, respectively</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B-1 Preferred Units, no par value, 2,600,000 units authorized, 342,608 units issued and outstanding</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2022</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Units, no par value, 10,975,000 units authorized, 10,875,000 units issued and outstanding as of</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C Units, no par value, 1,585,125 units authorized, 1,570,125 units and 1,585,125 units issued and</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ectPr>
          <w:pgSz w:w="11900" w:h="16838" w:orient="portrait"/>
          <w:cols w:equalWidth="0" w:num="1">
            <w:col w:w="11240"/>
          </w:cols>
          <w:pgMar w:left="320" w:top="117" w:right="339"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Unitholders’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Unitholders' Deficit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27,979</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1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25,611</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(24,669)</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investments – due to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(8,116)</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Innventure LLC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(32,757)</w:t>
            </w:r>
          </w:p>
        </w:tc>
      </w:tr>
      <w:tr>
        <w:trPr>
          <w:trHeight w:val="250"/>
        </w:trPr>
        <w:tc>
          <w:tcPr>
            <w:tcW w:w="80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(26,588)</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per unit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 average Class A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Mezzanine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41,255</w:t>
            </w: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PCTA units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to Class I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1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Unitholders' Deficit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9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9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6,310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(4,584)</w:t>
            </w: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39"/>
        </w:trPr>
        <w:tc>
          <w:tcPr>
            <w:tcW w:w="24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Issuance of preferred units, net of</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14,493</w:t>
            </w:r>
          </w:p>
        </w:tc>
        <w:tc>
          <w:tcPr>
            <w:tcW w:w="0" w:type="dxa"/>
            <w:vAlign w:val="bottom"/>
          </w:tcPr>
          <w:p>
            <w:pPr>
              <w:spacing w:after="0"/>
              <w:rPr>
                <w:sz w:val="1"/>
                <w:szCs w:val="1"/>
                <w:color w:val="auto"/>
              </w:rPr>
            </w:pPr>
          </w:p>
        </w:tc>
      </w:tr>
      <w:tr>
        <w:trPr>
          <w:trHeight w:val="193"/>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costs</w:t>
            </w: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6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In-kind contribution of Class B-1</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Preferred Units</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Warrant modification and</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contribution from Innventure1 LLC</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7,134</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redemption value</w:t>
            </w: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20,803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(38,564)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656</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(11,193)</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 acquired</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146"/>
        </w:trPr>
        <w:tc>
          <w:tcPr>
            <w:tcW w:w="24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4"/>
                <w:szCs w:val="14"/>
                <w:color w:val="auto"/>
              </w:rPr>
              <w:t>Issuance of preferred units, net of</w:t>
            </w: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costs</w:t>
            </w: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to unitholders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39"/>
        </w:trPr>
        <w:tc>
          <w:tcPr>
            <w:tcW w:w="246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Accretion of redeemable units to</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0" w:type="dxa"/>
            <w:vAlign w:val="bottom"/>
          </w:tcPr>
          <w:p>
            <w:pPr>
              <w:spacing w:after="0"/>
              <w:rPr>
                <w:sz w:val="1"/>
                <w:szCs w:val="1"/>
                <w:color w:val="auto"/>
              </w:rPr>
            </w:pPr>
          </w:p>
        </w:tc>
      </w:tr>
      <w:tr>
        <w:trPr>
          <w:trHeight w:val="193"/>
        </w:trPr>
        <w:tc>
          <w:tcPr>
            <w:tcW w:w="2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redemption value</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38,122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844</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(64,284)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(18,486)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4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(30,984)</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Adjustments to reconcile net loss to net cash and cash equivalents used in operating 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Unit-based compensation</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embedded derivative liability</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payables due to related parties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interest expense on notes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 on investments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method investment loss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Write off acquired in-process R&amp;D</w:t>
            </w:r>
          </w:p>
        </w:tc>
        <w:tc>
          <w:tcPr>
            <w:tcW w:w="9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13,850</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196"/>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employee benefits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Accrued expenses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195"/>
        </w:trPr>
        <w:tc>
          <w:tcPr>
            <w:tcW w:w="80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current and other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(19,476)</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(9,950)</w:t>
            </w:r>
          </w:p>
        </w:tc>
      </w:tr>
      <w:tr>
        <w:trPr>
          <w:trHeight w:val="256"/>
        </w:trPr>
        <w:tc>
          <w:tcPr>
            <w:tcW w:w="80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(Used in) Provided by Investing Activities</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 of shares in equity method investee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Contributions to equity method investee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from equity method investee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Loans to equity method investee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Proceeds from sale of investments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1,483</w:t>
            </w:r>
          </w:p>
        </w:tc>
      </w:tr>
      <w:tr>
        <w:trPr>
          <w:trHeight w:val="256"/>
        </w:trPr>
        <w:tc>
          <w:tcPr>
            <w:tcW w:w="8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capital, net of issuance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12,891</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non-controlling interest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convertible promissory note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(payment of) related party notes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on notes payable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convertible promissory note due to related party</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95"/>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Receipt of capital from Class I Unitholder</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Class I Unitholder</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Distribution to Unitholders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19,174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11,672</w:t>
            </w:r>
          </w:p>
        </w:tc>
      </w:tr>
      <w:tr>
        <w:trPr>
          <w:trHeight w:val="256"/>
        </w:trPr>
        <w:tc>
          <w:tcPr>
            <w:tcW w:w="80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(4,969)</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3,205</w:t>
            </w:r>
          </w:p>
        </w:tc>
      </w:tr>
      <w:tr>
        <w:trPr>
          <w:trHeight w:val="19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7,544</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4,339</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1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Financing Information</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Accretion of redeemable units to redemption value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preferred units to extinguish convertible notes payable</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preferred B units to extinguish related party notes payable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Realized gain on investments distributed to Class PCTA Unitholders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13,359</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Transfer of obligation from derivative liability to due to related party after option executed</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In-kind contribution of PCT common stock in exchange for Class B-1 Preferred Units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discount and embedded derivative upon issuance</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Recognition of right of use asset and corresponding lease liability</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195"/>
        </w:trPr>
        <w:tc>
          <w:tcPr>
            <w:tcW w:w="8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 of investments to former warrant holders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1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Creation of liability to former warrant holders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17" w:right="33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LLC (together with its subsidiaries, the “Company” or “Innventure”) is an origination platform company with its headquarters in Orlando, Florida. Its principal operation is to partner with large multinational companies and acquire new intellectual property and patents through newly created entities where Innventure LLC supports the initial funding, sometimes through direct contributions, and manages the new independent company through its initial scaling with the goal of building disruptive companies that have the ability to significantly change the way businesses, industries, markets, and / or consumers operate.</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24, 2023, Learn CW Investment Corporation (“Learn CW”) entered into a Business Combination Agreement (the “Business Combination Agreement”), by and among Learn CW, Learn SPAC HoldCo, Inc., a Delaware corporation and direct, wholly owned subsidiary of Learn CW (“Holdco”), LCW Merger Sub, Inc., a Delaware corporation and direct, wholly owned subsidiary of Holdco (“LCW Merger Sub”), and Innventure Merger Sub, LLC, a Delaware limited liability company and direct, wholly owned subsidiary of Holdco (“Innventure Merger Sub”) and the Company.</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the parties thereto will enter into a business combination transaction (the “Business Combination” and, together with the other transactions contemplated thereby, the “Transactions”), pursuant to which, among other things, (i) LCW Merger Sub will merge with and into Learn CW (the “LCW Merger”), with Learn CW being the surviving company, and (ii) Innventure Merger Sub will merge with and into the Company (the “Innventure Merger” and together with the LCW Merger, the “Mergers”), with the Company being the surviving company. Following the Mergers, each of the Company and Learn CW will be a subsidiary of Holdco, and Holdco will become a publicly traded company. At the closing of the Transactions, Holdco is expected to change its name to Innventure, Inc, and its common stock, par value $0.0001, is expected to list on NYSE American.</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Combination is expected to be consummated after the required approval by the shareholders of Learn CW and the satisfaction of certain other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U.S. generally accepted accounting principles (“GAAP”) and include the accounts of the Company and its controlled subsidiaries. All intercompany transactions and balances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unitholders' deficit, or net income as previously reported. These reclassifications relate primarily to creation of new captions for balances that meet certain reporting thresholds in the current period and collapsing certain nonmaterial balances that no longer met reporting thresholds into summarized captions in the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cash balance of $2,575, accumulated deficit of $64,284 and a working capital deficit of $2,504. During the year ended December 31, 2023, the Company incurred a net loss of $30,984. Management believes the Company will continue to incur losses and negative cash flows from operating activities for the foreseeable future and will need additional capital or debt financing to sustain its operations until it can achieve long-term profitability and positive cash flows. The Company’s continuation as a going concern is dependent on its ability to generate sufficient cash flows from operations to meet its obligations, or obtaining additional financing from its unitholders or other sources, as may be required.</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order to maintain its current level of operations, the Company will require additional working capital from either cash flows from operations or from the sale of its capital or issuance of debt. The Company intends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20"/>
          </w:cols>
          <w:pgMar w:left="320" w:top="117" w:right="35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 financing in the future to proceed with its business plans. With approval of the Class PCTA Unitholders, the Company has the ability to sell shares of common stock of PureCycle Technologies, Inc. ("PCT"), an unrelated third-party, held by the Company, once certain lock-up periods have expired (see Note 3. Investments). As of December 31, 2023, the Company holds less than 2% of the outstanding shares of common stock of PCT. However, the future value of investments held is unpredictable and subject to market events outside of the Company’s control. If the Company is unable to acquire additional working capital, it will be required to significantly reduce its current level of operations. Furthermore, the Company’s technology segment has not yet begun commercial operations so does not yet have any sources of revenue.</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actually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Unites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Non-controlling interest (“NCI”) on the consolidated balance sheets represents the portion of consolidated subsidiaries that are not owned by the Company after consideration of contractual agreements that govern allocations of income or loss. The Company reports NCI in unitholders' deficit, separate from the parent’s deficit, on the consolidated balance sheets. In addition, the Company reports net loss attributable to NCI separately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materially from those estimates. Significant items subject to such estimates and assumptions include the valuation of the Company’s capital units, the valuation of the Company’s investments that do not yet have readily available market quotations, the valuation of warrants, and valuation of derivatives within the Company’s financial instruments.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Accounting Standards Codification ("ASC") 820, Fair Value Measurement establishes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 These levels are:</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unadjusted quoted prices for identical assets or liabilities in an active market that the Company has the ability to access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17" w:right="339" w:bottom="1440" w:gutter="0" w:footer="0" w:header="0"/>
        </w:sectPr>
      </w:pPr>
    </w:p>
    <w:bookmarkStart w:id="187" w:name="page188"/>
    <w:bookmarkEnd w:id="18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observable inputs other than Level 1 prices, such as quoted prices for similar assets or liabilities; quoted prices in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 at the measurement date for substantially the full term of the assets or liabilities.</w:t>
      </w:r>
    </w:p>
    <w:p>
      <w:pPr>
        <w:spacing w:after="0" w:line="117"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Level 3 </w:t>
      </w:r>
      <w:r>
        <w:rPr>
          <w:rFonts w:ascii="Times New Roman" w:cs="Times New Roman" w:eastAsia="Times New Roman" w:hAnsi="Times New Roman"/>
          <w:sz w:val="17"/>
          <w:szCs w:val="17"/>
          <w:color w:val="auto"/>
        </w:rPr>
        <w:t>– Valuations based on unobservable inputs that reflect management’s best estimate of what market participants would use in pricing the asset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at the measurement date. Consideration is given to the risk inherent in the valuation technique and the risk inherent in the inputs to the model.</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in “Note 4. Fair Value” may include changes in fair value that are attributable to both observable inputs (Levels 1 and 2) and unobservable inputs (Level 3).</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making a good faith determination of the fair value of its investments, the Company considers valuation methodologies consistent with industry practice. Valuation methods utilized may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method investments are investments where the Company does not consolidate the investee, but can exert significant influence over the financial and operating policies of the investee.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13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Exchange-traded equity investments are generally carried at fair value on the consolidated balance sheets with changes in the fair value recorded through net income (“FVTNI”) within non-operating income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and Voting Interest Entities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performs an analysis of its investments to determine if they are either a Variable Interest Entity (“VIE”) or a Voting Interest Entity (“VOE”). Factors considered in this analysis include the entity’s legal organization, the entity’s capital structure, the rights of equity investment holders and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VOEs are typically consolidated if the Company holds the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17" w:right="35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voting interest. If the Company is not deemed to be the primary beneficiary in a VIE, the Company accounts for the investment or other variable interests in a VIE in accordance with GAAP.</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(such as changes in the investment or the governance structure) management reviews and reconsiders its previous conclusion regarding the status of an entity as a VIE or a VOE. Additionally, management continually reconsiders whether the Company is deemed to be a VIE’s PB that consolidates such an entity.</w:t>
      </w:r>
    </w:p>
    <w:p>
      <w:pPr>
        <w:spacing w:after="0" w:line="12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Certain investments for which a controlling financial interest is achieved through arrangements that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 or are not directly linked to voting interests are deemed consolidated VIEs. The Company reviews factors, including whether or not (1) the entity has equity at risk that is sufficient to permit the entity to finance its activities without additional subordinated support from other parties and (2) the equity holders at risk have the obligation to absorb losses, the right to receive residual returns, and the right to direct the activities of the entity that most significantly impact the entity’s economic performance, to determine if the investment product is a VIE. The PB of a VIE is defined as the variable interest holder that has a controlling financial interest in the VIE. A controlling financial interest is defined as (1) the power to direct the activities of the VIE that most significantly impact its economic performance and (2) the obligation to absorb losses of the entity or the right to receive benefits from the entity that potentially could be significant to the VIE.</w:t>
      </w:r>
    </w:p>
    <w:p>
      <w:pPr>
        <w:spacing w:after="0" w:line="13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of Voting Interest Entities</w:t>
      </w:r>
      <w:r>
        <w:rPr>
          <w:rFonts w:ascii="Times New Roman" w:cs="Times New Roman" w:eastAsia="Times New Roman" w:hAnsi="Times New Roman"/>
          <w:sz w:val="18"/>
          <w:szCs w:val="18"/>
          <w:color w:val="auto"/>
        </w:rPr>
        <w:t>. The Company is required to consolidate an investee to the extent that Innventure can exert control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and operating policies of the investee, which generally exists if there is a greater than 50% voting equity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Impairment evaluation considers qualitative factors, including the financial conditions and specific events related to an investee, that may indicate the fair value of the investment is less than its carrying value.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2023 and 2022, the Company had restricted cash related to the capital raise of $100 and $0, respectively.</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the Company maintains certain compensating balances that may be withdrawn, but the availability of short-term lines of credit is dependent upon the maintenance of such compensating balances. As of December 31, 2023 and 2022, the Company had compensating balances of $300 and $0,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records property, plant and equipment at cost less accumulated depreciation. The Company depreciates the cost of property, plant and equipment using the straight-line method with depreciable lives of 10 years for Machinery &amp; equipment, 3 years for Computers &amp; office equipment, and lesser of useful life or lease terms for Leasehold improvements. The Company expenses normal maintenance and repair costs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17" w:right="33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assesses its property, plant and equipment and other long lived assets for impairment whenever events or changes in circumstances indicate the carrying amount of an asset may not be recoverable in accordance with ASC 360, "Property, Plant and Equipment." Recoverability of assets to be held and used is measured by comparing the carrying amount of an asset to the future undiscounted net cash flows expected to be generated by the asset.</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event such an asset is considered impaired, the impairment to be recognized is measured by the amount by which the carrying value of the asset exceeds the estimated fair value of the asset. Assets to be disposed of are reported at the lower of the carrying value of estimated fair value less estimated costs to sell.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from Related Parties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Due from related parties includes amounts receivable from the Company’s equity method investees. Refer to Note 13. Related Party Transactions for further disclosure of transactions with related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Convertible Promissory Note Due to Related Party and Convertible Promissory Note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debt is carried on the consolidated balance sheets on a historical cost basis net of unamortized discounts and premiums. Costs associated with acquiring debt are presented netted against the principal balance as a debt discount. The debt discount is presented in the consolidated balance sheets as a direct deduction from the carrying amount of the debt liability. Discounts on debts are amortized over the contractual life of the related debt instrument using the effective interest method and are included in interest expense in the consolidated statements of operations.</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reviews the terms of all notes issued to determine whether there are features, including redemption and conversion features, which are required to be bifurcated and accounted for separately as derivative financial instruments. Embedded derivatives are separated from the host contract and carried at fair value when the embedded derivative possesses economic characteristics that are not clearly and closely related to the economic characteristics of the host contract and a separate, standalone instrument with the same terms would qualify as a derivative instrument. The derivative is measured both initially and in subsequent periods at fair value, with changes in fair value recognized in the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Units and Warrants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Capital units may be classified as a liability, temporary capital (i.e., mezzanine capital) or permanent unitholders' capital. In order to determine the appropriate classification, an evaluation of the cash redemption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unitholders' capital.</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Warrants to acquire units may be classified as a liability or permanent capital. In order to determine the appropriate classification consideration is given as to whether the warrants are indexed to the Company’s own common units and whether the warrant holders could potentially require net cash settlement in a circumstance outside of the Company’s control, among other conditions. The assessment, which requires the use of judgement, is conducted at the time of warrant issuance and as of each reconsideration and balance sheet date while the warrants are outstanding.</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unitholders' capital classification, the warrants are recorded as a component of additional paid-in capital at the time of issuance. For issued or modified warrants that do not meet all of the criteria for unitholders' capital classification, the warrants are recorded as a liability at their initial fair value on the date of issuance and remeasured at fair value as of each reconsideration and balance sheet date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117" w:right="35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earns management fees, consulting revenue and carried interest allocations from investment advisory services it provides to its customers. Revenue is recognized when control of the promised services is transferred to customers in an amount that reflects the consideration the Company expects to receive in exchange for those services.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Investment advisory services are entered into for the purpose of generating investment returns in exchange for carried interest allocations. Administrative services include the necessary overhead incurred by the Company in order to manage capital balances and are provided in exchange for a management fee. Carried interest allocations are recognized at a point in time, while management fees are recognized over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Management fees are generally 1-2% of capital committed to Innventus ESG Fund I, L.P. (the “Fund") for which the Company serves as an advisor. Management fees are recognized over the period during which the related services are performed. The administrative services are comprised of distinct service periods (quarters) because the services are performed over time each quarter.</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Management fees are generally calculated and paid to the Company on a quarterly basis in advance, based on the amount of capital commitments at the beginning of the quarter. Changes in the Company’s management fee revenues from quarter to quarter are driven by changes in the quarterly opening balances of capital commitments.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considers management fees to be a form of variable consideration, as the amount earned each quarter may depend on various contingencies, such as changes in committed or invested capital. Management fees, however, are generally fully recognized at the end of each reporting period and are not subject to clawback and, therefore, the value of the management fees the Company is entitled to receive at the end of each quarter is generally no longer subject to the constraint.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Carried Interest</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Carried interest allocations include the allocation of performance-based fees, commonly referred to as carried interest, to the Company from unaffiliated limited partners invested in the Fund. The Company is entitled to a carried interest allocation (typically 10% to 20%) based on cumulative fund or account performance to date, irrespective of whether such amounts have been realized. These carried interest allocations are subject to the achievement of minimum return levels (typically 8%). Carried interest is allocated based on cumulative returns, and is therefore reversible until gains are realized that exceed the return threshold. Accordingly, the Company considers the variable consideration related to carried interest to be constrained. Carried interest allocations are treated as service fees paid to the Company and the Company recognizes amounts when significant reversal is no longer probable.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revenue</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Consulting services include investigative analysis, due diligence and opportunity assessment for third party customers. Consulting revenue is recognized as the services are provided to the customer as the Company completes its relevant analysis or deliverables for the customer.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Unit</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Basic loss per unit is calculated by dividing net income attributable to common unit holders by the weighted-average number of units outstanding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unit-based compensation consists of profit interest units issued to certain employees and nonemployees of the Company. The Company recognizes expense for services received in exchange for unit-based compensation based on the grant date fair value of the awards. The Company recognizes non-cash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17" w:right="33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expense attributable to these grants on a straight-line basis over the requisite service period, which is generally the vesting period. Expense related to grants of unit-based awards is included in the respective expense category in which the employee serves in the consolidated statements of operations. The Company recognizes forfeitures as they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qualifies as a partnership for federal income tax purposes. Consequently, federal income taxes are not payable or provided by the Company. Members are taxed individually on their pro rata ownership share of the Company’s earnings. The Company’s net income or loss is allocated to the members in accordance with the Company’s operating agreement. The Company has no material unrecognized income tax benefits or uncertain tax positions.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on the consolidated statements of operations in the period that includes the enactment date.</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additional income tax expense. Further, the Company records its income taxes receivable and payable based upon its estimated income tax position.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Credit Losses on Financial Instruments </w:t>
      </w:r>
      <w:r>
        <w:rPr>
          <w:rFonts w:ascii="Times New Roman" w:cs="Times New Roman" w:eastAsia="Times New Roman" w:hAnsi="Times New Roman"/>
          <w:sz w:val="18"/>
          <w:szCs w:val="18"/>
          <w:color w:val="auto"/>
        </w:rPr>
        <w:t>("ASU 2016-13"). ASU 2016-13 replaced the incurred loss impairment methodology under current GAAP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methodology that reflects expected credit losses and requires consideration of a broader range of reasonable and supportable information to inform credit loss estimates. ASU 2016-13 requires use of a forward-looking expected credit loss model for accounts receivables, loans, and other financial instruments. ASU 2016-13 was originally effective for fiscal years beginning after December 15, 2019, with early adoption permitted. In October 2019, the FASB issued ASU No. 2019-10 , </w:t>
      </w:r>
      <w:r>
        <w:rPr>
          <w:rFonts w:ascii="Times New Roman" w:cs="Times New Roman" w:eastAsia="Times New Roman" w:hAnsi="Times New Roman"/>
          <w:sz w:val="18"/>
          <w:szCs w:val="18"/>
          <w:i w:val="1"/>
          <w:iCs w:val="1"/>
          <w:color w:val="auto"/>
        </w:rPr>
        <w:t>Financial Instruments-Credit Losses (Topic 326): Effective Dates</w:t>
      </w:r>
      <w:r>
        <w:rPr>
          <w:rFonts w:ascii="Times New Roman" w:cs="Times New Roman" w:eastAsia="Times New Roman" w:hAnsi="Times New Roman"/>
          <w:sz w:val="18"/>
          <w:szCs w:val="18"/>
          <w:color w:val="auto"/>
        </w:rPr>
        <w:t>, to finalize the effective date delays for private companies, not-for-profits, and smaller reporting companies applying the current expected credit losses (“CECL”) standards. ASU 2016-13 is now effective for reporting periods beginning after December 15, 2022 and interim periods within those fiscal years. Early adoption is permitted. The Company adopted ASU 2016-13 on January 1, 2023 and the adoption did not have a material impact on the Company’s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ASU 2022-03 clarifies that contractual sale restrictions should not be considered in measuring the fair value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ASU 2022-03 is effective for fiscal years beginning after December 15, 2023, including interim periods therein, with early adoption permitted. The Company is currently assessing the impact of ASU 2022-03 on its consolidated financial statements.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standard modifies the disclosure or presentation requirements of a variety of topics and aligns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SEC’s existing disclosure requirements. ASU 2023-06 is effective on the date each amendment is removed from Regulation S-X or Regulation S-K with early adoption prohibited. The Company will monitor the removal of various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1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its segment disclosures in Note 15. Business Segment Data.</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ASU 2023-09 will have on its consolidated financial statements and notes thereto.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include its investment in the Fund, for which it serves as general partner, and AeroFlexx, LLC ("AeroFlexx"), neither of which is consolidated, but over which the Company exerts significant influence.</w:t>
      </w:r>
    </w:p>
    <w:p>
      <w:pPr>
        <w:spacing w:after="0" w:line="1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equity-method investment in the Fund reflects the Company’s general partner interest in the Fund, which represents approximately 5% of the Fund’s total capital commitments. The general partner interest is not consolidated because the Fund is not considered a variable interest entity and the Company does not hold a controlling financial interest in the Fund under the VOE model. The Fund is an investment company that follows a specialized basis of accounting established by GAAP. The Company’s general partnership interest in the Fund is substantially illiquid. While the Fund’s holdings are accounted for at fair value, the equity-method investment in the Fund is adjusted to reflect the fair value of the underlying investments of the Fund as of December 31, 2023 and 2022. The fair value of the underlying investments in the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held a 31% and 30% equity-method investment interest in AeroFlexx as of December 31, 2023 and 2022, respectively. The Company recorded its investment in AeroFlexx at $1,570 and zero as of December 31, 2023 and 2022, respectively. The balance as of December 31, 2023 is derived from the Company's $2,000 investment in AeroFlexx Class D units in May of 2023, less equity method losses recorded against the carrying amount of the investment of $430 for the year ended December 31, 2023. The December 31, 2022 balance was zero due to the fact that the Company's share of cumulative losses were in excess of the Company’s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17"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determined that AeroFlexx has insufficient equity at risk to fund its operations, as of December 31, 2023, and therefore will meet the characteristic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these investments in AeroFlexx under the equity method as shown below.</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during the fourth quarter of 2023, Innventure made five separate working capital advances to AeroFlexx for a total of $2,600 which is presented within the "Due from related parties" caption on the consolidated balance sheets.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amounts and maximum exposure to loss relating to the VIE in which the Company holds a significant variable interest but is not the primary beneficiary and which have not been consolidated,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AeroFlexx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related party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of the Fund in which the Company holds an equity method investment is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60,062</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Partner's capital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59,878</w:t>
            </w:r>
          </w:p>
        </w:tc>
      </w:tr>
      <w:tr>
        <w:trPr>
          <w:trHeight w:val="459"/>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62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24"/>
                <w:szCs w:val="24"/>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loss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of AeroFlexx in which the Company holds an equity method investment is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47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6"/>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50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Exchange-traded investments</w:t>
      </w:r>
    </w:p>
    <w:p>
      <w:pPr>
        <w:spacing w:after="0" w:line="17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previously invested in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The remaining shares of PCT's common stock held by the Company are subject to a final lock-up period which expires based upon the achievement of certain operational metrics, as certified by certain third-parties, of PCT’s Ironton, Ohio plant.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172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8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7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1"/>
                <w:szCs w:val="11"/>
                <w:color w:val="auto"/>
              </w:rPr>
            </w:pPr>
          </w:p>
        </w:tc>
        <w:tc>
          <w:tcPr>
            <w:tcW w:w="1720" w:type="dxa"/>
            <w:vAlign w:val="bottom"/>
            <w:gridSpan w:val="3"/>
          </w:tcPr>
          <w:p>
            <w:pPr>
              <w:jc w:val="center"/>
              <w:ind w:right="50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80" w:type="dxa"/>
            <w:vAlign w:val="bottom"/>
            <w:gridSpan w:val="3"/>
          </w:tcPr>
          <w:p>
            <w:pPr>
              <w:jc w:val="center"/>
              <w:ind w:right="6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20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240"/>
          </w:cols>
          <w:pgMar w:left="320" w:top="117"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3"/>
                <w:szCs w:val="13"/>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9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620" w:type="dxa"/>
            <w:vAlign w:val="bottom"/>
            <w:gridSpan w:val="3"/>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9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20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7"/>
                <w:szCs w:val="17"/>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and further described in Note 5. Borrowings) are stated at fair value. Fair value is determined utilizing a discounted cash flows method, using unobservable market data inputs, and an option pricing model based on management’s probability weighted expected outcome with respect to a financing or a change of control. A summary of the significant unobservable inputs utilized to estimate the fair value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0"/>
        </w:trPr>
        <w:tc>
          <w:tcPr>
            <w:tcW w:w="77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c>
          <w:tcPr>
            <w:tcW w:w="10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liabilities that are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0" w:type="dxa"/>
            <w:vAlign w:val="bottom"/>
          </w:tcPr>
          <w:p>
            <w:pPr>
              <w:spacing w:after="0"/>
              <w:rPr>
                <w:sz w:val="13"/>
                <w:szCs w:val="13"/>
                <w:color w:val="auto"/>
              </w:rPr>
            </w:pPr>
          </w:p>
        </w:tc>
        <w:tc>
          <w:tcPr>
            <w:tcW w:w="14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240"/>
          </w:cols>
          <w:pgMar w:left="320" w:top="1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change in fair value included in earnings for the years ended December 31, 2023 and 2022 were $(766) and $107, respectively.</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fair value of the Company's convertible promissory note as of December 31, 2023 and 2022 was $4,501 and $2,647.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 9% or 12% interest, maturity ranging from 36 – 48 months from issuance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Innventure1 LLC related party note</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note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notes, 8% interest, mature 36 months from issuance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loans</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accrued interest of $634 and $119 in convertible promissory notes as of December 31,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note payable and notes payable to related parties mature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first noteholders to participate in the Series 1 debt financing, up to one million in principal, also received a 5% repayment bonus, which has been reflected as an original issuance discount (“OID”) on the principal amount issued as recognition of early participation in the funding round.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notes, each noteholder received a warrant with a value derived formulaically based on 10% of the principal amount of each loan. Additionally, the Company incurred fees payable to the lenders and third-parties, including a selling agent. These amounts, along with any OID, are recorded as a discount on the notes and amortized using the effective interest method over the estimated contractual period of the notes, which the Company concluded was three years.</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notes contain two term extension options, at the Company’s election, which can extend the notes’ maturity period to 60 months in total. If the Company elects its first term extension option, the note will bear interest at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17" w:right="339" w:bottom="1440" w:gutter="0" w:footer="0" w:header="0"/>
        </w:sectPr>
      </w:pPr>
    </w:p>
    <w:bookmarkStart w:id="197" w:name="page198"/>
    <w:bookmarkEnd w:id="1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months 36 through 48. If the Company elects its second term extension option, the notes will bear interest at 15% for months 48 through 60.</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event of a change of control or a portfolio company sale, the notes are required to be repaid. In the event of a default, noteholders may elect to convert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it increases to 18% thereafter.</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2023 and 2022, noteholders with principal amounts totaling $1,310 converted their Series 1 promissory notes into an aggregate of 135,133 Class B Preferred Units and noteholders with principal amounts totaling $1,602 converted their Series 1 promissory notes into an aggregate of 165,089 Class B Preferred Units, respectively, each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during 2023, Series 1 notes with aggregate outstanding principal amounts of $829 became eligible for extension and the Company elected to extend such notes for an incremental 12-month period. In connection with the contractual extension, the interest rate on the notes reset to 12%. In addition, during 2023, outstanding Series 1 notes with aggregate outstanding principal amounts of $890 became eligible for a second extension and the Company elected to extend them for an incremental 12-month period. In connection with the contractual extension, the interest rate on these notes reset to 15%. For the year ended December 31, 2022, Series 1 notes with outstanding aggregate principal amounts of $966 became eligible for extension and the Company elected to extend them for an incremental 12-month period. In connection with the contractual extension, interest rates on the notes reset to 12%.</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interest expense on the Series 1 notes was approximately $329 and $485, respectively, and is included in interest expense on the consolidated statements of operations. The interest expense on Series 1 notes includes the amortization of issuance costs of approximately $32 and $121, for the years ended December 31,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Innventure1 LLC Related Party Note</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extinguished a related party note (the “Innventure1 LLC Related Party Note”) with Innventure1 LLC ("Innventure1"), the original contributing unitholder and equity investor of the Company, and converted this note in the amount of $504 into 52,010 Class B Preferred Units based on the Class B Preferred Unit issuance price of $9.6992 per unit. The nature of this indebtedness is primarily expenses paid on the Company’s behalf and settlement was agreed upon by the management of the two related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w:t>
      </w:r>
    </w:p>
    <w:p>
      <w:pPr>
        <w:spacing w:after="0" w:line="17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The Company issued a note payable to a related party in the amount of $1,000 during the year ended December 31, 2023, which is included in notes payable to related parties in the consolidated balance sheets as of December 31, 2023. The nature of this indebtedness is primarily for working capital purposes and settlement is to be agreed upon by the two related parties. The related party note has no stated interest and no stated maturity date.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2022, the Company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00"/>
          </w:cols>
          <w:pgMar w:left="320" w:top="117" w:right="37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maturity, note holders can choose to convert their 2025 Notes into Class A Units issued by a subsidiary of the Company at the lesser of (a) a 20 percent discount from the fair value as determined by the board or (b) $200 million divided by the aggregate number of then-outstanding units. If the Company experiences a change in control, the 2025 Notes must be redeemed for the greater of (a) 1.5 times the principal and accrued interest or (b) amount payable on the number of units equal to principal and interest divided by $200 million divided by the number of fully diluted outstanding units.</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2025 Notes include embedded derivative features related to the share-settled and cash redemption features. The separation of embedded derivatives at issuances results in a discount on debt which is amortized to interest expense over the contractual maturity of the debt. The effective interest rate including the amortization of the discounts related to the conversion feature is 27%.</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August 18, 2022, the Company issued $4,000 worth of 2025 Notes to the Fund, a related party. At inception, a derivative liability of $1,576 was recorded. On June 7 and July 3, 2023, the Company issued $2,000 worth of 2025 Notes to third parties and at inception, a derivative liability of $1,119 was recorded.</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2023 and 2022, the company recognized $456 and $105 in interest expense associated with the 2025 Note discounts. The contractual interest expense for the years ended 2023 and 2022, respectively, were $583 and $119. As of December 31, 2023 and 2022, the unamortized discount was $2,133 and $1,472,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2 Promissory Notes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2020, the Company authorized the issuance and sale of unsecured promissory notes to investors up to $5,000. From 2020 to 2021, the Company issued promissory notes with a total principal amount of $3,680. The notes require monthly interest payments, have a maturity period of 12 months, and bear interest at 15% per annum. The Company incurred fees payable to the lenders and third-parties, including a selling agent. These amounts are recorded as a discount on the notes and amortized using the effective interest method over the estimated contractual period of the notes, 12-months.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of a default, noteholders may elect to convert into Class K units of the Company, equal to two times the unpaid principal balance plus accrued unpaid interest at the time of conversion at a pre-money valuation agreed to by a majority of the converting noteholders. If the Company is in default due to lack of payment and the noteholders do not elect repayment, the notes will accrue interest at the default interest rate of 18%.</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2022, the Company prepaid all Series 2 promissory notes, totaling $3,680, and its obligation to issue the Class K units extinguished with the repayment. No prepayment penalty was incurred in connection with the repayment. For the year ended December 31, 2022, interest expense on the Series 2 notes was approximately $197, including the amortization of issuance costs of approximately $14. Interest expense on the Series 2 notes is included in interest expense on the consolidated statements of operations. No Class K units were authorized or outstanding as of December 31, 2023 and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Notes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November 2019, the Company issued $700 in promissory notes. The Innventure notes bear interest at 6%, have a 24-month maturity period, and principal and interest are due at maturity.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repaid the remaining principal balance of $225 and there were no Innventure notes outstanding as of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Innventure notes for the year ended December 31, 2022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20"/>
          </w:cols>
          <w:pgMar w:left="320" w:top="117" w:right="35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Mezzanine Capital</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Mezzanine capital consisted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80" w:type="dxa"/>
            <w:vAlign w:val="bottom"/>
          </w:tcPr>
          <w:p>
            <w:pPr>
              <w:spacing w:after="0"/>
              <w:rPr>
                <w:sz w:val="11"/>
                <w:szCs w:val="11"/>
                <w:color w:val="auto"/>
              </w:rPr>
            </w:pPr>
          </w:p>
        </w:tc>
        <w:tc>
          <w:tcPr>
            <w:tcW w:w="1380" w:type="dxa"/>
            <w:vAlign w:val="bottom"/>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PCTA Units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Units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444"/>
        </w:trPr>
        <w:tc>
          <w:tcPr>
            <w:tcW w:w="8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80" w:type="dxa"/>
            <w:vAlign w:val="bottom"/>
          </w:tcPr>
          <w:p>
            <w:pPr>
              <w:spacing w:after="0"/>
              <w:rPr>
                <w:sz w:val="11"/>
                <w:szCs w:val="11"/>
                <w:color w:val="auto"/>
              </w:rPr>
            </w:pPr>
          </w:p>
        </w:tc>
        <w:tc>
          <w:tcPr>
            <w:tcW w:w="138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PCTA Units</w:t>
            </w: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3,982,675</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I Units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redemption of Class PCTA Units or Class I Units is not solely in control of the Company and, as such, both classes of units are considered redeemable at the option of the holder. These units are probable of becoming redeemable and as such are accreted to redemption value at each reporting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Class PCTA Units carry the right to hold, vote and dispose of the Company’s investment in the related shares of PCT common stock. All Class PCTA Units are held by Innventure1. Class I Units carry the right to hold, vote and dispose of the Company’s partnership interest in the Fund with respect to its General Partner (“GP”) affiliated commitment. The holders of units of any other class are not permitted to vote on matters specific to the Class PCTA or Class I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Class PCTA and Class I Unit holders are based on their ownership percentage of the respective class.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Class PCTA Units are allocated all distributions and proceeds from all shares of PCT held by the Company that are not contributed in exchange for Class B-1 Preferred Units (as described below) or part of the purchase option agreement (as described in Note 13. Related Party Transactions). Class I Units are allocated all distributions and proceeds from the GP's direct interest in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17"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500,000 Class PCTA Units, Innventure1 will acquire Class B-1 Preferred Units in an amount equal to either 500,000 Class PCTA Units or the number of Class PCTA units calculated by multiplying 1,000 by a fraction, where the numerator is the aggregate purchase price for all Class B Preferred Units then purchased under the Class B Preferred Purchase Agreement and the denominator is $25,000. Refer to details below for such occurrence in 2022. With respect to up to 1,000,000 PCTA Units, Innventure1 is obligated to acquire Class B-1 Preferred Units after the achievement of certain operational milestones at PCT.</w:t>
      </w:r>
    </w:p>
    <w:p>
      <w:pPr>
        <w:spacing w:after="0" w:line="1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amended its limited liability company agreement on April 27, 2022 with respect to Innventure1's obligation to exchange after-tax net proceeds from the sale of PCT's common stock for Company B-1 Preferred Units. The amendment clarified that the price for PCT common stock's value would be the weighted average per share closing price multiplied by 0.8. There was no impact on the number of Class PCTA Units outstanding. In 2022, Innventure1 exchanged 500,000 shares of PCT's common stock for 342,608 Company Class B-1 Preferred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r>
        <w:trPr>
          <w:trHeight w:val="458"/>
        </w:trPr>
        <w:tc>
          <w:tcPr>
            <w:tcW w:w="8020" w:type="dxa"/>
            <w:vAlign w:val="bottom"/>
          </w:tcPr>
          <w:p>
            <w:pPr>
              <w:spacing w:after="0"/>
              <w:rPr>
                <w:sz w:val="24"/>
                <w:szCs w:val="24"/>
                <w:color w:val="auto"/>
              </w:rPr>
            </w:pP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020" w:type="dxa"/>
            <w:vAlign w:val="bottom"/>
          </w:tcPr>
          <w:p>
            <w:pPr>
              <w:spacing w:after="0"/>
              <w:rPr>
                <w:sz w:val="11"/>
                <w:szCs w:val="11"/>
                <w:color w:val="auto"/>
              </w:rPr>
            </w:pPr>
          </w:p>
        </w:tc>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3,608,545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2,226,144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Class A Units, Class B Preferred Units and Class B-1 Preferred Units are entitled to one vote per unit on all matters concerning the Company excluding Class PCTA and Class I businesses. Class C Units are nonvoting.</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units of any other class, by virtue of their ownership of units of a different class, are not entitled to vote on any matters required or permitted to be voted on by the unitholders of any other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17"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Class B Preferred and Class B-1 Preferred Unitholders are entitled to distributions at a rate of six percent per year per unit of unreturned capital of preferred units. Class B Preferred Unitholders have accumulated $2,555 and $884 in unreturned preferred returns as of December 31, 2023 and 2022, respectively. Class B-1 Preferred Unitholders have accumulated $210 and $8 in unreturned preferred returns as of December 31, 2023 and 2022,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case of liquidation, or other deemed distributions, distributions will be made first to holders of Class B Preferred Units and then to holders of Class B-1 Preferred Units such that the unreturned capital balance and unpaid return has been reduced to zero, then to all members of Class A Units, Class B Preferred Units, Class B-1 Preferred Units and Class C in proportion to their respective Company ownership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Class A, Class B Preferred, Class B-1 Preferred and Class C shall participate in the Company’s business and all assets not held within Class PCTA or Class 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continues to raise additional capital through its Class B Preferred Unit capital raise. The Company received $16,961 and $13,480 in new cash funds before issuance costs during the year ended December 31, 2023 and 2022, respectively, and issued 1,748,684 and 1,389,800 new Class B Preferred Units, respectively, at the issuance price of $9.6992 per unit. Additionally, the Company made distributions to unitholders of $241 related to tax advances in 2023 and none in 2022.</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2023 and 2022, noteholders with principal amounts totaling $1,310 converted their Series 1 promissory notes into an aggregate of 135,133 Class B Preferred Units and noteholders with principal amounts totaling $1,602 converted their Series 1 promissory notes into an aggregate of 165,089 Class B Preferred Units, respectively, based on the Class B Preferred Unit issuance price of $9.6992 per unit.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 Preferred Units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B-1 Preferred</w:t>
            </w:r>
          </w:p>
        </w:tc>
        <w:tc>
          <w:tcPr>
            <w:tcW w:w="1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Class A Units</w:t>
            </w:r>
          </w:p>
        </w:tc>
        <w:tc>
          <w:tcPr>
            <w:tcW w:w="15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Class C Units</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671,254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453,125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issuance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1,132,000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2,226,144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342,608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1,585,125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issuance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1,748,684</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forfeited</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 conversions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4,109,961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342,608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1,570,125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Incentive Plan</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capital incentive plan (the “Capital Incentive Plan”), as amended, permits the grant of 1,585,125 shares of Class C Units to its employees, directors, and consultants, as designated by the Board of Directors. Class C Units of the Company are considered profit interests issued in exchange for services.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fair value of unit-based compensation issued to employees is recognized as compensation expense over the period of service that generally coincides with the vesting period of the award. The awards are time-based and vest over the period defined in each individual grant agreement or upon a change of control event as defined in the grant agreement. The Company has the option to repurchase all vested shares upon an individual’s termination of employment or service with the Company. The Company recognized compensation costs related to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17"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Incentive Plan of $205 and $444 for the years ended December 31, 2023 and 2022, respectively. As of December 31, 2023, the Company has $377 in unit-based compensation expense remaining to be recognized over approximately 2.1 years. Upon consummation of the Transactions, all of the unvested Class C Units will vest immediately.</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units granted in 2023. The grant date fair value of units issued during 2022 was estimated using the Black-Scholes option-pricing model using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tcPr>
          <w:p>
            <w:pPr>
              <w:spacing w:after="0"/>
              <w:rPr>
                <w:sz w:val="16"/>
                <w:szCs w:val="16"/>
                <w:color w:val="auto"/>
              </w:rPr>
            </w:pPr>
          </w:p>
        </w:tc>
        <w:tc>
          <w:tcPr>
            <w:tcW w:w="18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- 52.7%</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- 3.11%</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expected term of the units granted is determined based on the period of time the units are expected to be outstanding. The risk-free rate is based on the U.S. Treasury yield curve in effect at the time of grant. The expected volatility was based on the Company’s capital structure and volatility of similar entities referred to as guideline companies. In determining similar entities, the Company considered industry, stage of life cycle, size and financial leverage. The dividend yield on the Company’s units is assumed to be zero since the Company has not historically paid dividends. The fair value of the underlying Company units was determined using the back solve method.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Class C Unit activity for the years ended December 31, 2023 and 2022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 Class C</w:t>
            </w:r>
          </w:p>
        </w:tc>
        <w:tc>
          <w:tcPr>
            <w:tcW w:w="100" w:type="dxa"/>
            <w:vAlign w:val="bottom"/>
          </w:tcPr>
          <w:p>
            <w:pPr>
              <w:spacing w:after="0"/>
              <w:rPr>
                <w:sz w:val="13"/>
                <w:szCs w:val="13"/>
                <w:color w:val="auto"/>
              </w:rPr>
            </w:pP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68"/>
        </w:trPr>
        <w:tc>
          <w:tcPr>
            <w:tcW w:w="636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15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15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70"/>
        </w:trPr>
        <w:tc>
          <w:tcPr>
            <w:tcW w:w="6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560" w:type="dxa"/>
            <w:vAlign w:val="bottom"/>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928,562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00" w:type="dxa"/>
            <w:vAlign w:val="bottom"/>
          </w:tcPr>
          <w:p>
            <w:pPr>
              <w:spacing w:after="0"/>
              <w:rPr>
                <w:sz w:val="19"/>
                <w:szCs w:val="19"/>
                <w:color w:val="auto"/>
              </w:rPr>
            </w:pPr>
          </w:p>
        </w:tc>
        <w:tc>
          <w:tcPr>
            <w:tcW w:w="1560" w:type="dxa"/>
            <w:vAlign w:val="bottom"/>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ind w:left="11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317,701</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115"/>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Accelsius, a controlled subsidiary of the Company, adopted an equity incentive plan on March 24, 2022 (the “Subsidiary Equity Plan”). In March 2023, the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as defined in the grant agreement. The Company’s subsidiary has the option to repurchase all vested units upon an employee’s termination of employment or service.</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$705 and $371 for the years ended December 31, 2023 and 2022, respectively, which is recorded within the general and administrative, sales and marketing and research and development lines in the consolidated statements of operations. As of December 31, 2023, the Company had $1,909 in unit-based compensation expense remaining to be recognized over approximately 2.3 years.</w:t>
      </w:r>
    </w:p>
    <w:p>
      <w:pPr>
        <w:spacing w:after="0" w:line="12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grant date fair value was estimated using an option pricing model based on the most recent round of financing. The cost approach methodology amounts were then discounted for lack of marketability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17"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Revenues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Fund, a related party. The Company earns revenue from the management fees generated by the Fund it manages. Management fee revenue is affected by economic factors related to the asset class composition of the holdings and the contractual terms such as the basis for calculating the management fees and investors’ ability to redeem. The Company also provides management services to AeroFlexx. Management fees from the Fund were $789 for the years ended December 31, 2023 and 2022 Management fees from AeroFlexx were $103 and $— for the years ended December 31, 2023 and 2022, respectively. The Company did not recognize any carried interest allocation for the years ended December 31, 2023 and 2022, as the amounts were probable of significant reversal given the amount of consideration is highly susceptible to factors outside the Company's influence. Cumulative carried interest allocation amounts are subject to restraint and as such are not yet recognized were $5,880 and $6,513 for the years ended December 31, 2023 and 2022, respectively.</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two customers accounted for 70.6% (related party) and 20.1% of the Company’s total revenue. For the year ended December 31, 2022, two customers accounted for 83.8% (related party) and 16.2% of the Company’s total revenue. All the Company’s revenue and customers are located within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revenue from the sale of products as the technology segment is pre-revenue currently.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qualifies as a partnership for federal income tax purposes. Consequently, federal income taxes are not payable or provided by the Company. Members are taxed individually on their pro rata ownership share of the Company's earnings. There was no provision for income tax for the years ended December 31, 2023 and 2022 as the Company had net loss in both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income tax provision from the statutory federal income tax rate to the effective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pre-tax earnings of corporate subsidiaries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17"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bases using currently enacted tax rates in effect for the year in which the differences are expected to reverse. Significant components of deferred tax assets and liabilities as of December 31, 2023 and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lease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 174 expenses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Startup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bonus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carry-forwards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 Deferred Tax Assets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80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ROU assets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 Deferred Tax Liabilities</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when it is more likely than not that all or a portion of a deferred tax asset will not be realized. The valuation allowance on deferred tax assets was $5,910 as of December 31, 2023 and $3,689 as of December 31, 2022, resulting in a net change of $2,221. The increase in valuation allowance during the period mainly relates to U.S. federal operating loss carryforwards, research and development expenses and other non-deductible expenses. As the taxable entity has historically been in a pre-tax loss position, there is insufficient projected taxable income (exclusive of reversing taxable temporary differences) or other sources of taxable income to recognize the benefit of net deferred tax assets as of the end of the year, which gives rise to need of a valuation allowance.</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2023, the taxable entity had net operating loss carryforwards for income tax purposes of approximately $7,920 related to federal taxes, all of which may be carried forward indefinitely.</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no material unrecognized income tax benefits or uncertain tax positions. Also, we do not expect to incur interest charges or penalties related to our tax positions, but if such charges or penalties are incurred, our policy is to account for interest charges as interest expense and penalties as tax expense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tax years that remain open and subject to examination related to the U.S. federal return are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17" w:right="33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Unit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Class A Unit when units are issued that meet the definition of participating securities. The two-class method requires income available to Class A Unitholders for the period to be allocated between Class A and participating securities based upon their respective rights to receive dividends as if all income for the period had been distributed. The two-class method also requires losses for the period to be allocated between Class A and participating securities based on their respective rights if the participating security contractually participates in losses. As holders of Class B, Class B-1 and Class C participating securities do not have a contractual obligation to fund losses, undistributed net losses are not allocated to them for purposes of the loss per unit calculation.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basic earnings per unit (“EPU”) calculations for the year ended: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(32,757)</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former Chief Financial Officer is a significant shareholder of an investor in $500 of Series 2 notes. The Series 2 notes were fully repaid in cash during the year ended December 31, 2022.</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Innventure1 related party notes had no stated interest or maturity prior to their extinguishment during 2023. In addition, the Company issued a convertible promissory note to the Fund (the 2025 Convertible Promissory Note - Related Party). The Company also issued a related party note for $1,000 that has no stated interest or maturity.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portion of PCT common stock subject to lock-up was released during 2022. Innventure1 elected to contribute in-kind a portion of its PCT common stock in exchange for Class B-1 Preferred Units. As a result, 342,608 Class B-1 Preferred Units were issued for $3,323.</w:t>
      </w:r>
    </w:p>
    <w:p>
      <w:pPr>
        <w:spacing w:after="0" w:line="10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In 2022, Innventure1 assigned its ownership interest in a portion of the Company’s PCT common stock to third-party investors. The Company recorded a liability of $105 in related party payables in the consolidated balance sheets to account for the contractual obligation to deliver the PCT common stock to those third-party investors, who are related parties of Innventure1 and are considered related parties to the Company. Distributions of PCT common stock were made to third-party investors in 2022 totaling $34 and the liability was subsequently revalued as of December 31, 2022 to $89 and then to $53 on December 31, 2023. The change in value was included in net gain on investments - due to related parties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17" w:right="339" w:bottom="1440" w:gutter="0" w:footer="0" w:header="0"/>
        </w:sectPr>
      </w:pPr>
    </w:p>
    <w:bookmarkStart w:id="206" w:name="page207"/>
    <w:bookmarkEnd w:id="20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Fund</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Fund. Certain expenses paid by the Company, which meet certain criteria, are reimbursed to the Company by the Fund. Amounts paid by the Company not reimbursed by the Fund totaled $48 and $176 for the years ended December 31, 2023 and 2022, respectively. There was a receivable of $2 as of December 31, 2023 and 2022, related to those expenses included in due from related parties in the consolidated balance sheets.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2. Accounting Policies, the Company earns a 1-2% management fee for administrative, finance and accounting, and other back-office functions from the Fund. Management fees earned from the unconsolidated Fund totaled $789 for the years ended December 31, 2023 and 2022, which is recorded as management fee income - related party in the consolidated statements of operations.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Fund, a related party,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Fund as of December 31, 2023 and 2022 was $294 and $491, respectively, and included in related party payables in the consolidated balance sheets.</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2023, the Company also sold 23,712 of Accelsius Class A Series 2 Units to the Fund for aggregate proceeds of approximately $104. In 2022, the Company sold 71,136 of Accelsius Class A Series 2 Units to the Fund for aggregate proceeds of approximately $313. These amount is reflected in non-controlling interests in the consolidated statements of changes in unitholders' deficit.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$128 and $299 for the years ended December 31, 2023 and 2022, respectively. There was a receivable of $— and $13 as of December 31, 2023 and 2022, respectively, related to those expenses included in due from related parties in the consolidated balance sheets.</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May 2023, the Company made a $2,000 investment in AeroFlexx in exchange for Class D preferred units. The Company recognizes the investment in accordance with the equity-method (see Note 3. Investments).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during the fourth quarter of 2023, Innventure made five separate working capital advances to AeroFlexx for a total of $2,600 which is presented within "Due from related parties" in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 PCT stock with related parties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2022, the Company distributed shares of PCT's common stock to the holders of Class PCTA Units, along with other individuals as agreed-upon and directed by Innventure1, once shares were no longer subject to lock-up. Each distribution was considered a redemption of the owners’ interest in Class PCTA Units and the Company recorded a $14,077 realized gain in the consolidated statements of operations for the year ended December 31, 2022 as a result of this transaction. No such shares of PCT's common stock were distributed by the Company during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2023 and 2022, there was no principal outstanding under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200"/>
          </w:cols>
          <w:pgMar w:left="320" w:top="117" w:right="37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two agreements with a large multi-national company (“MNC”) to purchase in-process research and development consisting of patents, technology, and knowledge transfer related to cooling technology for critical electronic equipment in a transaction that was determined to be an asset acquisition. The in-process research and development acquired consists of cooling technology requiring additional commercialization efforts to finalize as a product offering.</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The minimum installment payments are included in Patent installment payments payable on the consolidated balance sheets. Each installment payment shall be credited towards and set off against any royalty payments (described below) which may become due. As such, these installment payments serve as minimum amounts due to MNC each calendar year. Additional royalty payments due each year are based on the direct and indirect revenues earned by the Company and the number of cold plates sold.</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Royalty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7.5% plus the Cumulative Purchase Incentive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applied to all direct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15% plus the Cumulative Indirect Purchase Incentive1 applied to all indirect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Cumulative Purchase Incentive percentages are between 0% - 2.5% and are calculated in accordance with the agreement based on the cumulative number of cold plate sales multiplied by a cold plate multiple (if applicable).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royalties for the MNC’s fiscal years thereafter are summarized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r>
    </w:tbl>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as defined in the agreements, the MNC or licensee has a buy-out option which can be exercised by either party. The buy-out option requires the licensee or licensee related company to pay the MNC an amount equal to the buy-out value Share multiplied by the enterprise value as defined in the agreements, provided that the buy-out fee shall always be equal to or greater than $125,000. The buy-out fee shall not, in any case, exceed $500,000. The exercise of the buy-out option results in the purchase of the licensee or licensee related company’s remaining revenue share obligations which would accrue to the MNC under the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Business Segment Data</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operating businesses include a diverse group of corporate (including service activities) and technology businesses. We organize our reportable business segments in a manner that reflects how management views those business activities. The tabular information that follows shows data of reportable segments reconciled to amounts reflected in our consolidated financial statements. Inter-segment transactions are not eliminated from segment results when management considers those transactions in assessing the results of the respective segments. These items are included in the reconciliation of segment amounts to consolidated amounts. Innventure’s business segments are Corporate (including service activities) and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17"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information for the years ended December 31, 2023 and 2022, respectively,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(32,785)</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6"/>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disclosures include evaluation of events up through and including April 12, 2024, which is the date the consolidated financial statements were available to be issued.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the Company sold an aggregate of 609,088 of Accelsius Series A Units for aggregate proceeds of approximately $7,416.</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the Company continued to raise additional capital through its Class B Preferred Unit capital raise. The Company received $7,631 in new cash funds and issued 786,711 new Class B Preferred Units at an issuance price of $9.6992 per unit.</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2024, noteholders with principal amount totaling $420 converted their Series 1 promissory notes into an aggregate of 43,303 Class B Preferred Units, based on the Class B Preferred Unit issuance price of $9.6992 per unit. The converting noteholders elected to receive the last interest payment due and waive the prepayment fee, if applicable, in connection with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17" w:right="339" w:bottom="1440" w:gutter="0" w:footer="0" w:header="0"/>
        </w:sectPr>
      </w:pPr>
    </w:p>
    <w:bookmarkStart w:id="209" w:name="page210"/>
    <w:bookmarkEnd w:id="20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2024, outstanding Series 1 notes, with outstanding principal amounts of $122, became eligible for extension and the Company elected to extend such notes for an incremental 12-month period. In connection with the contractual extension, the interest rate on the notes reset to 12%.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Innventure advanced funds in the amount of $1,975 to AeroFlexx.</w:t>
      </w:r>
    </w:p>
    <w:p>
      <w:pPr>
        <w:spacing w:after="0" w:line="17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During 2024, two individuals holding equity in the Fund totaling $329 entered into an agreement with the Company and exchanged their equity and additional cash of $121 for 25,775 Class B Preferred Units at an issuance price of $9.6992 and 16,427 Accelsius Series A Units at an issuance price of $12.175.</w:t>
      </w:r>
    </w:p>
    <w:p>
      <w:pPr>
        <w:spacing w:after="0" w:line="12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2024, the board of directors of Innventure provided written consent approving an increase in the number of Class B Preferred Units authorized under the Company's Fifth Amended and Restated Limited Liability Company Agreement, as amended, from 4,639,577 to 6,722,562. The authorized purchase price per unit remains unchanged at $9.6992.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2024, the 2025 Notes with a $6,000 principal balance and $743 of accrued interest were converted into 692,267 Accelsius Series A units at a conversion price of $9.74 per share. The conversion was pursuant to the occurrence of a qualified financing event as described in Note 5. Borrowings with the conversion price reflecting a 20% discount per the conversion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00"/>
          </w:cols>
          <w:pgMar w:left="320" w:top="117" w:right="37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64"/>
        </w:trPr>
        <w:tc>
          <w:tcPr>
            <w:tcW w:w="80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Unitholders’ Capital</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Unitholders'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6,722,562 and 4,639,557 units authorized, 5,259,591 and 4,109,961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units issued and outstanding</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B-1 Preferred Units, no par value, 2,600,000 units authorized, 342,608 units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Units, no par value, 10,975,000 units authorized, 10,875,000 units issued and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C Units, no par value, 1,585,125 units authorized, 1,570,125 units issued and outstanding</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Unitholders’ Deficit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Unitholders'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17"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and per unit amounts)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income - related parties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Consulting revenue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8,612</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(7,993)</w:t>
            </w:r>
          </w:p>
        </w:tc>
      </w:tr>
      <w:tr>
        <w:trPr>
          <w:trHeight w:val="270"/>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8,957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Loss attributable to non-controlling interest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Innventure LLC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r>
      <w:tr>
        <w:trPr>
          <w:trHeight w:val="250"/>
        </w:trPr>
        <w:tc>
          <w:tcPr>
            <w:tcW w:w="80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loss per unit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 average Class A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10,875,000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40"/>
          </w:cols>
          <w:pgMar w:left="320" w:top="117"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Mezzanine Capital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23,908</w:t>
            </w:r>
          </w:p>
        </w:tc>
      </w:tr>
      <w:tr>
        <w:trPr>
          <w:trHeight w:val="250"/>
        </w:trPr>
        <w:tc>
          <w:tcPr>
            <w:tcW w:w="6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15,407</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117"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Unitholders' Deficit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NCI</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preferred units, net 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(14,388)</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NCI</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preferred units, net of issuance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76"/>
        </w:trPr>
        <w:tc>
          <w:tcPr>
            <w:tcW w:w="4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units to NCI in exchange of convertible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promissory notes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48,540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(81,568)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15,113</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(11,702)</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17"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and cash equivalents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embedded derivative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payables 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 on notes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on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gain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rent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(16,391)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(7,387)</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shares in equity method investees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Contributions to equity method investees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Loans to equity method investee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received related to PCT stock sale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capital,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units to NCI</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convertible notes payable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Receipt of Capital from Class I Unitholder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4,619</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(4,314)</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17"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 related to PCT stock sale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discount and embedded derivative upon issuance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Class Preferred B Units to extinguish convertible notes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Class B Preferred Units in exchange for Innventus ESG Fund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NCI in exchange for interest in Innventus ESG Fund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Commissions payable on issuance of Class B Preferred Units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Commissions payable on issuance of NCI</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Class B Preferred Units to extinguish consulting fees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units to NCI in exchange of convertible promissory notes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Recognition of right of use asset and corresponding lease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17" w:right="339" w:bottom="1440" w:gutter="0" w:footer="0" w:header="0"/>
        </w:sectPr>
      </w:pPr>
    </w:p>
    <w:bookmarkStart w:id="216" w:name="page217"/>
    <w:bookmarkEnd w:id="2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Innventure LLC (together with its subsidiaries, the “Company” or “Innventure”) founds, funds, and operates companies with a focus on transformative, sustainable technology solutions acquired or licensed from Multinational Corporations (“MNCs”). As owner-operators, Innventure takes what it believes to be breakthrough technologies from early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 Innventure’s headquarters is located in Orlando, Florida.</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24, 2023, Innventure and Learn CW Investment Corporation ("Learn CW") entered into a business combination agreement (as it may be amended and supplemented or otherwise modified from time to time in accordance with its terms, the “Business Combination Agreement”),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and, together with LCW Merger Sub, the “Merger Subs”).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the parties thereto will enter into a business combination, pursuant to which, among other things, (i) LCW Merger Sub will merge with and into Learn CW, with Learn CW as the surviving company of the LCW Merger, and (ii) Innventure Merger Sub will merge with and into Innventure, with Innventure as the surviving entity of the Innventure Merger. Following these mergers, each of Learn CW and Innventure will be a subsidiary of Holdco, and Holdco will become a publicly traded company (together, the "Business Combination"). At closing of the Business Combination, Holdco will change its name to Innventure, Inc.</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 details about the Business Combination may be found in filings made by Holdco and Learn CW with the Securities and Exchange Commission, specifically, registration statements on Form S-4 filed by Holdco. The Business Combination is expected to be consummated after the required approval by the shareholders of Learn CW and the satisfaction of certain other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Company's most recent annual audited consolidated financial statements and notes thereto.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are adequate to make the information presented not misleading.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accounting policies in preparing quarterly and annual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either cash flows from operations or from the sale of its capital or issuance of debt. The Company intends to obtain additional financing in the future to proceed with its business plans. The future value of investments held is unpredictable and subject to market events outside of the Company’s control. If the Company is unable to acquire additional working capital, it will be required to significantly reduce its current level of operations. Furthermore, the Company’s technology segment has not yet begun commercial operations so does not yet have any sources of revenue.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the Company will continue as a going concern within one year after the date of the accompanying condensed consolidated financial statements are issued; however, the above conditions raise substantial doubt about the Company’s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200"/>
          </w:cols>
          <w:pgMar w:left="320" w:top="117" w:right="37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do so. The condensed consolidated financial statements do not include any adjustments to reflect the probable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actually improve the Company's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This ASU clarifies that contractual sale restrictions should not be considered in measuring the fair value of equity securities. This ASU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fiscal years beginning after December 15, 2023, including interim periods therein, with early adoption permitted. The Company adopted this ASU on January 1, 2024, and the adoption did not have a material impact on the Company’s condensed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is currently evaluating the impact this accounting standard will have on its segment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Equity-method investments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equity-method investments primarily include its investment in the Innventus ESG Fund I, L.P. (the “Fund"), for which it serves as general partner, and AeroFlexx, LLC ("AeroFlexx"), which are both not consolidated, but for which the Company exerts significant influence.</w:t>
      </w:r>
    </w:p>
    <w:p>
      <w:pPr>
        <w:spacing w:after="0" w:line="108"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Company’s equity-method investment in the Fund reflects the Company’s general partner interest in the Fund, which represents approximately 5% of the Fund’s total capital commitments. The general partner interest is not consolidated because the Fund is not considered a variable interest entity and the Company does not hold a controlling financial interest in the Fund under the VOE model. The Fund is an investment company that follows a specialized basis of accounting established by GAAP. The Company’s general partnership interest in the Fund is substantially illiquid. While the Fund’s holdings are accounted for at fair value, the equity-method investment in the Fund is adjusted to reflect the fair value of the underlying investments of the Fund as of June 30, 2024 and December 31, 2023. The fair value of the underlying investments in the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1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held a 31% equity-method investment interest in AeroFlexx as of both June 30, 2024 and December 31, 2023. The Company recorded its investment in AeroFlexx at $1,011 and $1,570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40"/>
          </w:cols>
          <w:pgMar w:left="320" w:top="117"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previously invested in PureCycle Technologies, Inc. ("PCT"), as the first company formed in partnership with a multinational corporation. The shares of PCT's common stock held by the Company are classified as an Exchange-traded investment at fair value recorded through net income (“FVTNI”). The majority of the remaining shares of PCT's common stock held by the Company are subject to a final lock-up period which expires based upon the achievement of certain operational metrics, as certified by certain third-parties, of PCT’s Ironton, Ohio plant.</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308,338 PCT shares for aggregate net proceeds of $1,744 of which $389 were outstanding as receivables from brokers as of June 30, 2024. The PCT shares were measured at their fair value immediately prior to the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34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760" w:type="dxa"/>
            <w:vAlign w:val="bottom"/>
          </w:tcPr>
          <w:p>
            <w:pPr>
              <w:spacing w:after="0"/>
              <w:rPr>
                <w:sz w:val="13"/>
                <w:szCs w:val="13"/>
                <w:color w:val="auto"/>
              </w:rPr>
            </w:pPr>
          </w:p>
        </w:tc>
        <w:tc>
          <w:tcPr>
            <w:tcW w:w="17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3340" w:type="dxa"/>
            <w:vAlign w:val="bottom"/>
          </w:tcPr>
          <w:p>
            <w:pPr>
              <w:jc w:val="center"/>
              <w:ind w:left="1688"/>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3340" w:type="dxa"/>
            <w:vAlign w:val="bottom"/>
          </w:tcPr>
          <w:p>
            <w:pPr>
              <w:jc w:val="center"/>
              <w:ind w:left="1688"/>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760" w:type="dxa"/>
            <w:vAlign w:val="bottom"/>
            <w:vMerge w:val="continue"/>
          </w:tcPr>
          <w:p>
            <w:pPr>
              <w:spacing w:after="0"/>
              <w:rPr>
                <w:sz w:val="11"/>
                <w:szCs w:val="11"/>
                <w:color w:val="auto"/>
              </w:rPr>
            </w:pPr>
          </w:p>
        </w:tc>
        <w:tc>
          <w:tcPr>
            <w:tcW w:w="172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340" w:type="dxa"/>
            <w:vAlign w:val="bottom"/>
          </w:tcPr>
          <w:p>
            <w:pPr>
              <w:jc w:val="center"/>
              <w:ind w:left="1708"/>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7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40" w:type="dxa"/>
            <w:vAlign w:val="bottom"/>
          </w:tcPr>
          <w:p>
            <w:pPr>
              <w:jc w:val="center"/>
              <w:ind w:left="16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6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(see Note 5. Borrowings) are stated at fair value. Fair value is determined utilizing discounted cash flows, using unobservable market data inputs, and an option pricing model based on management’s probability weighted expected outcome with respect to a financing or a change of control. The derivatives associated with the 2025 notes were settled in March 2024 due to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40"/>
          </w:cols>
          <w:pgMar w:left="320" w:top="117"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notes in a qualified financing. A summary of the significant unobservable inputs utilized to estimate the fair value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70"/>
        </w:trPr>
        <w:tc>
          <w:tcPr>
            <w:tcW w:w="77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3"/>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control</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Level 3 liabilities that are measured at fair value on a recurring basis: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Embedded Derivative</w:t>
            </w:r>
          </w:p>
        </w:tc>
      </w:tr>
      <w:tr>
        <w:trPr>
          <w:trHeight w:val="196"/>
        </w:trPr>
        <w:tc>
          <w:tcPr>
            <w:tcW w:w="9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r>
      <w:tr>
        <w:trPr>
          <w:trHeight w:val="250"/>
        </w:trPr>
        <w:tc>
          <w:tcPr>
            <w:tcW w:w="9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Settlement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change in fair value included in earnings for the six months ended June 30, 2024 and 2023 were $478 and $41, respectively.</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due from related parties, other assets, accounts payable, accrued expenses, accrued employee benefits, other current liabilities and other liabilities approximate fair value due to the short maturity terms of these instruments. The Company's convertible promissory notes were converted in March 2024 and the related embedded derivative liabilities settled as part of this conversion (see Note 5. Borrowings)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fair value of the Company's convertible promissory notes as of December 31, 2023, was $4,501.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17"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Series 1 promissory notes, 9-15% interest, maturity: 36 – 60 months from issuance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Convertible promissory notes, 8% interest, maturity: 36 months from issuance</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related party notes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r>
      <w:tr>
        <w:trPr>
          <w:trHeight w:val="466"/>
        </w:trPr>
        <w:tc>
          <w:tcPr>
            <w:tcW w:w="9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Company has accrued interest of $— and $634 in long-term notes as of June 30, 2024 and December 31, 2023, respectively.</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notes payable and notes payable to related parties mature as follows: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6 months)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1 Promissory Notes</w:t>
      </w:r>
    </w:p>
    <w:p>
      <w:pPr>
        <w:spacing w:after="0" w:line="17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noteholders with principal amounts totaling $396 converted their Series 1 promissory notes into 40,829 of Class B Preferred Units based on the Class B Preferred Unit issuance price of $9.6992 per share. The noteholders elected to receive the last interest payment due and waive the prepayment fee, if applicable, in connection with the transaction. The Company accounted for the conversion of promissory notes as an extinguishment, the impact of which is immaterial to the Company’s financial statements. During the six months ended June 30, 2023, noteholders with principal amounts totaling $100 converted their Series 1 promissory notes into 10,310 of Class B Preferred Units based on the Class B Preferred Unit issuance price of $9.6992 per share.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during the six months ended June 30, 2024, the Company extended Series 1 notes with principal of $122 and $300 for an additional year for the 1st and 2nd time at 12% from 9% and 15% from 12% interest, respectively. During the six months ended June 30, 2023, the Company extended Series 1 notes with principal of $580 and $366 for an additional year for the 1st and 2nd time at 12% from 9% and 15% from 12% interest, respectively.</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interest expense on the Series 1 notes was approximately $99 and $164, respectively, and is included in interest expense on the condensed consolidated statements of operations. The interest expense on Series 1 notes includes the amortization of issuance costs of $— and $18, for the six months ended June 30, 2024 and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7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March 31, 2024, the 8% convertible promissory notes (the "2025 Notes") with a $6,000 principal balance and $755 of accrued interest were converted into 693,480 of Accelsius Series A units at a conversion price of $9.74 per share. The conversion was pursuant to the occurrence of a qualified financing event. The related embedded derivative liability was extinguished in connection with the conversion.</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the Company recognized $231 in interest expense associated with the 2025 Notes discounts and the contractual interest expense for 2024 was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40"/>
          </w:cols>
          <w:pgMar w:left="320" w:top="117"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recognized $89 in interest expense associated with the 2025 Notes discounts and the contractual interest expense for the six months ended June 30, 2023 was $270,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unamortized discount was $— and $2,133,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Inventory consisting of raw materials, work in process and finished goods are stated at the lower of cost or net realizable value. Cost of our inventories is determined by costing methods that approximate an average cost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Unitholders' Deficit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320" w:type="dxa"/>
            <w:vAlign w:val="bottom"/>
            <w:gridSpan w:val="4"/>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20" w:type="dxa"/>
            <w:vAlign w:val="bottom"/>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100" w:type="dxa"/>
            <w:vAlign w:val="bottom"/>
          </w:tcPr>
          <w:p>
            <w:pPr>
              <w:spacing w:after="0"/>
              <w:rPr>
                <w:sz w:val="11"/>
                <w:szCs w:val="11"/>
                <w:color w:val="auto"/>
              </w:rPr>
            </w:pPr>
          </w:p>
        </w:tc>
        <w:tc>
          <w:tcPr>
            <w:tcW w:w="166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Units Authorized</w:t>
            </w:r>
          </w:p>
        </w:tc>
        <w:tc>
          <w:tcPr>
            <w:tcW w:w="1560" w:type="dxa"/>
            <w:vAlign w:val="bottom"/>
            <w:tcBorders>
              <w:top w:val="single" w:sz="8" w:color="auto"/>
            </w:tcBorders>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Units Issued and</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60" w:type="dxa"/>
            <w:vAlign w:val="bottom"/>
            <w:gridSpan w:val="2"/>
            <w:vMerge w:val="continue"/>
          </w:tcPr>
          <w:p>
            <w:pPr>
              <w:spacing w:after="0"/>
              <w:rPr>
                <w:sz w:val="16"/>
                <w:szCs w:val="16"/>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6,722,562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5,259,591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4,639,557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4,109,961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1,585,125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Return</w:t>
      </w:r>
    </w:p>
    <w:p>
      <w:pPr>
        <w:spacing w:after="0" w:line="17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Class B and B-1 Preferred Unitholders are entitled to distributions at a rate of 6% per year of unreturned capital of preferred units. Class B and B-1 Preferred Unitholders have accumulated $3,944 and $309, respectively, in unreturned preferred returns as of June 30, 2024 and $2,552 and $210, respectively,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continues to receive additional capital in connection with its Class B Preferred Unit capital raise which closed on January 26, 2024. The Company received $10,548 and $3,389 in cash during the six months ended June 30, 2024 and 2023 and issued 1,087,508 and 349,409 new Class B Preferred Units, respectively, at the issuance price of $9.6992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17"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Unit-based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73"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recognized compensation costs related to the Equity Incentive Plan of $96 and $102 for the six months ended June 30, 2024 and 2023, respectively. As of June 30, 2024, the Company has $274 in unit-based compensation expense remaining to be recognized over approximately 1.7 years.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Equity Plan</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there were 110,000 and 238,000 Class C units granted under the Subsidiary Equity Plan with a grant date fair value of $4.41 and $3.51, respectively.</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costs related to the Subsidiary Equity Plan of $593 and $236 for the six months ended June 30, 2024 and 2023, respectively, which is recorded in general and administrative, sales and marketing and research and development in the condensed consolidated statements of operations. As of June 30, 2024, the Subsidiary Equity Plan has $1,788 in unit-based compensation expense remaining to be recognized over approximately 2.0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no income tax provision was recorded due to maintenance of a full valuation allowance against net deferred tax assets as of December 31, 2023 due to the Company’s history of losses and the Company’s belief that it is not more likely than not that the benefit will be realized. There was no income tax effect for the six months ended June 30, 2023. The effective tax rate was zero for the six months ended June 30,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Unit</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 and denominator for the basic earnings per unit (“EPU”) calculations using the two class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Innventure LLC Unitholders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earnings to participating unitholders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deemed dividend related to Class PCTA and Class I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Attributable to Class A Unitholders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Class A Units outstanding, basic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Loss Per Unit Attributable to Class A Unitholders,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Class PCTA and Class I units are redeemable instruments within mezzanine capital. The increases and decreases in the carrying amount of these instruments are charged against accumulated deficit during respective periods and treated as a deemed dividend in the calculation of net loss attributable to Class A Unitholders.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The Company had a convertible promissory note to the Fund as part of the 2025 Notes which was converted during the six months ended June 30, 2024.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note matures on December 21, 2024. Upon maturity, the Company is required to repay the outstanding principal amount of $1,000 and a loan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F-90</w:t>
      </w:r>
    </w:p>
    <w:p>
      <w:pPr>
        <w:sectPr>
          <w:pgSz w:w="11900" w:h="16838" w:orient="portrait"/>
          <w:cols w:equalWidth="0" w:num="1">
            <w:col w:w="11240"/>
          </w:cols>
          <w:pgMar w:left="320" w:top="117" w:right="339" w:bottom="1440" w:gutter="0" w:footer="0" w:header="0"/>
          <w:type w:val="continuous"/>
        </w:sectPr>
      </w:pPr>
    </w:p>
    <w:bookmarkStart w:id="223" w:name="page224"/>
    <w:bookmarkEnd w:id="2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fee equal to approximately $63. There is no stated interest as per the terms of the executed agreement but it provides for interest at the rate of 8% per annum on the outstanding amount from the maturity date if the Company fails to pay any amount due on the maturity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related party liability established in connection with the ownership interest in the Company's PCT common stock assigned by Innventure1 to investors which are considered related parties of the Company was revalued to $78 and $53 as of June 30, 2024 and December 31, 2023, respectively. The change in value was included in Net (loss) gain on investments – due to related parties in the condensed consolidated statements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 Fund</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Fund. Expenses which meet certain criteria are reimbursed to the Company by the Fund. Amounts paid by the Company not reimbursed by the Fund totaled $35 and $9 for the six months ended June 30, 2024 and 2023, respectively. There was a receivable of $4 and $2 as of June 30, 2024 and December 31, 2023, respectively, related to those expenses included in Due from related parties in the condensed consolidated balance sheets.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earns a 1-2% management fee for administrative, finance and accounting, and other back-office functions from the Fund. Management fees earned from the Fund totaled $393 and $394 for the six months ended June 30, 2024 and 2023, which is recorded as Management fee income - related parties in the condensed consolidated statements of operations.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Fund, a related party, to sell 145,161 shares of PCT common stock with an exercise price of $1. The option period would have expired on July 22, 2024 and the Company measured the derivative liability at fair value. The option was exercised in March 2022 and the shares are subject to the lock-up provisions. The liability due to the Fund as of June 30, 2024 and December 31, 2023 was $430 and $294, respectively, and is included in Related party payables in the condensed consolidated balance sheets.</w:t>
      </w:r>
    </w:p>
    <w:p>
      <w:pPr>
        <w:spacing w:after="0" w:line="12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sold 23,712 of Accelsius Class A Units to the Fund for aggregate proceeds of approximately $104. This amount is reflected in non-controlling interests in the condensed consolidated statements of changes in unitholders' deficit.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AeroFlexx</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AeroFlexx. Amounts paid by the Company that were reimbursed by AeroFlexx totaled $12 and $58 for the six months ended June 30, 2024 and 2023, respectively. There was a receivable of $43 and $— as of June 30, 2024 and December 31, 2023, respectively, related to those expenses included in Due from related parties in the condensed consolidated balance sheets.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had $7,635 and $2,600 of advances to Aeroflexx which is included in Due from related parties in the condensed consolidated balance sheets. The advances have no stated interest or maturity date but are expected to be repaid within a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PCT Guaranty</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June 30, 2024 and December 31, 2023, there is no principal outstanding under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20"/>
          </w:cols>
          <w:pgMar w:left="320" w:top="117" w:right="35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Agreement Contingent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minimum patent royalties included in Patent installment payables on the condensed consolidated balance sheets are due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acquired at the rate of 7% and 15% from indirect revenue generated plus additional incentives based on the volume of units sold at rates up to 2.5%. Each year the Company will pay such royalties at the higher of: (i) the minimum amount due (noted in the table above) and (ii) the royalty calculated amount based on revenue and units sold.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Business Segment Data</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operating businesses include a diverse group of corporate (including service activities) and technology businesses. Reportable segment information for the six months ended June 30, 2024 and 2023, respectively,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r>
      <w:tr>
        <w:trPr>
          <w:trHeight w:val="250"/>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r>
      <w:tr>
        <w:trPr>
          <w:trHeight w:val="250"/>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17"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center"/>
              <w:ind w:left="594"/>
              <w:spacing w:after="0"/>
              <w:rPr>
                <w:sz w:val="20"/>
                <w:szCs w:val="20"/>
                <w:color w:val="auto"/>
              </w:rPr>
            </w:pPr>
            <w:r>
              <w:rPr>
                <w:rFonts w:ascii="Times New Roman" w:cs="Times New Roman" w:eastAsia="Times New Roman" w:hAnsi="Times New Roman"/>
                <w:sz w:val="18"/>
                <w:szCs w:val="18"/>
                <w:color w:val="auto"/>
                <w:w w:val="96"/>
              </w:rPr>
              <w:t>21,364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22,953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96"/>
              </w:rPr>
              <w:t>34,828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16,246</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(17,635)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b w:val="1"/>
                <w:bCs w:val="1"/>
                <w:color w:val="auto"/>
                <w:w w:val="96"/>
              </w:rPr>
              <w:t>32,392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b w:val="1"/>
                <w:bCs w:val="1"/>
                <w:color w:val="auto"/>
                <w:w w:val="96"/>
              </w:rPr>
              <w:t>21,564</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from external customers and long-lived assets are located entirely in the United States of America (USA).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and related disclosures include evaluation of events up through and including August 28, 2024, which is the date the condensed consolidated financial statements were available to be issued. Events occurring after June 30, 2024 are:</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sold 154,003 of Accelsius Series A Units for aggregate proceeds of approximately $1,875. This amount will be reflected in non-controlling interests in the condensed consolidated statements of changes in unitholders' deficit in future periods.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continued to receive additional capital through its Class B Preferred Unit capital raise which closed on January 26, 2024. The Company received $2,434 in cash and issued 250,897 new Class B Preferred Units at the issuance price of $9.6992 per share.</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sold 47,544 PCT shares for aggregate net proceeds of $269. The PCT shares were measured at their fair value immediately prior to the transaction.</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1, 2024, the Company ("Lender") entered into an intercompany loan agreement with AeroFlexx ("Borrower"). The pre-existing working capital interest-free loans to AeroFlexx, amounting to $7,635 are subject to this agreement as outstanding term loans and will also lend new term loans, up to an aggregate principal amount of $10,000, able to be drawn through the loan maturity date. After any full or partial repayment of the term loans, the borrower may borrow additional funds up to the $10,000 limit until the maturity date. The loan bears interest at the applicable federal rate published by the Internal Revenue Service and is adjusted on a quarterly basis. The term loans and any unpaid accrued interest are required to be repaid by the maturity date, which is the earliest of December 31, 2026 or the date of the sale, transfer or other disposition all of the borrower’s assets or borrower's stock.</w:t>
      </w:r>
    </w:p>
    <w:p>
      <w:pPr>
        <w:spacing w:after="0" w:line="133"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Company has an option to convert the outstanding principal amount of the term loans and any unpaid accrued interest into shares or units of next issuance of equity securities by the borrower, at a price equal to 100% of the price per share or unit and same terms and conditions in such issuance.</w:t>
      </w:r>
    </w:p>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If, by January 1, 2025, the Borrower has not raised equity financing equal to or more than a target of $7,250, then on January 2, 2025, the outstanding principal and any unpaid accrued interest on the Term Loans will automatically convert into Class D preferred units of the borrower at the same price per unit and on the same terms and conditions as the Class D preferred unit of the borrower purchased by lender prior to the date of this loan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lent an additional $350 to AeroFlexx in new term loans pursuant to this agreement.</w:t>
      </w:r>
    </w:p>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August 20, 2024, the Company entered into an unsecured short-term promissory note with a related party for $10,000 with an associated $1,000 loan fee which are both due on the earlier of the first business day following closing of the Business Combination or October 15, 2024.</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20, 2024, the Company signed a non-binding term sheet with a third party lender that would provide the Company with a secured line of credit up to $50,000, available starting at Closing and payable in tranches,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17" w:right="339" w:bottom="1440" w:gutter="0" w:footer="0" w:header="0"/>
        </w:sectPr>
      </w:pPr>
    </w:p>
    <w:bookmarkStart w:id="226" w:name="page227"/>
    <w:bookmarkEnd w:id="2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Innventure LLC and Subsidiaries</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unit or per unit data)</w:t>
      </w:r>
    </w:p>
    <w:p>
      <w:pPr>
        <w:spacing w:after="0" w:line="200" w:lineRule="exact"/>
        <w:rPr>
          <w:sz w:val="20"/>
          <w:szCs w:val="20"/>
          <w:color w:val="auto"/>
        </w:rPr>
      </w:pPr>
    </w:p>
    <w:p>
      <w:pPr>
        <w:spacing w:after="0" w:line="29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 interest rate of the greater of 13.50% or WSJ prime + 5.00% per annum with repayment terms of up to 36 months. $10,000 penny warrants are also expected to be issued at Closing and represent debt issuance costs. The warrants are expected to be liability classified and are convertible into Holdco common stock.</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22, 2024, the Company entered into an unsecured short-term promissory note with a related party for $2,000 with an associated interest rate of 11.5% per annum. The loan and associated interest is payable on the earlier of the first business day following closing of the Business Combination or October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F-94</w:t>
      </w:r>
    </w:p>
    <w:sectPr>
      <w:pgSz w:w="11900" w:h="16838" w:orient="portrait"/>
      <w:cols w:equalWidth="0" w:num="1">
        <w:col w:w="11100"/>
      </w:cols>
      <w:pgMar w:left="320" w:top="1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1)"/>
      <w:numFmt w:val="lowerLetter"/>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1)"/>
      <w:numFmt w:val="decimal"/>
      <w:start w:val="1"/>
    </w:lvl>
  </w:abstractNum>
  <w:abstractNum w:abstractNumId="20">
    <w:nsid w:val="3F6AB60F"/>
    <w:multiLevelType w:val="hybridMultilevel"/>
    <w:lvl w:ilvl="0">
      <w:lvlJc w:val="left"/>
      <w:lvlText w:val="%1."/>
      <w:numFmt w:val="decimal"/>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7"/>
    </w:lvl>
  </w:abstractNum>
  <w:abstractNum w:abstractNumId="23">
    <w:nsid w:val="77AE35EB"/>
    <w:multiLevelType w:val="hybridMultilevel"/>
    <w:lvl w:ilvl="0">
      <w:lvlJc w:val="left"/>
      <w:lvlText w:val="(%1)"/>
      <w:numFmt w:val="lowerLetter"/>
      <w:start w:val="27"/>
    </w:lvl>
  </w:abstractNum>
  <w:abstractNum w:abstractNumId="24">
    <w:nsid w:val="579BE4F1"/>
    <w:multiLevelType w:val="hybridMultilevel"/>
    <w:lvl w:ilvl="0">
      <w:lvlJc w:val="left"/>
      <w:lvlText w:val="(%1)"/>
      <w:numFmt w:val="lowerLetter"/>
      <w:start w:val="29"/>
    </w:lvl>
  </w:abstractNum>
  <w:abstractNum w:abstractNumId="25">
    <w:nsid w:val="310C50B3"/>
    <w:multiLevelType w:val="hybridMultilevel"/>
    <w:lvl w:ilvl="0">
      <w:lvlJc w:val="left"/>
      <w:lvlText w:val="(%1)"/>
      <w:numFmt w:val="lowerLetter"/>
      <w:start w:val="31"/>
    </w:lvl>
  </w:abstractNum>
  <w:abstractNum w:abstractNumId="26">
    <w:nsid w:val="5FF87E05"/>
    <w:multiLevelType w:val="hybridMultilevel"/>
    <w:lvl w:ilvl="0">
      <w:lvlJc w:val="left"/>
      <w:lvlText w:val="%1"/>
      <w:numFmt w:val="decimal"/>
      <w:start w:val="1"/>
    </w:lvl>
    <w:lvl w:ilvl="1">
      <w:lvlJc w:val="left"/>
      <w:lvlText w:val="(%2)"/>
      <w:numFmt w:val="lowerRoman"/>
      <w:start w:val="2"/>
    </w:lvl>
  </w:abstractNum>
  <w:abstractNum w:abstractNumId="27">
    <w:nsid w:val="2F305DEF"/>
    <w:multiLevelType w:val="hybridMultilevel"/>
    <w:lvl w:ilvl="0">
      <w:lvlJc w:val="left"/>
      <w:lvlText w:val="%1."/>
      <w:numFmt w:val="decimal"/>
      <w:start w:val="2"/>
    </w:lvl>
    <w:lvl w:ilvl="1">
      <w:lvlJc w:val="left"/>
      <w:lvlText w:val="%2"/>
      <w:numFmt w:val="lowerRoman"/>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2"/>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1)"/>
      <w:numFmt w:val="lowerRoman"/>
      <w:start w:val="2"/>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2"/>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4"/>
    </w:lvl>
  </w:abstractNum>
  <w:abstractNum w:abstractNumId="81">
    <w:nsid w:val="39EE015C"/>
    <w:multiLevelType w:val="hybridMultilevel"/>
    <w:lvl w:ilvl="0">
      <w:lvlJc w:val="left"/>
      <w:lvlText w:val="(%1)"/>
      <w:numFmt w:val="decimal"/>
      <w:start w:val="17"/>
    </w:lvl>
  </w:abstractNum>
  <w:abstractNum w:abstractNumId="82">
    <w:nsid w:val="57FC4FBB"/>
    <w:multiLevelType w:val="hybridMultilevel"/>
    <w:lvl w:ilvl="0">
      <w:lvlJc w:val="left"/>
      <w:lvlText w:val="(%1)"/>
      <w:numFmt w:val="decimal"/>
      <w:start w:val="28"/>
    </w:lvl>
  </w:abstractNum>
  <w:abstractNum w:abstractNumId="83">
    <w:nsid w:val="CC1016F"/>
    <w:multiLevelType w:val="hybridMultilevel"/>
    <w:lvl w:ilvl="0">
      <w:lvlJc w:val="left"/>
      <w:lvlText w:val="(%1)"/>
      <w:numFmt w:val="lowerRoman"/>
      <w:start w:val="10"/>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emdash "/>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emdash "/>
      <w:numFmt w:val="bullet"/>
      <w:start w:val="1"/>
    </w:lvl>
  </w:abstractNum>
  <w:abstractNum w:abstractNumId="94">
    <w:nsid w:val="6AA78F7F"/>
    <w:multiLevelType w:val="hybridMultilevel"/>
    <w:lvl w:ilvl="0">
      <w:lvlJc w:val="left"/>
      <w:lvlText w:val="(%1)"/>
      <w:numFmt w:val="lowerRoman"/>
      <w:start w:val="3"/>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2024-11-12T16:19:44Z</dcterms:created>
  <dcterms:modified xsi:type="dcterms:W3CDTF">2024-11-12T16:19:44Z</dcterms:modified>
</cp:coreProperties>
</file>