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April 1, 2026</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333-294419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93345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1 TO</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S-3</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8"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7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6770</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93-4440048</w:t>
            </w:r>
          </w:p>
        </w:tc>
      </w:tr>
      <w:tr>
        <w:trPr>
          <w:trHeight w:val="225"/>
        </w:trPr>
        <w:tc>
          <w:tcPr>
            <w:tcW w:w="27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7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6900 Tavistock Lakes Blvd, Suite 400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Orlando, Florida 32827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(321) 209-6787</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80645</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Gregory W. Haskell</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Innventure,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6900 Tavistock Lakes Blvd, Suite 400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Orlando, Florida 32827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(321) 209-6787</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71755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With a copy to:</w:t>
      </w:r>
    </w:p>
    <w:p>
      <w:pPr>
        <w:ind w:left="4760"/>
        <w:spacing w:after="0" w:line="220" w:lineRule="auto"/>
        <w:rPr>
          <w:sz w:val="20"/>
          <w:szCs w:val="20"/>
          <w:color w:val="auto"/>
        </w:rPr>
      </w:pPr>
      <w:r>
        <w:rPr>
          <w:rFonts w:ascii="Times New Roman" w:cs="Times New Roman" w:eastAsia="Times New Roman" w:hAnsi="Times New Roman"/>
          <w:sz w:val="17"/>
          <w:szCs w:val="17"/>
          <w:color w:val="auto"/>
        </w:rPr>
        <w:t> </w:t>
      </w:r>
    </w:p>
    <w:p>
      <w:pPr>
        <w:ind w:left="4440"/>
        <w:spacing w:after="0"/>
        <w:rPr>
          <w:sz w:val="20"/>
          <w:szCs w:val="20"/>
          <w:color w:val="auto"/>
        </w:rPr>
      </w:pPr>
      <w:r>
        <w:rPr>
          <w:rFonts w:ascii="Times New Roman" w:cs="Times New Roman" w:eastAsia="Times New Roman" w:hAnsi="Times New Roman"/>
          <w:sz w:val="17"/>
          <w:szCs w:val="17"/>
          <w:b w:val="1"/>
          <w:bCs w:val="1"/>
          <w:color w:val="auto"/>
        </w:rPr>
        <w:t>Joel T. May</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Thomas L. Short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Jones Day</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1221 Peachtree Street, N.E., Suite 400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Atlanta, Georgia 30361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(404) 521-3939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59055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4"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 From time to time after the effective date of this registration statement</w:t>
      </w:r>
      <w:r>
        <w:rPr>
          <w:rFonts w:ascii="Times New Roman" w:cs="Times New Roman" w:eastAsia="Times New Roman" w:hAnsi="Times New Roman"/>
          <w:sz w:val="17"/>
          <w:szCs w:val="17"/>
          <w:color w:val="auto"/>
        </w:rPr>
        <w:t>.</w:t>
      </w:r>
    </w:p>
    <w:p>
      <w:pPr>
        <w:spacing w:after="0" w:line="2" w:lineRule="exact"/>
        <w:rPr>
          <w:sz w:val="24"/>
          <w:szCs w:val="24"/>
          <w:color w:val="auto"/>
        </w:rPr>
      </w:pPr>
    </w:p>
    <w:p>
      <w:pPr>
        <w:ind w:right="240"/>
        <w:spacing w:after="0" w:line="234"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5" w:lineRule="exact"/>
        <w:rPr>
          <w:sz w:val="24"/>
          <w:szCs w:val="24"/>
          <w:color w:val="auto"/>
        </w:rPr>
      </w:pPr>
    </w:p>
    <w:p>
      <w:pPr>
        <w:ind w:right="280"/>
        <w:spacing w:after="0" w:line="224"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5" w:lineRule="exact"/>
        <w:rPr>
          <w:sz w:val="24"/>
          <w:szCs w:val="24"/>
          <w:color w:val="auto"/>
        </w:rPr>
      </w:pPr>
    </w:p>
    <w:p>
      <w:pPr>
        <w:ind w:right="180"/>
        <w:spacing w:after="0" w:line="263" w:lineRule="auto"/>
        <w:rPr>
          <w:sz w:val="20"/>
          <w:szCs w:val="20"/>
          <w:color w:val="auto"/>
        </w:rPr>
      </w:pPr>
      <w:r>
        <w:rPr>
          <w:rFonts w:ascii="Times New Roman" w:cs="Times New Roman" w:eastAsia="Times New Roman" w:hAnsi="Times New Roman"/>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71" w:lineRule="exact"/>
        <w:rPr>
          <w:sz w:val="20"/>
          <w:szCs w:val="20"/>
          <w:color w:val="auto"/>
        </w:rPr>
      </w:pPr>
      <w:r>
        <w:rPr>
          <w:rFonts w:ascii="MS PGothic" w:cs="MS PGothic" w:eastAsia="MS PGothic" w:hAnsi="MS PGothic"/>
          <w:sz w:val="17"/>
          <w:szCs w:val="17"/>
          <w:color w:val="auto"/>
        </w:rPr>
        <w:t>☐</w:t>
      </w:r>
    </w:p>
    <w:p>
      <w:pPr>
        <w:spacing w:after="0" w:line="72"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 w:lineRule="exact"/>
        <w:rPr>
          <w:sz w:val="24"/>
          <w:szCs w:val="24"/>
          <w:color w:val="auto"/>
        </w:rPr>
      </w:pPr>
    </w:p>
    <w:p>
      <w:pPr>
        <w:spacing w:after="0" w:line="234"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5" w:lineRule="exact"/>
        <w:rPr>
          <w:sz w:val="24"/>
          <w:szCs w:val="24"/>
          <w:color w:val="auto"/>
        </w:rPr>
      </w:pPr>
    </w:p>
    <w:p>
      <w:pPr>
        <w:ind w:right="240"/>
        <w:spacing w:after="0" w:line="234"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5" w:lineRule="exact"/>
        <w:rPr>
          <w:sz w:val="24"/>
          <w:szCs w:val="24"/>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60" w:type="dxa"/>
            <w:vAlign w:val="bottom"/>
          </w:tcPr>
          <w:p>
            <w:pPr>
              <w:ind w:left="1280"/>
              <w:spacing w:after="0" w:line="171" w:lineRule="exact"/>
              <w:rPr>
                <w:sz w:val="20"/>
                <w:szCs w:val="20"/>
                <w:color w:val="auto"/>
              </w:rPr>
            </w:pPr>
            <w:r>
              <w:rPr>
                <w:rFonts w:ascii="MS PGothic" w:cs="MS PGothic" w:eastAsia="MS PGothic" w:hAnsi="MS PGothic"/>
                <w:sz w:val="17"/>
                <w:szCs w:val="17"/>
                <w:color w:val="auto"/>
              </w:rPr>
              <w:t>☐</w:t>
            </w:r>
          </w:p>
        </w:tc>
        <w:tc>
          <w:tcPr>
            <w:tcW w:w="3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Accelerated filer</w:t>
            </w:r>
          </w:p>
        </w:tc>
        <w:tc>
          <w:tcPr>
            <w:tcW w:w="1700" w:type="dxa"/>
            <w:vAlign w:val="bottom"/>
          </w:tcPr>
          <w:p>
            <w:pPr>
              <w:ind w:left="15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6"/>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60" w:type="dxa"/>
            <w:vAlign w:val="bottom"/>
          </w:tcPr>
          <w:p>
            <w:pPr>
              <w:ind w:left="1260"/>
              <w:spacing w:after="0" w:line="171" w:lineRule="exact"/>
              <w:rPr>
                <w:sz w:val="20"/>
                <w:szCs w:val="20"/>
                <w:color w:val="auto"/>
              </w:rPr>
            </w:pPr>
            <w:r>
              <w:rPr>
                <w:rFonts w:ascii="MS PGothic" w:cs="MS PGothic" w:eastAsia="MS PGothic" w:hAnsi="MS PGothic"/>
                <w:sz w:val="17"/>
                <w:szCs w:val="17"/>
                <w:color w:val="auto"/>
              </w:rPr>
              <w:t>☒</w:t>
            </w:r>
          </w:p>
        </w:tc>
        <w:tc>
          <w:tcPr>
            <w:tcW w:w="3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700" w:type="dxa"/>
            <w:vAlign w:val="bottom"/>
          </w:tcPr>
          <w:p>
            <w:pPr>
              <w:ind w:left="15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2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Emerging growth company</w:t>
            </w:r>
          </w:p>
        </w:tc>
        <w:tc>
          <w:tcPr>
            <w:tcW w:w="1700" w:type="dxa"/>
            <w:vAlign w:val="bottom"/>
          </w:tcPr>
          <w:p>
            <w:pPr>
              <w:ind w:left="15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9" w:lineRule="exact"/>
        <w:rPr>
          <w:sz w:val="24"/>
          <w:szCs w:val="24"/>
          <w:color w:val="auto"/>
        </w:rPr>
      </w:pPr>
    </w:p>
    <w:p>
      <w:pPr>
        <w:jc w:val="both"/>
        <w:ind w:right="60"/>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182245</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310515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558"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 AND STATEMENT PURSUANT TO RULE 429</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purpose of this Pre-Effective Amendment No. 1 to the Registration Statement on Form S-3 (File No. 333-294419), which was originally filed by the Registrant with the Securities and Exchange Commission (“SEC”) on March 18, 2026 (the “Registration Statement”), is to update certain sections of the Registration Statement, including to (i) update the “Documents Incorporated by Reference” section, (ii) make other general updates to the Registration Statement, and (iii) file an updated consent of BDO USA, P.C., the Company’s former independent registered public accounting firm, and a consent of WithumSmith+Brown, P.C., the Company’s independent registered public accounting firm.</w:t>
      </w:r>
    </w:p>
    <w:p>
      <w:pPr>
        <w:spacing w:after="0" w:line="81"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The Registrant is filing a single prospectus as part of this Registration Statement pursuant to Rule 429 under the Securities Act of 1933 (the “Securities Act”). The prospectus is a combined prospectus relating to: (A) an aggregate of 56,645,073 shares of the Registrant’s common stock, par value $0.0001 per share (“Common Stock”) that are currently registered and remain unsold under the Prior Registration Statements (as defined below), consisting of:</w:t>
      </w:r>
    </w:p>
    <w:p>
      <w:pPr>
        <w:spacing w:after="0" w:line="3" w:lineRule="exact"/>
        <w:rPr>
          <w:sz w:val="20"/>
          <w:szCs w:val="20"/>
          <w:color w:val="auto"/>
        </w:rPr>
      </w:pPr>
    </w:p>
    <w:p>
      <w:pPr>
        <w:ind w:left="300" w:right="359" w:hanging="8"/>
        <w:spacing w:after="0" w:line="250" w:lineRule="auto"/>
        <w:tabs>
          <w:tab w:leader="none" w:pos="5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up to 3,260,175 shares of Common Stock that were issued and may be issued upon conversion of Series B Preferred Stock (as defined herein); (ii) up to 16,244,741 shares of Common Stock that may be issued and sold to YA II PN, Ltd., a Cayman Islands exempted company (“Yorkville”), from time to time pursuant to the Standby Equity Purchase Agreement (the “SEPA”), dated October 24, 2023, entered into with Yorkville, subject to the ownership limitations described therein; (iii) 5,657,481 shares of Common Stock held by certain stockholders party to that certain Amended and Restated Registration Rights Agreement, dated October 2, 2024 (the “A&amp;R Registration Rights Agreement”); (iv) 1,000,000 shares of Common Stock that may be issued upon exercise of the 2024 WTI Warrants (as defined herein); (v) up to 8,480,518 shares of Common Stock that were issued and may be issued upon conversion of Series C Preferred Stock (as defined herein); (vi) 300,000 shares of Common Stock that may be issued upon exercise of the 2025 WTI Warrants (as defined herein); (vii) up to 3,250,470 shares of Common Stock issued and issuable pursuant to the terms of those certain subscription agreements (the “Subscription Agreements”), dated as of October 3, 2025, entered into with certain institutions and accredited investors (the “Subscribers”), consisting of (a) 1,625,235 shares of Common Stock issued to the Subscribers and</w:t>
      </w:r>
    </w:p>
    <w:p>
      <w:pPr>
        <w:spacing w:after="0" w:line="5" w:lineRule="exact"/>
        <w:rPr>
          <w:rFonts w:ascii="Times New Roman" w:cs="Times New Roman" w:eastAsia="Times New Roman" w:hAnsi="Times New Roman"/>
          <w:sz w:val="18"/>
          <w:szCs w:val="18"/>
          <w:color w:val="auto"/>
        </w:rPr>
      </w:pPr>
    </w:p>
    <w:p>
      <w:pPr>
        <w:ind w:left="300" w:right="319" w:hanging="8"/>
        <w:spacing w:after="0" w:line="251" w:lineRule="auto"/>
        <w:tabs>
          <w:tab w:leader="none" w:pos="5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1,625,235 shares that may be issued upon exercise of the Series A Warrants (as defined herein) held by the Subscribers, in each case registered for resale by the selling securityholders identified in the prospectus herein; and (viii) 65,000 shares of Common Stock that were issued upon conversion of convertible debentures (the “Convertible Debentures”) issued to Yorkville pursuant to the Securities Purchase Agreement (as defined below); and (y) up to 18,386,688 shares of Common Stock issuable by the Registrant upon the exercise of the Innventure Warrants (as defined herein); and (B) the registration of (i) 2,333,334 additional shares of Common Stock that may be issued upon the exercise of the 2024 WTI Warrants and (ii) 700,000 additional shares of Common Stock that may be issued upon the exercise of the 2025 WTI Warrants for resale by the selling securityholders identified in the prospectus herein.</w:t>
      </w:r>
    </w:p>
    <w:p>
      <w:pPr>
        <w:spacing w:after="0" w:line="8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Registration Statement is also being filed to convert the Prior Registration Statements into a registration statement on Form S-3. Pursuant to Rule 429 under the Securities Act, this Registration Statement, upon effectiveness, will serve as a post-effective amendment (“Post-Effective Amendment”) to (i) the registration statement on Form S-1 (File No. 333-282971), which was originally filed by the Registrant with the SEC on November 4, 2024, declared effective on November 12, 2024, subsequently amended on a post-effective basis on April 15, 2025 and declared effective on April 23, 2025 (“Registration Statement I”); (ii) the registration statement on Form S-1 (File No. 333-286558), which was originally filed by the Registrant with the SEC on April 15, 2025 and declared effective on April 23, 2025 (“Registration Statement II”); and (iii) the registration statement on Form S-1 (File No. 333-291034), which was originally filed by the Registrant with the SEC on October 23, 2025 and became effective on November 12, 2025 (“Registration Statement III” and, together with Registration Statement I and Registration Statement II, the “Prior Registration Statements”) with respect to the offerings of certain unsold securities thereunder, which are not currently being terminated by the Company. Such Post-Effective Amendment shall hereafter become effective concurrently with the effectiveness of this Registration Statement in accordance with Section 8(c) of the Securities Act. The Registrant previously paid a registration fee of $23,233.52 in connection with the filing of Registration Statement I, a fee of $8,275.16 in connection with the filing of Registration Statement II, a fee of $11,177.02 in connection with the filing of Registration Statement III, and a fee of $31,649.72 in connection with the filing of the registration statement on Form S-4 (File No. 333-276714), originally declared effective by the SEC on September 10, 2024, each relating to the currently registered and unsold securities that are included in this Registration Statement in accordance with Rule 429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167005</wp:posOffset>
            </wp:positionV>
            <wp:extent cx="1097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295910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110490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8" w:right="60"/>
        <w:spacing w:after="0" w:line="250"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6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FC0014"/>
        </w:rPr>
        <w:t>SUBJECT TO COMPLETION, DATED APRIL 1, 2026</w:t>
      </w:r>
    </w:p>
    <w:p>
      <w:pPr>
        <w:spacing w:after="0" w:line="1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FC0014"/>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2023110</wp:posOffset>
            </wp:positionH>
            <wp:positionV relativeFrom="paragraph">
              <wp:posOffset>80010</wp:posOffset>
            </wp:positionV>
            <wp:extent cx="1988820"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88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1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3"/>
          <w:szCs w:val="23"/>
          <w:b w:val="1"/>
          <w:bCs w:val="1"/>
          <w:color w:val="auto"/>
        </w:rPr>
        <w:t>59,678,407 Shares of Common Stock</w:t>
      </w:r>
    </w:p>
    <w:p>
      <w:pPr>
        <w:spacing w:after="0" w:line="101" w:lineRule="exact"/>
        <w:rPr>
          <w:sz w:val="20"/>
          <w:szCs w:val="20"/>
          <w:color w:val="auto"/>
        </w:rPr>
      </w:pPr>
    </w:p>
    <w:p>
      <w:pPr>
        <w:ind w:left="8" w:right="20" w:firstLine="360"/>
        <w:spacing w:after="0" w:line="251" w:lineRule="auto"/>
        <w:rPr>
          <w:sz w:val="20"/>
          <w:szCs w:val="20"/>
          <w:color w:val="auto"/>
        </w:rPr>
      </w:pPr>
      <w:r>
        <w:rPr>
          <w:rFonts w:ascii="Times New Roman" w:cs="Times New Roman" w:eastAsia="Times New Roman" w:hAnsi="Times New Roman"/>
          <w:sz w:val="17"/>
          <w:szCs w:val="17"/>
          <w:color w:val="auto"/>
        </w:rPr>
        <w:t>This prospectus relates to the issuance by Innventure, Inc., a Delaware corporation, of up to an aggregate of 18,386,688 shares of Common Stock issuable upon the exercise of warrants to purchase shares of Common Stock, at an exercise price of $11.50 per share, which were converted from Learn CW Warrants (as defined in this prospectus) in connection with the Business Combination (as defined herein) (the “Innventure Warrants”). We will receive the proceeds from any exercise of any Innventure Warrants for cash, which amount of aggregate proceeds, assuming the cash exercise of all Innventure Warrants, would be $214.4 million. To the extent the Innventure Warrants are exercised on a cashless basis, we will not receive any proceeds in connection with such exercise. We believe the likelihood that warrant holders will exercise their Innventure Warrants, and therefore the amount of cash proceeds that we would receive, is dependent upon the market price of our Common Stock. If the Innventure Warrants are “out of the money,” meaning the exercise price is higher than the market price of our Common Stock, the holders thereof are not likely to exercise such Innventure Warrants.</w:t>
      </w:r>
    </w:p>
    <w:p>
      <w:pPr>
        <w:spacing w:after="0" w:line="96" w:lineRule="exact"/>
        <w:rPr>
          <w:sz w:val="20"/>
          <w:szCs w:val="20"/>
          <w:color w:val="auto"/>
        </w:rPr>
      </w:pPr>
    </w:p>
    <w:p>
      <w:pPr>
        <w:ind w:left="8" w:firstLine="360"/>
        <w:spacing w:after="0" w:line="266" w:lineRule="auto"/>
        <w:rPr>
          <w:sz w:val="20"/>
          <w:szCs w:val="20"/>
          <w:color w:val="auto"/>
        </w:rPr>
      </w:pPr>
      <w:r>
        <w:rPr>
          <w:rFonts w:ascii="Times New Roman" w:cs="Times New Roman" w:eastAsia="Times New Roman" w:hAnsi="Times New Roman"/>
          <w:sz w:val="17"/>
          <w:szCs w:val="17"/>
          <w:color w:val="auto"/>
        </w:rPr>
        <w:t>This prospectus also relates to the offer and sale from time to time by the selling securityholders named in this prospectus (each a “Selling Stockholder” and, collectively, the “Selling Stockholders”), or their permitted transferees, of up to 41,291,719 shares of Common Stock. The shares of Common Stock to which this prospectus relates consist of (i) up to 3,260,175 shares of Common Stock that were issued and may be issued upon conversion of the Series B Preferred Stock; (ii) up to 16,244,741 shares that we may issue and sell to Yorkville from time to time pursuant to the SEPA, subject to the ownership limitations described therein; (iii) 5,657,481 shares of Common Stock held by certain stockholders party to the A&amp;R Registration Rights Agreement; (iv) 3,333,334 shares of Common Stock that may be issued upon exercise of warrants (the “2024 WTI Warrants”) to purchase Common Stock held by WTI Fund X, LLC and WTI Fund XI, LLC (together, the “WTI Holders”); (v) up to 8,480,518 shares of Common Stock that were issued and may be issued upon conversion of Series C Preferred Stock; (vi) up to 1,000,000 shares of Common Stock that may be issued upon exercise of warrants (the “2025 WTI Warrants”) to purchase Common Stock held by the WTI Holders; (vii) up to 3,250,470 shares of Common Stock issued and issuable pursuant to the terms of the Subscription Agreements entered into with the Subscribers, consisting of</w:t>
      </w:r>
    </w:p>
    <w:p>
      <w:pPr>
        <w:spacing w:after="0" w:line="4" w:lineRule="exact"/>
        <w:rPr>
          <w:sz w:val="20"/>
          <w:szCs w:val="20"/>
          <w:color w:val="auto"/>
        </w:rPr>
      </w:pPr>
    </w:p>
    <w:p>
      <w:pPr>
        <w:ind w:left="8" w:right="60" w:hanging="8"/>
        <w:spacing w:after="0" w:line="271" w:lineRule="auto"/>
        <w:tabs>
          <w:tab w:leader="none" w:pos="2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1,625,235 shares of Common Stock issued to the Subscribers and (b) 1,625,235 shares that may be issued upon exercise of warrants (the “Series A Warrants”) to purchase Common Stock held by the Subscribers; and (viii) 65,000 shares of Common Stock that were issued upon conversion of the Convertible Debentures issued to Yorkville pursuant to the securities purchase agreement, dated September 15, 2025 (the “Securities Purchase Agreement”), entered into with Yorkville. For more information on the Selling Stockholders, see the section entitled “Selling Stockholders.”</w:t>
      </w:r>
    </w:p>
    <w:p>
      <w:pPr>
        <w:spacing w:after="0" w:line="73" w:lineRule="exact"/>
        <w:rPr>
          <w:sz w:val="20"/>
          <w:szCs w:val="20"/>
          <w:color w:val="auto"/>
        </w:rPr>
      </w:pPr>
    </w:p>
    <w:p>
      <w:pPr>
        <w:ind w:left="8" w:right="60" w:firstLine="360"/>
        <w:spacing w:after="0" w:line="268" w:lineRule="auto"/>
        <w:rPr>
          <w:sz w:val="20"/>
          <w:szCs w:val="20"/>
          <w:color w:val="auto"/>
        </w:rPr>
      </w:pPr>
      <w:r>
        <w:rPr>
          <w:rFonts w:ascii="Times New Roman" w:cs="Times New Roman" w:eastAsia="Times New Roman" w:hAnsi="Times New Roman"/>
          <w:sz w:val="17"/>
          <w:szCs w:val="17"/>
          <w:color w:val="auto"/>
        </w:rPr>
        <w:t>The Selling Stockholders may offer, sell or distribute all or a portion of the securities hereby registered publicly or through private transactions at prevailing market prices, prices related to prevailing market prices or at negotiated prices. We will not receive any of the proceeds from such sales of the shares of our Common Stock by the Selling Stockholders. However, we may receive (i) up to the remaining approximately $66.6 million in aggregate gross proceeds from sales of shares of Common Stock to Yorkville pursuant to the SEPA, from time to time after the date of the Registration Statement that includes this prospectus and subject to the satisfaction of certain conditions in the SEPA, (ii) up to approximately $13.0 million of proceeds assuming the exercise of all Series A Warrants for cash, and (iii) de minimis gross proceeds upon exercise of the 2024 WTI Warrants and the 2025 WTI Warrants for cash. To the extent the Series A Warrants are exercised on a cashless basis, we will not receive any proceeds in connection with such exercise. We believe the likelihood that warrant holders will exercise their Series A Warrants, and therefore the amount of cash proceeds that we would receive, is dependent upon the market price of our Common Stock. If the Series A Warrants are “out of the money,” meaning the exercise price is higher than the market price of our Common Stock, the holders thereof are not likely to exercise such Series A Warrants. We will bear all costs, expenses and fees in connection with the registration of our Common Stock. The Selling Stockholders will bear all commissions, discounts and certain other limited expenses, if any, attributable to their respective sales of our Common Stock.</w:t>
      </w:r>
    </w:p>
    <w:p>
      <w:pPr>
        <w:spacing w:after="0" w:line="294" w:lineRule="exact"/>
        <w:rPr>
          <w:sz w:val="20"/>
          <w:szCs w:val="20"/>
          <w:color w:val="auto"/>
        </w:rPr>
      </w:pPr>
    </w:p>
    <w:p>
      <w:pPr>
        <w:ind w:left="8" w:right="20" w:firstLine="360"/>
        <w:spacing w:after="0" w:line="278" w:lineRule="auto"/>
        <w:rPr>
          <w:sz w:val="20"/>
          <w:szCs w:val="20"/>
          <w:color w:val="auto"/>
        </w:rPr>
      </w:pPr>
      <w:r>
        <w:rPr>
          <w:rFonts w:ascii="Times New Roman" w:cs="Times New Roman" w:eastAsia="Times New Roman" w:hAnsi="Times New Roman"/>
          <w:sz w:val="17"/>
          <w:szCs w:val="17"/>
          <w:color w:val="auto"/>
        </w:rPr>
        <w:t>Our registration of the securities covered by this prospectus does not mean that either we or the Selling Stockholders will issue, offer or sell, as applicable, any of the securities. The Selling Stockholders may offer and sell the securities covered by this prospectus in a number of different ways and at varying prices. We provide more information about how the Selling Stockholders may sell the shares in the section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pacing w:after="0" w:line="66" w:lineRule="exact"/>
        <w:rPr>
          <w:sz w:val="20"/>
          <w:szCs w:val="20"/>
          <w:color w:val="auto"/>
        </w:rPr>
      </w:pPr>
    </w:p>
    <w:p>
      <w:pPr>
        <w:ind w:left="8" w:right="660" w:firstLine="360"/>
        <w:spacing w:after="0" w:line="304" w:lineRule="auto"/>
        <w:rPr>
          <w:sz w:val="20"/>
          <w:szCs w:val="20"/>
          <w:color w:val="auto"/>
        </w:rPr>
      </w:pPr>
      <w:r>
        <w:rPr>
          <w:rFonts w:ascii="Times New Roman" w:cs="Times New Roman" w:eastAsia="Times New Roman" w:hAnsi="Times New Roman"/>
          <w:sz w:val="17"/>
          <w:szCs w:val="17"/>
          <w:color w:val="auto"/>
        </w:rPr>
        <w:t>You should carefully read this prospectus and any accompanying prospectus supplement, together with the documents we incorporate by reference, before you invest in our Common Stock.</w:t>
      </w:r>
    </w:p>
    <w:p>
      <w:pPr>
        <w:spacing w:after="0" w:line="45" w:lineRule="exact"/>
        <w:rPr>
          <w:sz w:val="20"/>
          <w:szCs w:val="20"/>
          <w:color w:val="auto"/>
        </w:rPr>
      </w:pPr>
    </w:p>
    <w:p>
      <w:pPr>
        <w:ind w:left="8" w:right="240" w:firstLine="360"/>
        <w:spacing w:after="0" w:line="304" w:lineRule="auto"/>
        <w:rPr>
          <w:sz w:val="20"/>
          <w:szCs w:val="20"/>
          <w:color w:val="auto"/>
        </w:rPr>
      </w:pPr>
      <w:r>
        <w:rPr>
          <w:rFonts w:ascii="Times New Roman" w:cs="Times New Roman" w:eastAsia="Times New Roman" w:hAnsi="Times New Roman"/>
          <w:sz w:val="17"/>
          <w:szCs w:val="17"/>
          <w:color w:val="auto"/>
        </w:rPr>
        <w:t>Our Common Stock is listed on the Nasdaq Global Market (“NASDAQ”) under the symbol “INV.” On March 31, 2026, the last reported sales price of our Common Stock was $3.91 per share.</w:t>
      </w:r>
    </w:p>
    <w:p>
      <w:pPr>
        <w:spacing w:after="0" w:line="43" w:lineRule="exact"/>
        <w:rPr>
          <w:sz w:val="20"/>
          <w:szCs w:val="20"/>
          <w:color w:val="auto"/>
        </w:rPr>
      </w:pPr>
    </w:p>
    <w:p>
      <w:pPr>
        <w:ind w:left="8" w:right="460" w:firstLine="360"/>
        <w:spacing w:after="0" w:line="306" w:lineRule="auto"/>
        <w:rPr>
          <w:sz w:val="20"/>
          <w:szCs w:val="20"/>
          <w:color w:val="auto"/>
        </w:rPr>
      </w:pPr>
      <w:r>
        <w:rPr>
          <w:rFonts w:ascii="Times New Roman" w:cs="Times New Roman" w:eastAsia="Times New Roman" w:hAnsi="Times New Roman"/>
          <w:sz w:val="17"/>
          <w:szCs w:val="17"/>
          <w:b w:val="1"/>
          <w:bCs w:val="1"/>
          <w:color w:val="auto"/>
        </w:rPr>
        <w:t>We are an “emerging growth company” as defined under the U.S. federal securities laws and, as such, have elected to comply with certain reduced public company reporting requirements.</w:t>
      </w:r>
    </w:p>
    <w:p>
      <w:pPr>
        <w:spacing w:after="0" w:line="42" w:lineRule="exact"/>
        <w:rPr>
          <w:sz w:val="20"/>
          <w:szCs w:val="20"/>
          <w:color w:val="auto"/>
        </w:rPr>
      </w:pPr>
    </w:p>
    <w:p>
      <w:pPr>
        <w:ind w:left="8" w:right="200" w:firstLine="36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Investing in our Common Stock is highly speculative and involves a high degree of risk. See “Risk Factors” beginning on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of this prospectus and any risk factors described in any applicable prospectus supplement and in the documents we incorporate by reference.</w:t>
      </w:r>
    </w:p>
    <w:p>
      <w:pPr>
        <w:spacing w:after="0" w:line="57" w:lineRule="exact"/>
        <w:rPr>
          <w:sz w:val="20"/>
          <w:szCs w:val="20"/>
          <w:color w:val="auto"/>
        </w:rPr>
      </w:pPr>
    </w:p>
    <w:p>
      <w:pPr>
        <w:ind w:left="8" w:right="240" w:firstLine="360"/>
        <w:spacing w:after="0" w:line="306"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passed upon the accuracy or adequacy of this prospectus. Any representation to the contrary is a criminal offense.</w:t>
      </w:r>
    </w:p>
    <w:p>
      <w:pPr>
        <w:sectPr>
          <w:pgSz w:w="11900" w:h="16955" w:orient="portrait"/>
          <w:cols w:equalWidth="0" w:num="1">
            <w:col w:w="9508"/>
          </w:cols>
          <w:pgMar w:left="1192" w:top="263" w:right="1199" w:bottom="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tbl>
      <w:tblPr>
        <w:tblLayout w:type="fixed"/>
        <w:tblInd w:w="300" w:type="dxa"/>
        <w:tblCellMar>
          <w:top w:w="0" w:type="dxa"/>
          <w:left w:w="0" w:type="dxa"/>
          <w:bottom w:w="0" w:type="dxa"/>
          <w:right w:w="0" w:type="dxa"/>
        </w:tblCellMar>
      </w:tblPr>
      <w:tr>
        <w:trPr>
          <w:trHeight w:val="161"/>
        </w:trPr>
        <w:tc>
          <w:tcPr>
            <w:tcW w:w="776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182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940" w:type="dxa"/>
            <w:vAlign w:val="bottom"/>
            <w:tcBorders>
              <w:bottom w:val="single" w:sz="8" w:color="CCEEFF"/>
            </w:tcBorders>
            <w:gridSpan w:val="9"/>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EE"/>
              </w:rPr>
              <w:t>i</w:t>
            </w:r>
          </w:p>
        </w:tc>
      </w:tr>
      <w:tr>
        <w:trPr>
          <w:trHeight w:val="189"/>
        </w:trPr>
        <w:tc>
          <w:tcPr>
            <w:tcW w:w="77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ABOUT THIS PROSPECTUS</w:t>
            </w: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ii</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8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5680" w:type="dxa"/>
            <w:vAlign w:val="bottom"/>
            <w:tcBorders>
              <w:bottom w:val="single" w:sz="8" w:color="CCEEFF"/>
            </w:tcBorders>
            <w:gridSpan w:val="7"/>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340" w:type="dxa"/>
            <w:vAlign w:val="bottom"/>
            <w:tcBorders>
              <w:bottom w:val="single" w:sz="8" w:color="0000EE"/>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14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gridSpan w:val="3"/>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60" w:type="dxa"/>
            <w:vAlign w:val="bottom"/>
            <w:gridSpan w:val="4"/>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12</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5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526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17</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60" w:type="dxa"/>
            <w:vAlign w:val="bottom"/>
            <w:gridSpan w:val="4"/>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24</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720" w:type="dxa"/>
            <w:vAlign w:val="bottom"/>
            <w:gridSpan w:val="8"/>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26</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0" w:type="dxa"/>
            <w:vAlign w:val="bottom"/>
            <w:gridSpan w:val="4"/>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26</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60" w:type="dxa"/>
            <w:vAlign w:val="bottom"/>
            <w:gridSpan w:val="4"/>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27</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90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60" w:type="dxa"/>
            <w:vAlign w:val="bottom"/>
            <w:gridSpan w:val="4"/>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28</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90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Under this shelf registration process, we and the Selling Stockholders may, from time to time, issue, offer and sell, as applicable, any combination of the securities described in this prospectus in one or more offerings. We may use the shelf registration statement to issue 18,386,688 shares of Common Stock issuable upon the exercise of the Innventure Warrants. The Selling Stockholders may use the shelf registration statement to sell up to an aggregate of up to 41,291,719 shares of Common Stock from time to time through any means described in the section entitled “Plan of Distribution.” More specific terms of any securities that the Selling Stockholders offer and sell may be provided in a prospectus supplement that describes, among other things, the specific amounts and prices of the shares of Common Stock being offered and the terms of the offering.</w:t>
      </w:r>
    </w:p>
    <w:p>
      <w:pPr>
        <w:spacing w:after="0" w:line="80"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sale by us or the Selling Stockholders of the securities offered by us or them described in this prospectus, except with respect to (i) up to approximately $211.4 million of proceeds assuming the exercise of all Innventure Warrants for cash; (ii) up to the remaining approximately $66.6 million in aggregate gross proceeds from sales of shares of Common Stock to Yorkville pursuant to the SEPA, from time to time after the date of the Registration Statement that includes this prospectus and subject to the satisfaction of certain conditions in the SEPA; (iii) up to $13.0 million of proceeds assuming the exercise of all Series A Warrants for cash; and (iv) de minimis gross proceeds upon the exercise of the 2024 WTI Warrants and the 2025 WTI Warrants for cash.</w:t>
      </w:r>
    </w:p>
    <w:p>
      <w:pPr>
        <w:spacing w:after="0" w:line="84"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75" w:lineRule="exact"/>
        <w:rPr>
          <w:sz w:val="20"/>
          <w:szCs w:val="20"/>
          <w:color w:val="auto"/>
        </w:rPr>
      </w:pPr>
    </w:p>
    <w:p>
      <w:pPr>
        <w:ind w:left="300" w:right="419" w:firstLine="360"/>
        <w:spacing w:after="0" w:line="25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applicable prospectus supplement or any related free writing prospectus. We and the Selling Stockholders have not authorized anyone to provide any information or to make any representations other than those contained in this prospectus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related free writing prospectus. This prospectus and any accompanying prospectus supplement is not an offer to sell securities, and it is not soliciting an offer to buy securities, in any jurisdiction where the offer or sale is not permitted. You should assume that the information appearing in this prospectus or any applicable prospectus supplement is accurate only as of the date on the front cover of such document, regardless of the time of delivery of this prospectus or time of any sale of a security.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In this prospectus, we rely on and refer to information and statistics regarding our industry. We obtained this statistical, market and other industry data and forecasts from publicly available information. While we believe that the statistical data, market data and other industry data and forecasts are reliable, we have not independently verified the data.</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October 2, 2024 (the “Closing Date” or “Closing”),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LCW Merger Sub merged with and into Learn CW (the “LCW Merger”), with Learn CW as the surviving company of the LCW Merger, and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Innventure Merger Sub merged with and into Innventure LLC (the “Innventure Merger” and, together with the LCW Merger, the “Mergers”), with Innventure LLC as the surviving entity of the Innventure Merger. Following the Mergers, each of Learn CW and Innventure LLC became subsidiaries of Holdco, and Holdco became a publicly traded company. At the Closing, Holdco changed its name to “Innventure, Inc.” Innventure, Inc.’s Common Stock is listed on NASDAQ under the symbol “INV”.</w:t>
      </w:r>
    </w:p>
    <w:p>
      <w:pPr>
        <w:spacing w:after="0" w:line="75" w:lineRule="exact"/>
        <w:rPr>
          <w:sz w:val="20"/>
          <w:szCs w:val="20"/>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“Innventure,” “Holdco,” “we,” “us,” “our” and similar terms refer to Innventure, Inc. (f/k/a Learn SPAC HoldCo, Inc.) and its consolidated subsidiaries. References to “Learn CW” refer to Learn CW Investment Corporation.</w:t>
      </w:r>
    </w:p>
    <w:p>
      <w:pPr>
        <w:spacing w:after="0" w:line="68" w:lineRule="exact"/>
        <w:rPr>
          <w:sz w:val="20"/>
          <w:szCs w:val="20"/>
          <w:color w:val="auto"/>
        </w:rPr>
      </w:pPr>
    </w:p>
    <w:p>
      <w:pPr>
        <w:ind w:left="300" w:right="519" w:firstLine="360"/>
        <w:spacing w:after="0" w:line="312" w:lineRule="auto"/>
        <w:rPr>
          <w:sz w:val="20"/>
          <w:szCs w:val="20"/>
          <w:color w:val="auto"/>
        </w:rPr>
      </w:pPr>
      <w:r>
        <w:rPr>
          <w:rFonts w:ascii="Times New Roman" w:cs="Times New Roman" w:eastAsia="Times New Roman" w:hAnsi="Times New Roman"/>
          <w:sz w:val="17"/>
          <w:szCs w:val="17"/>
          <w:color w:val="auto"/>
        </w:rPr>
        <w:t>This prospectus includes trademarks, service marks and trade names owned by us or other companies. All trademarks, service marks and trade names included in this prospectus are the property of their respective owners.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0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ind w:left="320" w:right="299" w:firstLine="3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This summary highlights selected information from this prospectus and does not contain all of the information that you should consider before investing in shares of Common Stock, and it is qualified in its entirety by, and should be read in conjunction with, the more detailed information appearing elsewhere in this prospectus. Before you decide to invest in Common Stock, you should read the entire prospectus carefully, including the section entitled “Risk Factors” beginning on page </w:t>
      </w:r>
      <w:r>
        <w:rPr>
          <w:rFonts w:ascii="Times New Roman" w:cs="Times New Roman" w:eastAsia="Times New Roman" w:hAnsi="Times New Roman"/>
          <w:sz w:val="17"/>
          <w:szCs w:val="17"/>
          <w:i w:val="1"/>
          <w:iCs w:val="1"/>
          <w:u w:val="single" w:color="auto"/>
          <w:color w:val="0000EE"/>
        </w:rPr>
        <w:t>8</w:t>
      </w:r>
      <w:r>
        <w:rPr>
          <w:rFonts w:ascii="Times New Roman" w:cs="Times New Roman" w:eastAsia="Times New Roman" w:hAnsi="Times New Roman"/>
          <w:sz w:val="17"/>
          <w:szCs w:val="17"/>
          <w:i w:val="1"/>
          <w:iCs w:val="1"/>
          <w:color w:val="auto"/>
        </w:rPr>
        <w:t xml:space="preserve"> and the financial statements and related notes included in this prospectus.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20" w:right="339" w:firstLine="360"/>
        <w:spacing w:after="0" w:line="252" w:lineRule="auto"/>
        <w:rPr>
          <w:sz w:val="20"/>
          <w:szCs w:val="20"/>
          <w:color w:val="auto"/>
        </w:rPr>
      </w:pPr>
      <w:r>
        <w:rPr>
          <w:rFonts w:ascii="Times New Roman" w:cs="Times New Roman" w:eastAsia="Times New Roman" w:hAnsi="Times New Roman"/>
          <w:sz w:val="18"/>
          <w:szCs w:val="18"/>
          <w:color w:val="auto"/>
        </w:rPr>
        <w:t>Innventure is an industrial growth conglomerate that founds, funds, and operates companies with a focus on commercializing transformative, sustainable technology solutions acquired or licensed from technology innovators, which are typically multinational corporations (“MNCs”), with the intent to maximize value for investors and other stakeholders through positive cash flow generated through long-term ownership of our Innventure Companies (as defined below). In connection with the founding of a new company, we look to establish a collaborative relationship with at least one MNC that (1) has expressed a need for, and an interest in using or distributing, the specific technology that we intend to commercialize and (2) that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that have advanced beyond proof of concept from evaluation to scaled commercialization utilizing an approach designed to help mitigate risk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w:t>
      </w:r>
    </w:p>
    <w:p>
      <w:pPr>
        <w:spacing w:after="0" w:line="89"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Innventure has launched four such companies since its inception: PureCycle Technologies, Inc. (“PureCycle” or “PCT”) in late 2015 (NASDAQ: PCT, technology initially sourced from The Procter &amp; Gamble Company (“P&amp;G”)), AeroFlexx, LLC (“AeroFlexx” or “AFX”) in 2018 (technology sourced from P&amp;G), Accelsius Holdings LLC (“Accelsius” or “ACC”) in 2022 (technology initially sourced from Nokia Corporation (“Nokia”)), and Refinity Olefins, LLC (“Refinity”) in 2024 (technology initially sourced from the VTT Technical Research Centre of Finland (“VTT”); collaboration agreement with The Dow Chemical Company (“Dow”) signed). PureCycle became a publicly traded company in 2021 and, as of the date of this prospectus, Innventure no longer has an economic interest in PureCycle. We refer to AeroFlexx, Accelsius, Refinity and all future operating subsidiary companies that we found, fund, and operate going forward as the “Innventure Companies.”</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320" w:right="379" w:firstLine="360"/>
        <w:spacing w:after="0" w:line="255" w:lineRule="auto"/>
        <w:rPr>
          <w:sz w:val="20"/>
          <w:szCs w:val="20"/>
          <w:color w:val="auto"/>
        </w:rPr>
      </w:pPr>
      <w:r>
        <w:rPr>
          <w:rFonts w:ascii="Times New Roman" w:cs="Times New Roman" w:eastAsia="Times New Roman" w:hAnsi="Times New Roman"/>
          <w:sz w:val="18"/>
          <w:szCs w:val="18"/>
          <w:color w:val="auto"/>
        </w:rPr>
        <w:t>On the Closing Date, Learn CW and Innventure LLC consummated the Business Combination pursuant to the terms of the Business Combination Agreement previously entered into on October 24, 2023 (the “Business Combination Agreement”). Following the Closing, both Learn CW and Innventure LLC became subsidiaries of Holdco, and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Concurrently with the parties entering into the Business Combination Agreement, the Company entered into the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SEPA with Yorkville. Pursuant to the SEPA and subject to certain conditions and limitations, the Company has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option, but not the obligation, to sell to Yorkville, and Yorkville must subscribe for, an aggregate amount of up to</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$75.0 million of Common Stock, at the Company’s request any time during the commitment period commencing 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Closing Date and continuing for a term of three years.</w:t>
      </w:r>
    </w:p>
    <w:p>
      <w:pPr>
        <w:spacing w:after="0" w:line="99" w:lineRule="exact"/>
        <w:rPr>
          <w:sz w:val="20"/>
          <w:szCs w:val="20"/>
          <w:color w:val="auto"/>
        </w:rPr>
      </w:pPr>
    </w:p>
    <w:p>
      <w:pPr>
        <w:ind w:left="320" w:right="359" w:firstLine="360"/>
        <w:spacing w:after="0" w:line="282" w:lineRule="auto"/>
        <w:rPr>
          <w:sz w:val="20"/>
          <w:szCs w:val="20"/>
          <w:color w:val="auto"/>
        </w:rPr>
      </w:pPr>
      <w:r>
        <w:rPr>
          <w:rFonts w:ascii="Times New Roman" w:cs="Times New Roman" w:eastAsia="Times New Roman" w:hAnsi="Times New Roman"/>
          <w:sz w:val="18"/>
          <w:szCs w:val="18"/>
          <w:color w:val="auto"/>
        </w:rPr>
        <w:t>The Company agreed, and paid, to YA Global II SPV, LLC, a subsidiary of Yorkville (i) a structuring fee in the amount of $25,000 and (ii) commitment fee in an amount equal to $375,000 (the “Commitment Fee”).</w:t>
      </w:r>
    </w:p>
    <w:p>
      <w:pPr>
        <w:spacing w:after="0" w:line="54" w:lineRule="exact"/>
        <w:rPr>
          <w:sz w:val="20"/>
          <w:szCs w:val="20"/>
          <w:color w:val="auto"/>
        </w:rPr>
      </w:pPr>
    </w:p>
    <w:p>
      <w:pPr>
        <w:ind w:left="320" w:right="379" w:firstLine="360"/>
        <w:spacing w:after="0" w:line="312" w:lineRule="auto"/>
        <w:rPr>
          <w:sz w:val="20"/>
          <w:szCs w:val="20"/>
          <w:color w:val="auto"/>
        </w:rPr>
      </w:pPr>
      <w:r>
        <w:rPr>
          <w:rFonts w:ascii="Times New Roman" w:cs="Times New Roman" w:eastAsia="Times New Roman" w:hAnsi="Times New Roman"/>
          <w:sz w:val="17"/>
          <w:szCs w:val="17"/>
          <w:color w:val="auto"/>
        </w:rPr>
        <w:t>Each advance the Company issues in writing to Yorkville under the SEPA (each, an “Advance,” and notice of such request, an “Advance Notice”) may be in an amount of Common Stock up to the greater of (i) $10.0 million or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30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59" w:hanging="10"/>
        <w:spacing w:after="0" w:line="273" w:lineRule="auto"/>
        <w:tabs>
          <w:tab w:leader="none" w:pos="58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daily trading volume of Common Stock for the five trading days prior to the Company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As discussed below, the Company may establish a minimum acceptable price in each Advance Notice below which the Company will not be obligated to make any sales to Yorkville.</w:t>
      </w:r>
    </w:p>
    <w:p>
      <w:pPr>
        <w:spacing w:after="0" w:line="63" w:lineRule="exact"/>
        <w:rPr>
          <w:sz w:val="20"/>
          <w:szCs w:val="20"/>
          <w:color w:val="auto"/>
        </w:rPr>
      </w:pPr>
    </w:p>
    <w:p>
      <w:pPr>
        <w:ind w:left="320" w:right="1039" w:firstLine="360"/>
        <w:spacing w:after="0" w:line="282"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and conditions, depending on selections set forth in the applicable Advance, including the following:</w:t>
      </w:r>
    </w:p>
    <w:p>
      <w:pPr>
        <w:spacing w:after="0" w:line="52" w:lineRule="exact"/>
        <w:rPr>
          <w:sz w:val="20"/>
          <w:szCs w:val="20"/>
          <w:color w:val="auto"/>
        </w:rPr>
      </w:pPr>
    </w:p>
    <w:p>
      <w:pPr>
        <w:jc w:val="both"/>
        <w:ind w:left="1020" w:right="479" w:hanging="350"/>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Limitation</w:t>
      </w:r>
      <w:r>
        <w:rPr>
          <w:rFonts w:ascii="Times New Roman" w:cs="Times New Roman" w:eastAsia="Times New Roman" w:hAnsi="Times New Roman"/>
          <w:sz w:val="18"/>
          <w:szCs w:val="18"/>
          <w:color w:val="auto"/>
        </w:rPr>
        <w:t>: Yorkville shall not purchase or acquire any shares of Common Stock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SEPA that would result in it and its affiliates (on an aggregated basis) beneficially owning more than 9.99% of the then outstanding voting power or number of shares of Common Stock;</w:t>
      </w:r>
    </w:p>
    <w:p>
      <w:pPr>
        <w:spacing w:after="0" w:line="65" w:lineRule="exact"/>
        <w:rPr>
          <w:rFonts w:ascii="Times New Roman" w:cs="Times New Roman" w:eastAsia="Times New Roman" w:hAnsi="Times New Roman"/>
          <w:sz w:val="18"/>
          <w:szCs w:val="18"/>
          <w:color w:val="auto"/>
        </w:rPr>
      </w:pPr>
    </w:p>
    <w:p>
      <w:pPr>
        <w:jc w:val="both"/>
        <w:ind w:left="1020" w:right="619" w:hanging="350"/>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Limitation</w:t>
      </w:r>
      <w:r>
        <w:rPr>
          <w:rFonts w:ascii="Times New Roman" w:cs="Times New Roman" w:eastAsia="Times New Roman" w:hAnsi="Times New Roman"/>
          <w:sz w:val="18"/>
          <w:szCs w:val="18"/>
          <w:color w:val="auto"/>
        </w:rPr>
        <w:t>: In no event shall an Advance exceed the amount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under an effective registration statement that provides for the resale from time to time of the shares of Common Stock sold pursuant the SEPA;</w:t>
      </w:r>
    </w:p>
    <w:p>
      <w:pPr>
        <w:spacing w:after="0" w:line="65" w:lineRule="exact"/>
        <w:rPr>
          <w:rFonts w:ascii="Times New Roman" w:cs="Times New Roman" w:eastAsia="Times New Roman" w:hAnsi="Times New Roman"/>
          <w:sz w:val="18"/>
          <w:szCs w:val="18"/>
          <w:color w:val="auto"/>
        </w:rPr>
      </w:pPr>
    </w:p>
    <w:p>
      <w:pPr>
        <w:ind w:left="1020" w:right="359" w:hanging="350"/>
        <w:spacing w:after="0" w:line="25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Volume Limitation</w:t>
      </w:r>
      <w:r>
        <w:rPr>
          <w:rFonts w:ascii="Times New Roman" w:cs="Times New Roman" w:eastAsia="Times New Roman" w:hAnsi="Times New Roman"/>
          <w:sz w:val="18"/>
          <w:szCs w:val="18"/>
          <w:color w:val="auto"/>
        </w:rPr>
        <w:t>: In certain instances, if the total number of Common Stock traded on NASDAQ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period is less than a specified threshold, then the number of shares issued and sold by the Company under the Advance will be limited to the greater of (a) 35% of the trading volume during the applicable period or (b) the number of shares of Common Stock sold by Yorkville during the applicable period (in each case not to exceed the amount specified in the Advance and the other limitations under the SEPA); and</w:t>
      </w:r>
    </w:p>
    <w:p>
      <w:pPr>
        <w:spacing w:after="0" w:line="74" w:lineRule="exact"/>
        <w:rPr>
          <w:rFonts w:ascii="Times New Roman" w:cs="Times New Roman" w:eastAsia="Times New Roman" w:hAnsi="Times New Roman"/>
          <w:sz w:val="18"/>
          <w:szCs w:val="18"/>
          <w:color w:val="auto"/>
        </w:rPr>
      </w:pPr>
    </w:p>
    <w:p>
      <w:pPr>
        <w:ind w:left="1020" w:right="379" w:hanging="350"/>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Acceptable Price</w:t>
      </w:r>
      <w:r>
        <w:rPr>
          <w:rFonts w:ascii="Times New Roman" w:cs="Times New Roman" w:eastAsia="Times New Roman" w:hAnsi="Times New Roman"/>
          <w:sz w:val="18"/>
          <w:szCs w:val="18"/>
          <w:color w:val="auto"/>
        </w:rPr>
        <w:t>: If the Company notifies Yorkville of a minimum acceptable price (“MAP”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the SEPA), then, if during the applicable period the VWAP of the Common Stock is below the specified MAP or there is no VWAP, the amount of Common Stock set forth in the Advance will be reduced by one third (1/3rd); provided, however, that this lower amount may be increased if certain conditions are met.</w:t>
      </w:r>
    </w:p>
    <w:p>
      <w:pPr>
        <w:spacing w:after="0" w:line="77" w:lineRule="exact"/>
        <w:rPr>
          <w:sz w:val="20"/>
          <w:szCs w:val="20"/>
          <w:color w:val="auto"/>
        </w:rPr>
      </w:pPr>
    </w:p>
    <w:p>
      <w:pPr>
        <w:ind w:left="320" w:right="379" w:firstLine="360"/>
        <w:spacing w:after="0" w:line="256" w:lineRule="auto"/>
        <w:rPr>
          <w:sz w:val="20"/>
          <w:szCs w:val="20"/>
          <w:color w:val="auto"/>
        </w:rPr>
      </w:pPr>
      <w:r>
        <w:rPr>
          <w:rFonts w:ascii="Times New Roman" w:cs="Times New Roman" w:eastAsia="Times New Roman" w:hAnsi="Times New Roman"/>
          <w:sz w:val="18"/>
          <w:szCs w:val="18"/>
          <w:color w:val="auto"/>
        </w:rPr>
        <w:t>The SEPA will automatically terminate on the earliest to occur of (i) November 1, 2027 or (ii) the date on which Yorkville shall have made payment of Advances equal to $75.0 million. As of March 13, 2026, the Company has issued Yorkville 1,273,566 shares of Common Stock for a total amount of $8,402,213.50 pursuant to the terms of the SEPA. The Company has the right to terminate the SEPA at no cost or penalty upon five trading days’ prior written notice to Yorkville, provided that there are no outstanding Advance Notices for which shares of Common Stock must be issued and the Company has paid all amounts owed to Yorkville pursuant to the SEPA.</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21" w:lineRule="exact"/>
        <w:rPr>
          <w:sz w:val="20"/>
          <w:szCs w:val="20"/>
          <w:color w:val="auto"/>
        </w:rPr>
      </w:pPr>
    </w:p>
    <w:p>
      <w:pPr>
        <w:ind w:left="320" w:right="359" w:firstLine="360"/>
        <w:spacing w:after="0" w:line="255" w:lineRule="auto"/>
        <w:rPr>
          <w:sz w:val="20"/>
          <w:szCs w:val="20"/>
          <w:color w:val="auto"/>
        </w:rPr>
      </w:pPr>
      <w:r>
        <w:rPr>
          <w:rFonts w:ascii="Times New Roman" w:cs="Times New Roman" w:eastAsia="Times New Roman" w:hAnsi="Times New Roman"/>
          <w:sz w:val="18"/>
          <w:szCs w:val="18"/>
          <w:color w:val="auto"/>
        </w:rPr>
        <w:t>On September 24, 2024, the Company entered into an investment agreement with Commonwealth Asset Management LP (together with its assignee, “CWAM LP”), pursuant to which the Company agreed to issue and sell to CWAM LP an aggregate of 750,000 shares of the Company’s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the Closing Date. CWAM LP is an affiliate of CWAM LC Sponsor LLC, Learn CW’s former Sponsor (the “Sponsor”).</w:t>
      </w:r>
    </w:p>
    <w:p>
      <w:pPr>
        <w:spacing w:after="0" w:line="8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On September 27, 2024, the Company entered into an investment agreement, substantially in the same form as the investment agreement entered into with CWAM LP (collectively, the “Series B Investment Agreements”), with certain purchasers (together with CWAM LP, the “Series B Investors”), pursuant to which the Company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the Company sold, in total, 1,102,000 shares of Series B Preferred Stock providing the Company with approximately $11.0 million of gross proceeds before deducting fees and other estimated offering expenses.</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Series B Investment Agreements contain customary representations, warranties, and covenants by the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parties, including certain indemnification obligations of the Series B Investors. The representations, warranties, and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39"/>
        <w:spacing w:after="0" w:line="256" w:lineRule="auto"/>
        <w:rPr>
          <w:sz w:val="20"/>
          <w:szCs w:val="20"/>
          <w:color w:val="auto"/>
        </w:rPr>
      </w:pPr>
      <w:r>
        <w:rPr>
          <w:rFonts w:ascii="Times New Roman" w:cs="Times New Roman" w:eastAsia="Times New Roman" w:hAnsi="Times New Roman"/>
          <w:sz w:val="18"/>
          <w:szCs w:val="18"/>
          <w:color w:val="auto"/>
        </w:rPr>
        <w:t>covenants contained in the Series B Investment Agreements were made only for purposes of such agreement and as of specific dates, were solely for the benefit of the parties to the Series B Investment Agreements and are subject to limitations agreed upon by contracting parties. As part of the Series B Investment Agreements, the Company is required to prepare and file a registration statement with the SEC under the Securities Act, covering the resale of the shares of Common Stock issuable upon conversion of Series B Preferred Stock within 120 days from the original issuance date.</w:t>
      </w:r>
    </w:p>
    <w:p>
      <w:pPr>
        <w:spacing w:after="0" w:line="79" w:lineRule="exact"/>
        <w:rPr>
          <w:sz w:val="20"/>
          <w:szCs w:val="20"/>
          <w:color w:val="auto"/>
        </w:rPr>
      </w:pPr>
    </w:p>
    <w:p>
      <w:pPr>
        <w:ind w:left="320" w:right="299" w:firstLine="360"/>
        <w:spacing w:after="0" w:line="252" w:lineRule="auto"/>
        <w:rPr>
          <w:sz w:val="20"/>
          <w:szCs w:val="20"/>
          <w:color w:val="auto"/>
        </w:rPr>
      </w:pPr>
      <w:r>
        <w:rPr>
          <w:rFonts w:ascii="Times New Roman" w:cs="Times New Roman" w:eastAsia="Times New Roman" w:hAnsi="Times New Roman"/>
          <w:sz w:val="18"/>
          <w:szCs w:val="18"/>
          <w:color w:val="auto"/>
        </w:rPr>
        <w:t>Pursuant to the Certificate of Designation of Series B Preferred Stock, dated October 2, 2024, of the Company, the shares of Series B Preferred Stock have a maturity date five years after the Closing Date and accrue a return equal to 8% per annum, payable on the last day of each quarter in-kind. Shares of Series B Preferred Stock are subject to (i) a mandatory conversion on the date that is five years after original issuance (the “Series B Maturity Date”) and (ii) an optional conversion, at the election of the holder, at any time prior to the Series B Maturity Date upon the effectiveness of a registration statement by the Company registering 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which is $10.00 per share of Series B Preferred Stock, and whose denominator is the lesser of (i) the Reset Conversion Price or (ii) $12.50. The “Reset Conversion Price” means the greater of (a) $5.00 and (b) the 10-trading day volume-weighted average closing price of the Common Stock.</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13, 2026, 35,792 shares of Series B Preferred Stock were issued and outstanding.</w:t>
      </w: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Innventure Warrants</w:t>
      </w:r>
    </w:p>
    <w:p>
      <w:pPr>
        <w:spacing w:after="0" w:line="121" w:lineRule="exact"/>
        <w:rPr>
          <w:sz w:val="20"/>
          <w:szCs w:val="20"/>
          <w:color w:val="auto"/>
        </w:rPr>
      </w:pPr>
    </w:p>
    <w:p>
      <w:pPr>
        <w:ind w:left="320" w:right="3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Innventure assumed that certain Warrant Agreement (the “Warrant Agreement”), dated as of October 12, 2021, by and between Learn CW and Equiniti Trust Company, LLC (f/k/a American Stock Transfer &amp; Trust Company, LLC), and each of the outstanding public warrants and outstanding private placement warrants (collectively, the “Learn CW Warrants”) to acquire one Class A ordinary share, par value $0.0001 per share, of Learn CW (a “Learn CW Ordinary Share”) were, pursuant to their terms, converted into warrants to acquire, subject to substantially the same terms and conditions as were applicable under the applicable Learn CW Warrant, the number of shares of Innventure’s Common Stock equal to the number of Learn CW Ordinary Shares for which such Learn CW Warrants shall have been exercisable.</w:t>
      </w:r>
    </w:p>
    <w:p>
      <w:pPr>
        <w:spacing w:after="0" w:line="84"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Each whole Innventure Warrant entitles the registered holder to purchase one share of Common Stock at a price of $11.50 per share, subject to adjustment as discussed below, except as discussed in the immediately following paragraph. Pursuant to the Warrant Agreement, an Innventure Warrant holder may exercise its Innventure Warrants only for a whole number of shares of Common Stock. This means only a whole Innventure Warrant may be exercised at a given time by an Innventure Warrant holder. The Innventure Warrants will expire five years after the completion of the Business Combination, at 5:00 p.m., New York City time, or earlier upon redemption or liquidation.</w:t>
      </w:r>
    </w:p>
    <w:p>
      <w:pPr>
        <w:spacing w:after="0" w:line="81"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Common Stock pursuant to the exercise of an Innventure Warrant and will have no obligation to settle such Innventure Warrant exercise unless a registration statement under the Securities Act with respect to the shares of Common Stock underlying the Innventure Warrants is then effective and a prospectus relating thereto is current, subject to our satisfying our obligations with respect to registration, or a valid exemption from registration is available. In the event that such conditions are not satisfied with respect to an Innventure Warrant, the holder of such Innventure Warrant will not be entitled to exercise such Innventure Warrant and such Innventure Warrant may have no value and expire worthless. In no event will we be required to net cash settle any Innventure Warrant.</w:t>
      </w:r>
    </w:p>
    <w:p>
      <w:pPr>
        <w:spacing w:after="0" w:line="84" w:lineRule="exact"/>
        <w:rPr>
          <w:sz w:val="20"/>
          <w:szCs w:val="20"/>
          <w:color w:val="auto"/>
        </w:rPr>
      </w:pPr>
    </w:p>
    <w:p>
      <w:pPr>
        <w:ind w:left="320" w:right="459" w:firstLine="36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If, upon exercise, a holder would be entitled to receive a fractional interest in a share, we will round down to the nearest whole number of the number of shares to be issued to the holder.</w:t>
      </w:r>
    </w:p>
    <w:p>
      <w:pPr>
        <w:spacing w:after="0" w:line="68" w:lineRule="exact"/>
        <w:rPr>
          <w:sz w:val="20"/>
          <w:szCs w:val="20"/>
          <w:color w:val="auto"/>
        </w:rPr>
      </w:pPr>
    </w:p>
    <w:p>
      <w:pPr>
        <w:ind w:left="320" w:right="479" w:firstLine="360"/>
        <w:spacing w:after="0" w:line="282" w:lineRule="auto"/>
        <w:rPr>
          <w:sz w:val="20"/>
          <w:szCs w:val="20"/>
          <w:color w:val="auto"/>
        </w:rPr>
      </w:pPr>
      <w:r>
        <w:rPr>
          <w:rFonts w:ascii="Times New Roman" w:cs="Times New Roman" w:eastAsia="Times New Roman" w:hAnsi="Times New Roman"/>
          <w:sz w:val="18"/>
          <w:szCs w:val="18"/>
          <w:color w:val="auto"/>
        </w:rPr>
        <w:t>The Innventure Warrant holders do not have the rights or privileges of holders of shares of Common Stock or any voting rights until they exercise their Innventure Warrants and receive shares of Common Stock. After the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85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99"/>
        <w:spacing w:after="0" w:line="282" w:lineRule="auto"/>
        <w:rPr>
          <w:sz w:val="20"/>
          <w:szCs w:val="20"/>
          <w:color w:val="auto"/>
        </w:rPr>
      </w:pPr>
      <w:r>
        <w:rPr>
          <w:rFonts w:ascii="Times New Roman" w:cs="Times New Roman" w:eastAsia="Times New Roman" w:hAnsi="Times New Roman"/>
          <w:sz w:val="18"/>
          <w:szCs w:val="18"/>
          <w:color w:val="auto"/>
        </w:rPr>
        <w:t>issuance of shares of Common Stock upon exercise of the Innventure Warrants, each holder will be entitled to one vote for each share held of record on all matters to be voted on by Innventure stockholders.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At the Closing, the Company, the Sponsor, and certain other holders of shares of Common Stock entered into the A&amp;R Registration Rights Agreement. The A&amp;R Registration Rights Agreement provides these holders (and their permitted transferees) with the right to require the Company, at the Company’s expense, to register the Common Stock that they hold, on customary terms, including customary demand and piggyback registration rights. The A&amp;R Registration Rights Agreement also provides that the Company pay certain expenses of the electing holders relating to such registration and indemnify them against liabilities that may arise under the Securities Act.</w:t>
      </w:r>
    </w:p>
    <w:p>
      <w:pPr>
        <w:spacing w:after="0" w:line="79" w:lineRule="exact"/>
        <w:rPr>
          <w:sz w:val="20"/>
          <w:szCs w:val="20"/>
          <w:color w:val="auto"/>
        </w:rPr>
      </w:pPr>
    </w:p>
    <w:p>
      <w:pPr>
        <w:ind w:left="320" w:right="939" w:firstLine="360"/>
        <w:spacing w:after="0" w:line="282" w:lineRule="auto"/>
        <w:rPr>
          <w:sz w:val="20"/>
          <w:szCs w:val="20"/>
          <w:color w:val="auto"/>
        </w:rPr>
      </w:pPr>
      <w:r>
        <w:rPr>
          <w:rFonts w:ascii="Times New Roman" w:cs="Times New Roman" w:eastAsia="Times New Roman" w:hAnsi="Times New Roman"/>
          <w:sz w:val="18"/>
          <w:szCs w:val="18"/>
          <w:color w:val="auto"/>
        </w:rPr>
        <w:t>On March 11, 2025, all shares of Common Stock held by the Sponsor were assigned to members of the Sponsor, which members became parties to the A&amp;R Registration Rights Agreement.</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121" w:lineRule="exact"/>
        <w:rPr>
          <w:sz w:val="20"/>
          <w:szCs w:val="20"/>
          <w:color w:val="auto"/>
        </w:rPr>
      </w:pPr>
    </w:p>
    <w:p>
      <w:pPr>
        <w:ind w:left="320" w:right="299" w:firstLine="360"/>
        <w:spacing w:after="0" w:line="274" w:lineRule="auto"/>
        <w:rPr>
          <w:sz w:val="20"/>
          <w:szCs w:val="20"/>
          <w:color w:val="auto"/>
        </w:rPr>
      </w:pPr>
      <w:r>
        <w:rPr>
          <w:rFonts w:ascii="Times New Roman" w:cs="Times New Roman" w:eastAsia="Times New Roman" w:hAnsi="Times New Roman"/>
          <w:sz w:val="17"/>
          <w:szCs w:val="17"/>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(Innventure) and the WTI Lenders entered into a joinder agreement, pursuant to which the Company became a co-borrower under the Loan and Security Agreement and related loan documents (collectively, the “Loan Documents”).</w:t>
      </w:r>
    </w:p>
    <w:p>
      <w:pPr>
        <w:spacing w:after="0" w:line="65"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was made available after the WTI Closing Date and through November 15, 2024 (the “First Tranche”); (ii) up to $15 million was made available after November 1, 2024 and through November 30, 2024 (the “Second Tranche”); and (iii) up to $15 million was made available after December 31, 2024 and through January 31, 2025 (the “Third Tranche”) (provided that up to $7.5 million of the Third Tranche was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82"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Company received all $20 million of the First Tranche on November 15, 2024. The First Tranche, principal and interest, shall be repaid over a period of 30 months in equal, monthly installments, commencing after an initial 12-month period of interest-only monthly payments, resulting in a total term of 42 months. Borrowings under the First Tranche accrue interest at a rate per annum equal to the greater of (i) the “prime rate” of interest, as published by The Wall Street Journal on the date that the WTI Lenders prepare the promissory notes for the borrowings under such tranche, plus 5.00% and (ii) 13.50%. As of the date of this prospectus, the funds under each of the Second Tranche and Third Tranche are no longer available to the Company.</w:t>
      </w:r>
    </w:p>
    <w:p>
      <w:pPr>
        <w:spacing w:after="0" w:line="81" w:lineRule="exact"/>
        <w:rPr>
          <w:sz w:val="20"/>
          <w:szCs w:val="20"/>
          <w:color w:val="auto"/>
        </w:rPr>
      </w:pPr>
    </w:p>
    <w:p>
      <w:pPr>
        <w:ind w:left="320" w:right="639" w:firstLine="360"/>
        <w:spacing w:after="0" w:line="282" w:lineRule="auto"/>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54" w:lineRule="exact"/>
        <w:rPr>
          <w:sz w:val="20"/>
          <w:szCs w:val="20"/>
          <w:color w:val="auto"/>
        </w:rPr>
      </w:pPr>
    </w:p>
    <w:p>
      <w:pPr>
        <w:ind w:left="320" w:right="359" w:firstLine="360"/>
        <w:spacing w:after="0" w:line="261"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72"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the 2024 WTI Warrants to purchase up to $10 million of shares of Common Stock to the WTI Holders (affiliates of the WTI Lenders). Each warrant is exercisable into one share of Common Stock (subject to certain limitations, adjustment and certain other rights to possible future financings in accordance with terms of the 2024 WTI Warrants) through March 31, 2035. The number of shares issuable upon exercise of each 2024 WTI Warrant equals the 2024 WTI Warrants Coverage Amount (as defined below) divided by the 2024 WTI Warrants Exercise Price (as defined below). The “2024 WTI</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19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269" w:lineRule="auto"/>
        <w:rPr>
          <w:sz w:val="20"/>
          <w:szCs w:val="20"/>
          <w:color w:val="auto"/>
        </w:rPr>
      </w:pPr>
      <w:r>
        <w:rPr>
          <w:rFonts w:ascii="Times New Roman" w:cs="Times New Roman" w:eastAsia="Times New Roman" w:hAnsi="Times New Roman"/>
          <w:sz w:val="17"/>
          <w:szCs w:val="17"/>
          <w:color w:val="auto"/>
        </w:rPr>
        <w:t>Warrants Coverage Amount” is $10,000,000 ($7,500,000 for WTI Fund X, LLC and $2,500,000 for WTI Fund XI, LLC). The “2024 WTI Warrants Exercise Price” is initially $10.00 per share; however, if the VWAP of the Common Stock over the five trading days preceding April 3, 2026 is less than $10.00, the Exercise Price will be reduce to that lower VWAP. The WTI Warrants include customary registration rights and change-of-control adjustments and may be exchanged, at each of WTI Fund X, LLC’s and WTI Fund XI, LLC’s option, for a cash amount equal to</w:t>
      </w:r>
    </w:p>
    <w:p>
      <w:pPr>
        <w:spacing w:after="0" w:line="3" w:lineRule="exact"/>
        <w:rPr>
          <w:sz w:val="20"/>
          <w:szCs w:val="20"/>
          <w:color w:val="auto"/>
        </w:rPr>
      </w:pPr>
    </w:p>
    <w:p>
      <w:pPr>
        <w:ind w:left="320" w:right="379"/>
        <w:spacing w:after="0" w:line="253" w:lineRule="auto"/>
        <w:rPr>
          <w:sz w:val="20"/>
          <w:szCs w:val="20"/>
          <w:color w:val="auto"/>
        </w:rPr>
      </w:pPr>
      <w:r>
        <w:rPr>
          <w:rFonts w:ascii="Times New Roman" w:cs="Times New Roman" w:eastAsia="Times New Roman" w:hAnsi="Times New Roman"/>
          <w:sz w:val="18"/>
          <w:szCs w:val="18"/>
          <w:color w:val="auto"/>
        </w:rPr>
        <w:t>$15 million (in the aggregate), subject to adjustment to the extent a 2024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on April 14, 2025 the Company issued the 2025 WTI Warrants to purchase up to $3 million of</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shares of Common Stock to the WTI Holders as consideration for the WTI Lenders and the WTI Holders entering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into a consent with the Company and Innventure LLC, dated March 21, 2025, pursuant to which, among other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things, the WTI Lenders and the WTI Holders consented to (i) the Company entering into that certain securities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purchase agreement, dated March 25, 2025, entered into with Yorkville, and the transactions contemplated thereby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and (ii) the Company’s issuance of its Series C Preferred Stock (as defined below) and the payoffs of certain related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party loans. Each warrant is exercisable through March 31, 2035. The number of shares issuable upon exercise of</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each 2025 WTI Warrant is calculated by dividing the 2025 WTI Warrants Coverage Amount (as defined below) by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2025 WTI Warrants Exercise Price (as defined below). The “2025 WTI Warrants Coverage Amount” is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$3,000,000 ($2,250,000 for WTI Fund X, LLC and $750,000 for WTI Fund XI, LLC). The “2025 WTI Warrants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Exercise Price” is initially equal to the VWAP over the 30 trading days ending on the trading day immediately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preceding April 14, 2025; however, as of October 14, 2026, if the VWAP over the five trading days preceding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October 14, 2026 is lower, the 2025 WTI Warrants Exercise Price will be reduced to that lower VWAP. Please see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section titled “Shares Eligible for Future Sale” elsewhere in this prospectus for more information.</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Financing</w:t>
      </w:r>
    </w:p>
    <w:p>
      <w:pPr>
        <w:spacing w:after="0" w:line="121" w:lineRule="exact"/>
        <w:rPr>
          <w:sz w:val="20"/>
          <w:szCs w:val="20"/>
          <w:color w:val="auto"/>
        </w:rPr>
      </w:pPr>
    </w:p>
    <w:p>
      <w:pPr>
        <w:ind w:left="320" w:right="339" w:firstLine="360"/>
        <w:spacing w:after="0" w:line="254" w:lineRule="auto"/>
        <w:rPr>
          <w:sz w:val="20"/>
          <w:szCs w:val="20"/>
          <w:color w:val="auto"/>
        </w:rPr>
      </w:pPr>
      <w:r>
        <w:rPr>
          <w:rFonts w:ascii="Times New Roman" w:cs="Times New Roman" w:eastAsia="Times New Roman" w:hAnsi="Times New Roman"/>
          <w:sz w:val="18"/>
          <w:szCs w:val="18"/>
          <w:color w:val="auto"/>
        </w:rPr>
        <w:t>On March 24, 2025 (the “Series C Closing Date”), the Company entered into preferred stock purchase agreements (each, a “Series C Purchase Agreement” and, collectively, the “Series C Purchase Agreements”) with certain purchasers (the “Series C Purchasers”), pursuant to which the Company issued and sold to the Series C Purchasers an aggregate of up to 275,000 shares of the Company’s Series C preferred stock, par value $0.0001 per share (the “Series C Preferred Stock”), in a private placement, at a price of $10.00 per share of Series C Preferred Stock, resulting in an aggregate purchase price of approximately $2,750,000 before deducting fees and other estimated offering expenses (such offering, the “Series C Preferred Stock Financing”). The Series C Preferred Stock Financing closed on the Series C Closing Date.</w:t>
      </w:r>
    </w:p>
    <w:p>
      <w:pPr>
        <w:spacing w:after="0" w:line="84"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The Series C Purchase Agreements contain customary representations, warranties, and covenants by the parties, including certain indemnification obligations of the Series C Purchasers. The representations, warranties, and covenants contained in the Series C Purchase Agreements were made only for purposes of such agreements and as of specific dates, were solely for the benefit of the Series C Purchasers and are subject to limitations agreed upon by contracting parties. As part of the Series C Purchase Agreements, the Company is required to prepare and file a registration statement with the Commission under the Securities Act, covering the resale of the shares of Common Stock issuable upon conversion of Series C Preferred Stock within 120 days from the original issuance date, which obligation is to be satisfied hereby.</w:t>
      </w:r>
    </w:p>
    <w:p>
      <w:pPr>
        <w:spacing w:after="0" w:line="84" w:lineRule="exact"/>
        <w:rPr>
          <w:sz w:val="20"/>
          <w:szCs w:val="20"/>
          <w:color w:val="auto"/>
        </w:rPr>
      </w:pPr>
    </w:p>
    <w:p>
      <w:pPr>
        <w:ind w:left="320" w:right="399" w:firstLine="360"/>
        <w:spacing w:after="0" w:line="270" w:lineRule="auto"/>
        <w:rPr>
          <w:sz w:val="20"/>
          <w:szCs w:val="20"/>
          <w:color w:val="auto"/>
        </w:rPr>
      </w:pPr>
      <w:r>
        <w:rPr>
          <w:rFonts w:ascii="Times New Roman" w:cs="Times New Roman" w:eastAsia="Times New Roman" w:hAnsi="Times New Roman"/>
          <w:sz w:val="17"/>
          <w:szCs w:val="17"/>
          <w:color w:val="auto"/>
        </w:rPr>
        <w:t>On the Series C Closing Date, the Company also filed a Certificate of Designations with the Secretary of State of the State of Delaware setting forth the terms, rights, obligations and preferences of the Series C Preferred Stock, which became effective upon filing. Pursuant to the Series C Preferred Certificate of Designation, the shares of Series C Preferred Stock have a maturity date five years after the Series C Closing Date and carry an annual</w:t>
      </w:r>
    </w:p>
    <w:p>
      <w:pPr>
        <w:spacing w:after="0" w:line="3" w:lineRule="exact"/>
        <w:rPr>
          <w:sz w:val="20"/>
          <w:szCs w:val="20"/>
          <w:color w:val="auto"/>
        </w:rPr>
      </w:pPr>
    </w:p>
    <w:p>
      <w:pPr>
        <w:ind w:left="320" w:right="319"/>
        <w:spacing w:after="0" w:line="252" w:lineRule="auto"/>
        <w:rPr>
          <w:sz w:val="20"/>
          <w:szCs w:val="20"/>
          <w:color w:val="auto"/>
        </w:rPr>
      </w:pPr>
      <w:r>
        <w:rPr>
          <w:rFonts w:ascii="Times New Roman" w:cs="Times New Roman" w:eastAsia="Times New Roman" w:hAnsi="Times New Roman"/>
          <w:sz w:val="18"/>
          <w:szCs w:val="18"/>
          <w:color w:val="auto"/>
        </w:rPr>
        <w:t>8.0% cumulative dividend, which will be paid prior to and in preference over any Junior Stock or Parity Stock (each as defined below). On the last day of the last quarter in each fiscal year of the Company, such dividends will be made as a payment in kind. “Junior Stock” means (i) the Common Stock, (ii) any other preferred stock, other than the Series B Preferred Stock, and (ii) any other equity interest of the Company, in each case which by its terms ranks junior to the Series C Preferred Stock with respect to payment of dividends and/or distribution of assets. “Parity Stock” means the Company’s Series B Preferred Stock and any equity interest of the Company hereinafter created which by its terms ranks pari passu with the Series C Preferred Stock.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With respect to (i) payment of dividends, (ii) distribution of assets and (iii) all other liquidation, winding up, dissolution, dividend and redemption rights, the Series C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 Per each whole share of Series C Preferred Stock, the holders of Series C Preferred Stock will be entitled to cast the number of votes equal to (i) the original issue price, which is $10.00 (the “Series C Original Issue Price”), divided by (ii) the Minimum Price (as defined in NASDAQ Listing Rule 5635(d)) of Common Stock as of the Initial Issue Date (as determined by reference to the NASDAQ Official Closing Price) and will vote with the holders of the Common Stock as a single class and on an as-converted basis, except as provided by law or applicable NASDAQ listing rules.</w:t>
      </w:r>
    </w:p>
    <w:p>
      <w:pPr>
        <w:spacing w:after="0" w:line="86" w:lineRule="exact"/>
        <w:rPr>
          <w:sz w:val="20"/>
          <w:szCs w:val="20"/>
          <w:color w:val="auto"/>
        </w:rPr>
      </w:pPr>
    </w:p>
    <w:p>
      <w:pPr>
        <w:ind w:left="320" w:right="339" w:firstLine="360"/>
        <w:spacing w:after="0" w:line="269" w:lineRule="auto"/>
        <w:rPr>
          <w:sz w:val="20"/>
          <w:szCs w:val="20"/>
          <w:color w:val="auto"/>
        </w:rPr>
      </w:pPr>
      <w:r>
        <w:rPr>
          <w:rFonts w:ascii="Times New Roman" w:cs="Times New Roman" w:eastAsia="Times New Roman" w:hAnsi="Times New Roman"/>
          <w:sz w:val="17"/>
          <w:szCs w:val="17"/>
          <w:color w:val="auto"/>
        </w:rPr>
        <w:t>Shares of Series C Preferred Stock are subject to (i) a mandatory conversion on the date that is five years after original issuance (the “Series C Maturity Date”) and (ii) an optional conversion, at the election of the holder, at any time prior to the Series C Maturity Date upon the effectiveness of a registration statement by the Company registering the underlying shares of Common Stock issuable upon conversion (including this registration statement). The number of shares of Common Stock that each holder of Series C Preferred Stock will receive upon conversion of all of such holder’s shares of Series C Preferred Stock will be the number of shares equal to the Series C Conversion Rate (as defined below) multiplied by the number of shares of Series C Preferred Stock held by such holder (subject to a threshold amount). No fractional shares shall be issued upon the exercise of any conversion right. Any fractional shares that a holder would otherwise be entitled to will be rounded up to the next whole share. The “Series C Conversion Rate” means a fraction whose numerator is the Series C Original Issue Price and whose denominator is the lesser of (i) the Reset Conversion Price or (ii) $12.50. The “Reset Conversion Price” means the greater of (a) $5.00 and (b) the 10-trading day volume-weighted average closing price of the Common Stock.</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13, 2026, 159,270 shares of Series C Preferred Stock were issued and outstanding.</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Debentures</w:t>
      </w:r>
    </w:p>
    <w:p>
      <w:pPr>
        <w:spacing w:after="0" w:line="121" w:lineRule="exact"/>
        <w:rPr>
          <w:sz w:val="20"/>
          <w:szCs w:val="20"/>
          <w:color w:val="auto"/>
        </w:rPr>
      </w:pPr>
    </w:p>
    <w:p>
      <w:pPr>
        <w:ind w:left="320" w:right="319" w:firstLine="360"/>
        <w:spacing w:after="0" w:line="253" w:lineRule="auto"/>
        <w:rPr>
          <w:sz w:val="20"/>
          <w:szCs w:val="20"/>
          <w:color w:val="auto"/>
        </w:rPr>
      </w:pPr>
      <w:r>
        <w:rPr>
          <w:rFonts w:ascii="Times New Roman" w:cs="Times New Roman" w:eastAsia="Times New Roman" w:hAnsi="Times New Roman"/>
          <w:sz w:val="18"/>
          <w:szCs w:val="18"/>
          <w:color w:val="auto"/>
        </w:rPr>
        <w:t>On September 15, 2025, the Company entered into the Securities Purchase Agreement with Yorkville, in connection with the issuance and sale by the Company of Convertible Debentures issuable in an aggregate principal amount of up to $15,000,000, which Convertible Debentures converted into shares of the Company’s Common Stock (as converted, the “Conversion Shares”). Pursuant to the Securities Purchase Agreement, Yorkville purchased, and the Company issued, $10,000,000 in aggregate principal amount of Convertible Debentures (the “Third Convertible Debenture”) on September 15, 2025, upon satisfaction of certain closing conditions in the Securities Purchase Agreement. Yorkville purchased and the Company issued an additional $5,000,000 in aggregate principal amount of Convertible Debentures (the “Fourth Convertible Debenture”) on November 12, 2025. The Convertible Debentures resulted in gross proceeds to the Company of approximately $11,500,000 (including the original issue discount of 10% and the repayment of $2,000,000 that was due on September 14, 2025).</w:t>
      </w:r>
    </w:p>
    <w:p>
      <w:pPr>
        <w:spacing w:after="0" w:line="86" w:lineRule="exact"/>
        <w:rPr>
          <w:sz w:val="20"/>
          <w:szCs w:val="20"/>
          <w:color w:val="auto"/>
        </w:rPr>
      </w:pPr>
    </w:p>
    <w:p>
      <w:pPr>
        <w:ind w:left="320" w:right="359" w:firstLine="360"/>
        <w:spacing w:after="0" w:line="258" w:lineRule="auto"/>
        <w:rPr>
          <w:sz w:val="20"/>
          <w:szCs w:val="20"/>
          <w:color w:val="auto"/>
        </w:rPr>
      </w:pPr>
      <w:r>
        <w:rPr>
          <w:rFonts w:ascii="Times New Roman" w:cs="Times New Roman" w:eastAsia="Times New Roman" w:hAnsi="Times New Roman"/>
          <w:sz w:val="18"/>
          <w:szCs w:val="18"/>
          <w:color w:val="auto"/>
        </w:rPr>
        <w:t>As of January 27, 2026, Yorkville fully converted all Conversion Shares under the Third Convertible Debenture, and on January 28, 2026, the Company redeemed the Fourth Convertible Debenture, which redemption terminated all obligations imposed upon the Company under the Securities Purchase Agreement. Furthermore, as of March 17, 2026, Yorkville continued to beneficially own 65,000 Conversion Shares, which Yorkville received in connection with its conversion of the Third Convertible Debenture.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2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On October 3, 2025, the Company entered into the Subscription Agreements with the Subscribers, pursuant to which the Company agreed to issue to the Subscribers, in a private placement, an aggregate of 1,625,235 shares of Common Stock and Series A Warrants to purchase an aggregate of 1,625,235 shares of Common Stock (the “Warrant Shares”) at an aggregate price of $6.00 for one share of Common Stock and one Series A Warrant (the “PIPE Investment”). The Series A Warrants have an exercise price of $8.00 per share, will be exercisable at any time on or after April 6, 2026 (the calendar day following the six month anniversary of the date of issuance), will expire on October 3, 2030 and are redeemable by the Company at a price of $0.01 per Series A Warrant if the last sales price of the Common Stock has been equal to or greater than $15.00 per share (subject to adjustment for splits, dividends, recapitalizations and other similar events) for any twenty (20) trading days within a thirty (30) trading day period commencing after the Series A Warrants become exercisable. The sales of the securities pursuant to the Subscription Agreements closed on October 3, 2025. The gross proceeds to the Company from the PIPE Investment are approximately $9.75 million before deducting fees and other estimated offering expenses.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733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37331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320" w:right="359" w:firstLine="360"/>
        <w:spacing w:after="0" w:line="274" w:lineRule="auto"/>
        <w:rPr>
          <w:sz w:val="20"/>
          <w:szCs w:val="20"/>
          <w:color w:val="auto"/>
        </w:rPr>
      </w:pPr>
      <w:r>
        <w:rPr>
          <w:rFonts w:ascii="Times New Roman" w:cs="Times New Roman" w:eastAsia="Times New Roman" w:hAnsi="Times New Roman"/>
          <w:sz w:val="17"/>
          <w:szCs w:val="17"/>
          <w:color w:val="auto"/>
        </w:rPr>
        <w:t>We are an “emerging growth company” as defined in Section 2(a)(19) of the Securities Act, as modified by the JOBS Act (as defined below).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w:t>
      </w:r>
    </w:p>
    <w:p>
      <w:pPr>
        <w:spacing w:after="0" w:line="65" w:lineRule="exact"/>
        <w:rPr>
          <w:sz w:val="20"/>
          <w:szCs w:val="20"/>
          <w:color w:val="auto"/>
        </w:rPr>
      </w:pPr>
    </w:p>
    <w:p>
      <w:pPr>
        <w:ind w:left="320" w:right="379" w:firstLine="360"/>
        <w:spacing w:after="0" w:line="270"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December 21,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 billion in non-convertible debt during the prior three-year period.</w:t>
      </w:r>
    </w:p>
    <w:p>
      <w:pPr>
        <w:spacing w:after="0" w:line="3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20" w:right="619" w:firstLine="3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w:t>
      </w:r>
      <w:r>
        <w:rPr>
          <w:rFonts w:ascii="Times New Roman" w:cs="Times New Roman" w:eastAsia="Times New Roman" w:hAnsi="Times New Roman"/>
          <w:sz w:val="18"/>
          <w:szCs w:val="18"/>
          <w:u w:val="single" w:color="auto"/>
          <w:color w:val="auto"/>
        </w:rPr>
        <w:t>Risk Factors</w:t>
      </w:r>
      <w:r>
        <w:rPr>
          <w:rFonts w:ascii="Times New Roman" w:cs="Times New Roman" w:eastAsia="Times New Roman" w:hAnsi="Times New Roman"/>
          <w:sz w:val="18"/>
          <w:szCs w:val="18"/>
          <w:color w:val="auto"/>
        </w:rPr>
        <w:t>,” that represent challenges that we face in connection with the successful implementation of our strategy and growth of our business.</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85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6900 Tavistock Lakes Blvd, Suite 400, Orlando, Florida 32827, and our telephone number is (321) 209-6787.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any risk factors contained in any applicable prospectus supplement, as well as the risk factors set forth in our most recently filed Annual Report on Form 10-K and any material changes to those risk factors set forth in a Quarterly Report on Form 10-Q. You should also refer to the other information in this prospectus and any applicable prospectus supplement, including our financial statements and the related notes incorporated by reference into this prospectus. Additional risks and uncertainties that are not yet identified may also materially harm our business, operating results and financial condition. If any of these risks actually occurs, our business, results of operations and financial condition could suffer. In that case, the trading price of our securities could decline, and you could lose all or part of your investment.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prospectus and any accompanying prospectus supplement or incorporated by reference into this prospectus and any accompanying prospectus supplement are forward-looking statements within the meaning of Section 27A of the Securities Act, and Section 21E of the Securities Exchange Act of 1934, as amended (the “Exchange Act”). Forward-looking statements are all statements other than those of historical fact, including statements about the Company’s business model, the financial condition, results of operations, earnings outlook and its Innventure Companies’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79"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w:t>
      </w:r>
    </w:p>
    <w:p>
      <w:pPr>
        <w:spacing w:after="0" w:line="63" w:lineRule="exact"/>
        <w:rPr>
          <w:sz w:val="20"/>
          <w:szCs w:val="20"/>
          <w:color w:val="auto"/>
        </w:rPr>
      </w:pPr>
    </w:p>
    <w:p>
      <w:pPr>
        <w:ind w:left="1000" w:right="49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invest in growth initiatives;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unfavorable economic or other conditions which could require Innventure to evaluate and potentially record additional impairment charges for all, or a portion of, its goodwill and other intangible assets;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maintain control over the Innventure Companies;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imposed by, and to satisfy its obligations to, the WTI Lenders under the WTI Facility;</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access to funds under the SEPA entered into with Yorkville due to certain conditions, restrictions and limitations set forth therein;</w:t>
      </w:r>
    </w:p>
    <w:p>
      <w:pPr>
        <w:spacing w:after="0" w:line="53" w:lineRule="exact"/>
        <w:rPr>
          <w:rFonts w:ascii="Times New Roman" w:cs="Times New Roman" w:eastAsia="Times New Roman" w:hAnsi="Times New Roman"/>
          <w:sz w:val="18"/>
          <w:szCs w:val="18"/>
          <w:color w:val="auto"/>
        </w:rPr>
      </w:pPr>
    </w:p>
    <w:p>
      <w:pPr>
        <w:jc w:val="both"/>
        <w:ind w:left="1000" w:right="75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and the Innventure Companies’ financing instruments, which may impair Innventure’s and the Innventure Companies’ financial and operating flexibility;</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obtain funding for their operations and future growth and to continue as going concerns;</w:t>
      </w:r>
    </w:p>
    <w:p>
      <w:pPr>
        <w:spacing w:after="0" w:line="53"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technology solutions that Innventure and the Innventure Companies license or acquire from third parties or develop internally may not function as anticipated or provide the benefits anticipated;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53" w:lineRule="exact"/>
        <w:rPr>
          <w:rFonts w:ascii="Times New Roman" w:cs="Times New Roman" w:eastAsia="Times New Roman" w:hAnsi="Times New Roman"/>
          <w:sz w:val="18"/>
          <w:szCs w:val="18"/>
          <w:color w:val="auto"/>
        </w:rPr>
      </w:pPr>
    </w:p>
    <w:p>
      <w:pPr>
        <w:jc w:val="both"/>
        <w:ind w:left="1000" w:right="45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respective products and the numerous regulatory requirements generally applicable to their businesses;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or other third parties (collectively, “Technology Solutions Providers”) and to satisfy the requirements imposed by or to avoid disagreements with its current and future Technology Solutions Providers;</w:t>
      </w:r>
    </w:p>
    <w:p>
      <w:pPr>
        <w:spacing w:after="0" w:line="71"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and its other subsidiaries’ operations;</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which would impose burdensome compliance requirements and restrictions on its activities;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Innventure Companies, and to avoid or resolve in a timely and cost-effective manner any disputes that may arise relating to its use of the IP of third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stockholders;</w:t>
      </w:r>
    </w:p>
    <w:p>
      <w:pPr>
        <w:spacing w:after="0" w:line="117" w:lineRule="exact"/>
        <w:rPr>
          <w:rFonts w:ascii="Times New Roman" w:cs="Times New Roman" w:eastAsia="Times New Roman" w:hAnsi="Times New Roman"/>
          <w:sz w:val="18"/>
          <w:szCs w:val="18"/>
          <w:color w:val="auto"/>
        </w:rPr>
      </w:pPr>
    </w:p>
    <w:p>
      <w:pPr>
        <w:ind w:left="1000" w:right="12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 including with respect to foreign trade policy and tariffs;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the Innventure Companies, which have limited or no operating history;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11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prospectus and any accompanying prospectus supplement or incorporated by reference into this prospectus and any accompanying prospectus supplement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The Selling Stockholders may offer, sell or distribute all or a portion of the securities hereby registered publicly or through private transactions at prevailing market prices or at negotiated prices.</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will not receive any of the proceeds from such sales of the shares of Common Stock by the Selling Stockholders. However, we may receive (i) up to $66.6 million in aggregate gross proceeds from sales of shares of Common Stock to Yorkville pursuant to the SEPA, from time to time in our discretion after the date of this Registration Statement and subject to the satisfaction of certain conditions in the SEPA, and (ii) de minimis gross proceeds upon exercise of the 2024 WTI Warrants and the 2025 WTI Warrants, to the extent such warrants are exercised for cash. We will bear all costs, expenses and fees in connection with the registration of Common Stock. The Selling Stockholders will bear all commissions, discounts and certain other limited expenses, if any, attributable to their respective sales of Common Stock.</w:t>
      </w:r>
    </w:p>
    <w:p>
      <w:pPr>
        <w:spacing w:after="0" w:line="8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We could receive up to an aggregate of approximately $13.0 million in proceeds from the exercise of the Series A Warrants, assuming the exercise in full of all of the Series A Warrants for cash, but not from the resale of the shares of Common Stock issuable upon such exercise. There is no assurance that the holders of the Series A Warrants will elect to exercise any or all of such Series A Warrants. We believe the likelihood that Series A Warrant holders will exercise the Series A Warrants, and therefore the amount of cash proceeds that we would receive, is dependent upon the market price of Common Stock. If the Series A Warrants are “out of the money,” meaning that the exercise price is higher than the market price of Common Stock, then the holders of such “out of the money” Series A Warrants are not likely to exercise such Series A Warrants. All of the Series A Warrants outstanding as of March 17, 2026 are “out of the money.” There can be no assurance that such Series A Warrants will be in the money prior to their expiration dates, and therefore we may not receive any cash proceeds from the exercise of such Series A Warrants.</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could receive up to an aggregate of approximately $211.4 million in proceeds from the exercise of the Innventure Warrants, assuming the exercise in full of all of the Innventure Warrants for cash, but not from the resale of the shares of Common Stock issuable upon such exercise. There is no assurance that the holders of the Innventure Warrants will elect to exercise any or all of such Innventure Warrants. We believe the likelihood that Innventure Warrant holders will exercise the Innventure Warrants, and therefore the amount of cash proceeds that we would receive, is dependent upon the market price of Common Stock. If the Innventure Warrants are “out of the money,” meaning the exercise price is higher than the market price of Common Stock, then holders of such “out of the money” Innventure Warrants are not likely to exercise such Innventure Warrants. All of the Innventure Warrants outstanding as of March 17, 2026 are “out of the money.” There can be no assurance that such Innventure Warrants will be in the money prior to their expiration dates, and therefore we may not receive any cash proceeds from the exercise of such Innventure Warrants.</w:t>
      </w:r>
    </w:p>
    <w:p>
      <w:pPr>
        <w:spacing w:after="0" w:line="84"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exercise of the 2024 WTI Warrants, the 2025 WTI Warrants, the Innventure Warrants, or the Series A Warrants on a cashless basis.</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issuance of shares to Yorkville pursuant to the SEPA and from the exercise of the 2024 WTI Warrants, the 2025 WTI Warrants, the Innventure Warrants, and the Series A Warrants for general corporate purposes, which may include strategic investments in complementary businesses or technologies and repayment of outstanding indebtedness.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1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Innventure has one class of securities registered under Section 12 of the Exchange Act: its Common Stock. The following description of our capital stock is a summary and is qualified in its entirety by provisions of Delaware law and by reference to the terms of our Amended and Restated Certificate of Incorporation (“A&amp;R Certificate of Incorporation”) and our By-laws (the “Bylaws”), which are incorporated herein by reference and attached as exhibits to Innventure’s most recent Annual Report on Form 10-K filed with the SEC. We encourage you to read these documents and the applicable portions of the Delaware General Corporation Law, as amended (the “DGCL”), as applicable, carefully and in their entirety because they describe your rights as a holder of shares of Common Stock.</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are authorized to issue 250,000,000 shares of Common Stock and 25,000,000 shares of preferred stock, par value $0.0001 per share. Of the 25,000,000 shares of preferred stock, 3,000,000 shares are designated as “Series B Preferred Stock,” and 5,000,000 shares are designated as “Series C Preferred Stock.” As of March 13, 2026, 80,069,319 shares of Common Stock were issued and outstanding, 35,792 shares of Series B Preferred Stock were issued and outstanding, and 159,270 shares of Series C Preferred Stock were issued and outstanding.</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After the designation of the Series B Preferred Stock and the Series C Preferred Stock, 17,000,000 authorized shares of preferred stock remain available for the creation and issuance of one or more additional series of preferred stock by the Company’s Board of Directors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w:t>
      </w:r>
    </w:p>
    <w:p>
      <w:pPr>
        <w:spacing w:after="0" w:line="64" w:lineRule="exact"/>
        <w:rPr>
          <w:sz w:val="20"/>
          <w:szCs w:val="20"/>
          <w:color w:val="auto"/>
        </w:rPr>
      </w:pPr>
    </w:p>
    <w:p>
      <w:pPr>
        <w:ind w:left="1000" w:right="6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any series and the designation to distinguish the shares of such series from the shares of all other series;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and whether such voting powers are full or limited in such series;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provisions, if any, applicable to such series, including the redemption price or prices to be paid;</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the dividend rate of such series, and the dates and preferences of dividends on such series;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series upon the voluntary or involuntary dissolution of, or upon any distribution of the assets of, the Company;</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w:t>
      </w:r>
    </w:p>
    <w:p>
      <w:pPr>
        <w:spacing w:after="0" w:line="71"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subscribe for or to purchase any securities of the Company or any other corporation or other entity;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of a sinking fund applicable to such series;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participating, optional, or other special powers, preferences or rights and qualifications, limitations, or restrictions thereof; and</w:t>
      </w:r>
    </w:p>
    <w:p>
      <w:pPr>
        <w:spacing w:after="0" w:line="53" w:lineRule="exact"/>
        <w:rPr>
          <w:rFonts w:ascii="Times New Roman" w:cs="Times New Roman" w:eastAsia="Times New Roman" w:hAnsi="Times New Roman"/>
          <w:sz w:val="18"/>
          <w:szCs w:val="18"/>
          <w:color w:val="auto"/>
        </w:rPr>
      </w:pPr>
    </w:p>
    <w:p>
      <w:pPr>
        <w:ind w:left="1000" w:right="79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 may be determined from time to time by the Board and stated or expressed in the resolution or resolutions providing for the issuance of such preferred stock (collectively, a “Preferred Stock Designation”).</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8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in its discretion from time to time in accordance with applicable law.</w:t>
      </w:r>
    </w:p>
    <w:p>
      <w:pPr>
        <w:spacing w:after="0" w:line="81"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is a holding company with no direct operations, Innventure will only be able to pay dividends from funds it receives from its subsidiaries.</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quoted on the Nasdaq Global Market under the symbol “INV.”</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Bylaws provide that annual stockholder meetings will be held at such date, time and place, if any, as determined by the Board. The Board may also determine that a meeting of stockholders be held by means of remote communication as authorized by and in accordance with the DGCL.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61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the Company’s A&amp;R Certificate of Incorporation and Amended and Bylaws and Certain Provisions of Delaware Law</w:t>
      </w:r>
    </w:p>
    <w:p>
      <w:pPr>
        <w:spacing w:after="0" w:line="5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A&amp;R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Innventure’s 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w:t>
      </w:r>
    </w:p>
    <w:p>
      <w:pPr>
        <w:spacing w:after="0" w:line="7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75" w:lineRule="exact"/>
        <w:rPr>
          <w:sz w:val="20"/>
          <w:szCs w:val="20"/>
          <w:color w:val="auto"/>
        </w:rPr>
      </w:pPr>
    </w:p>
    <w:p>
      <w:pPr>
        <w:ind w:left="300" w:right="499" w:firstLine="360"/>
        <w:spacing w:after="0" w:line="277" w:lineRule="auto"/>
        <w:rPr>
          <w:sz w:val="20"/>
          <w:szCs w:val="20"/>
          <w:color w:val="auto"/>
        </w:rPr>
      </w:pPr>
      <w:r>
        <w:rPr>
          <w:rFonts w:ascii="Times New Roman" w:cs="Times New Roman" w:eastAsia="Times New Roman" w:hAnsi="Times New Roman"/>
          <w:sz w:val="17"/>
          <w:szCs w:val="17"/>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held office for a term that expired at the annual meeting of stockholders held in 2025 and will hold office for a term expiring at the annual meeting of stockholders to be held in 2028; the directors first elected to Class II will hold office for a term expiring 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w:t>
      </w:r>
    </w:p>
    <w:p>
      <w:pPr>
        <w:spacing w:after="0" w:line="86"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Subject to the special rights of the holders of one or more series of preferred stock, special meetings of the stockholders of Innventure may be called, for any purpose or purposes, at any time only by or at the direction of the Board, the chairperson of the Board, the Chief Executive Officer, or President.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must comply with advance notice requirements and provide Innventure with certain information. Generally, to be timely, a stockholder’s notice relating to any nomination or other business to be brought before an annual meeting of stockholders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w:t>
      </w:r>
    </w:p>
    <w:p>
      <w:pPr>
        <w:spacing w:after="0" w:line="84"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These notice provisions may defer, delay or discourage a potential acquirer from conducting a solicitation of proxies to elect the acquirer’s own slate of directors or otherwise attempting to influence or obtain control of Innventure.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of Appraisal and Payment</w:t>
      </w:r>
    </w:p>
    <w:p>
      <w:pPr>
        <w:spacing w:after="0" w:line="121"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Stockholders’ Derivative Actions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A&amp;R Certificate of Incorporation</w:t>
      </w:r>
    </w:p>
    <w:p>
      <w:pPr>
        <w:spacing w:after="0" w:line="121"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Bylaws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Innventure entitled to vote generally in the election of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A&amp;R Certificate of Incorporation provides that, unless Innventure consents in writing to the selection of an alternative forum, (a) the Chancery Court will, to the fullest extent permitted by law, be the sole and exclusive forum for (i) any derivative action, suit or proceeding brought on behalf of Innventure, (ii) any action, suit or proceeding 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“A&amp;R Certificate of Incorporation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A&amp;R Certificate of Incorporation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w:t>
      </w:r>
    </w:p>
    <w:p>
      <w:pPr>
        <w:spacing w:after="0" w:line="56"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their duty of loyalty to our company or our stockholder;</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 as provided in Section 174 of the DGCL;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they derived an improper personal benefit;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Innventure.</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7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w:t>
      </w:r>
    </w:p>
    <w:p>
      <w:pPr>
        <w:spacing w:after="0" w:line="72"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ind w:left="1300" w:right="1340" w:firstLine="360"/>
        <w:spacing w:after="0" w:line="267" w:lineRule="auto"/>
        <w:rPr>
          <w:sz w:val="20"/>
          <w:szCs w:val="20"/>
          <w:color w:val="auto"/>
        </w:rPr>
      </w:pPr>
      <w:r>
        <w:rPr>
          <w:rFonts w:ascii="Times New Roman" w:cs="Times New Roman" w:eastAsia="Times New Roman" w:hAnsi="Times New Roman"/>
          <w:sz w:val="17"/>
          <w:szCs w:val="17"/>
          <w:color w:val="auto"/>
        </w:rPr>
        <w:t>This prospectus relates to the resale by the Selling Stockholders or their permitted transferees from time to time of up to 41,291,719 shares of Common Stock. The shares of Common Stock to which this prospectus relates consist of (i) up to 3,260,175 shares of Common Stock that were issued and may be issued upon conversion of the Series B Preferred Stock; (ii) up to 16,244,741 shares that we may issue and sell to Yorkville from time to time pursuant to the SEPA, subject to the ownership limitations described therein; (iii) 5,657,481 shares of Common Stock held by certain stockholders party to the A&amp;R Registration Rights Agreement; (iv) 3,333,334 shares of Common Stock that may be issued upon exercise of the 2024 WTI Warrants held by the WTI Holders; (v) up to 8,480,518 shares of Common Stock that were issued and may be issued upon conversion of Series C Preferred Stock; (vi) up to 1,000,000 shares of Common Stock that may be issued upon exercise of the 2025 WTI Warrants held by the</w:t>
      </w:r>
    </w:p>
    <w:p>
      <w:pPr>
        <w:spacing w:after="0" w:line="5" w:lineRule="exact"/>
        <w:rPr>
          <w:sz w:val="20"/>
          <w:szCs w:val="20"/>
          <w:color w:val="auto"/>
        </w:rPr>
      </w:pPr>
    </w:p>
    <w:p>
      <w:pPr>
        <w:ind w:left="1300" w:right="1320"/>
        <w:spacing w:after="0" w:line="253" w:lineRule="auto"/>
        <w:rPr>
          <w:sz w:val="20"/>
          <w:szCs w:val="20"/>
          <w:color w:val="auto"/>
        </w:rPr>
      </w:pPr>
      <w:r>
        <w:rPr>
          <w:rFonts w:ascii="Times New Roman" w:cs="Times New Roman" w:eastAsia="Times New Roman" w:hAnsi="Times New Roman"/>
          <w:sz w:val="18"/>
          <w:szCs w:val="18"/>
          <w:color w:val="auto"/>
        </w:rPr>
        <w:t>WTI Holders; (vii) up to 3,250,470 shares of Common Stock issued and issuable pursuant to the terms of the Subscription Agreements entered into with the Subscribers, consisting of (a) 1,625,235 shares of Common Stock issued to the Subscribers and (b) 1,625,235 shares that may be issued upon exercise of the Series A Warrants held by the Subscribers; and (viii) 65,000 shares of Common Stock that were issued upon conversion of the Convertible Debentures issued to Yorkville pursuant to the Securities Purchase Agreement.</w:t>
      </w:r>
    </w:p>
    <w:p>
      <w:pPr>
        <w:spacing w:after="0" w:line="79" w:lineRule="exact"/>
        <w:rPr>
          <w:sz w:val="20"/>
          <w:szCs w:val="20"/>
          <w:color w:val="auto"/>
        </w:rPr>
      </w:pPr>
    </w:p>
    <w:p>
      <w:pPr>
        <w:ind w:left="1300" w:right="1400" w:firstLine="360"/>
        <w:spacing w:after="0" w:line="255" w:lineRule="auto"/>
        <w:rPr>
          <w:sz w:val="20"/>
          <w:szCs w:val="20"/>
          <w:color w:val="auto"/>
        </w:rPr>
      </w:pPr>
      <w:r>
        <w:rPr>
          <w:rFonts w:ascii="Times New Roman" w:cs="Times New Roman" w:eastAsia="Times New Roman" w:hAnsi="Times New Roman"/>
          <w:sz w:val="18"/>
          <w:szCs w:val="18"/>
          <w:color w:val="auto"/>
        </w:rPr>
        <w:t>As used in this prospectus, the term “Selling Stockholders” means the persons listed in the table below and the pledgees, donees, transferees, assignees, successors, designees and others who later come to hold any of the Selling Stockholders’ interest in our Common Stock other than through a public sale. The Selling Stockholders may from time to time offer and sell any or all of our Common Stock set forth below pursuant to this prospectus and any accompanying prospectus supplement. Except as otherwise described below and for the ownership of the shares of our Common Stock, the Selling Stockholders have not had any material relationship with us or our predecessors or affiliates within the past three years.</w:t>
      </w:r>
    </w:p>
    <w:p>
      <w:pPr>
        <w:spacing w:after="0" w:line="81" w:lineRule="exact"/>
        <w:rPr>
          <w:sz w:val="20"/>
          <w:szCs w:val="20"/>
          <w:color w:val="auto"/>
        </w:rPr>
      </w:pPr>
    </w:p>
    <w:p>
      <w:pPr>
        <w:ind w:left="1300" w:right="1320" w:firstLine="360"/>
        <w:spacing w:after="0" w:line="255" w:lineRule="auto"/>
        <w:rPr>
          <w:sz w:val="20"/>
          <w:szCs w:val="20"/>
          <w:color w:val="auto"/>
        </w:rPr>
      </w:pPr>
      <w:r>
        <w:rPr>
          <w:rFonts w:ascii="Times New Roman" w:cs="Times New Roman" w:eastAsia="Times New Roman" w:hAnsi="Times New Roman"/>
          <w:sz w:val="18"/>
          <w:szCs w:val="18"/>
          <w:color w:val="auto"/>
        </w:rPr>
        <w:t>Unless otherwise noted below, the following table sets forth, as of February 3, 2026,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For purposes of the following table, we have assumed that the Selling Stockholders will have sold all of the securities covered by this prospectus upon the completion of the offering. The Selling Stockholders may sell or otherwise transfer all, some or none of such shares in this offering.</w:t>
      </w:r>
    </w:p>
    <w:p>
      <w:pPr>
        <w:spacing w:after="0" w:line="81" w:lineRule="exact"/>
        <w:rPr>
          <w:sz w:val="20"/>
          <w:szCs w:val="20"/>
          <w:color w:val="auto"/>
        </w:rPr>
      </w:pPr>
    </w:p>
    <w:p>
      <w:pPr>
        <w:ind w:left="1300" w:right="1340" w:firstLine="360"/>
        <w:spacing w:after="0" w:line="254" w:lineRule="auto"/>
        <w:rPr>
          <w:sz w:val="20"/>
          <w:szCs w:val="20"/>
          <w:color w:val="auto"/>
        </w:rPr>
      </w:pPr>
      <w:r>
        <w:rPr>
          <w:rFonts w:ascii="Times New Roman" w:cs="Times New Roman" w:eastAsia="Times New Roman" w:hAnsi="Times New Roman"/>
          <w:sz w:val="18"/>
          <w:szCs w:val="18"/>
          <w:color w:val="auto"/>
        </w:rPr>
        <w:t>We have based percentage ownership on 80,069,319 shares of Common Stock outstanding as of March 13, 2026. We have determined beneficial ownership in accordance with the rules of the SEC. Except as indicated by the footnotes below, we believe, based on the information furnished to us, that the Selling Stockholders have sole voting and investment power with respect to all shares of Common Stock that they beneficially own, subject to applicable community property laws. Except as otherwise described below, based on the information provided to us by the Selling Stockholders, no Selling Stockholder is a broker-dealer or an affiliate of a broker dealer. 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Stockholders’ method of distributing these shares.</w:t>
      </w:r>
    </w:p>
    <w:p>
      <w:pPr>
        <w:spacing w:after="0" w:line="84" w:lineRule="exact"/>
        <w:rPr>
          <w:sz w:val="20"/>
          <w:szCs w:val="20"/>
          <w:color w:val="auto"/>
        </w:rPr>
      </w:pPr>
    </w:p>
    <w:p>
      <w:pPr>
        <w:ind w:left="1300" w:right="1380" w:firstLine="360"/>
        <w:spacing w:after="0" w:line="281" w:lineRule="auto"/>
        <w:rPr>
          <w:sz w:val="20"/>
          <w:szCs w:val="20"/>
          <w:color w:val="auto"/>
        </w:rPr>
      </w:pPr>
      <w:r>
        <w:rPr>
          <w:rFonts w:ascii="Times New Roman" w:cs="Times New Roman" w:eastAsia="Times New Roman" w:hAnsi="Times New Roman"/>
          <w:sz w:val="17"/>
          <w:szCs w:val="17"/>
          <w:color w:val="auto"/>
        </w:rPr>
        <w:t>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the Selling Stockholder and the number of shares registered on its behalf.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Series B Preferred Stock</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Albert Aaron and Ethel C Mason Berg</w:t>
            </w:r>
          </w:p>
        </w:tc>
        <w:tc>
          <w:tcPr>
            <w:tcW w:w="1260" w:type="dxa"/>
            <w:vAlign w:val="bottom"/>
            <w:gridSpan w:val="2"/>
          </w:tcPr>
          <w:p>
            <w:pPr>
              <w:jc w:val="right"/>
              <w:ind w:right="48"/>
              <w:spacing w:after="0" w:line="243" w:lineRule="exact"/>
              <w:rPr>
                <w:sz w:val="20"/>
                <w:szCs w:val="20"/>
                <w:color w:val="auto"/>
              </w:rPr>
            </w:pPr>
            <w:r>
              <w:rPr>
                <w:rFonts w:ascii="Times New Roman" w:cs="Times New Roman" w:eastAsia="Times New Roman" w:hAnsi="Times New Roman"/>
                <w:sz w:val="17"/>
                <w:szCs w:val="17"/>
                <w:color w:val="auto"/>
              </w:rPr>
              <w:t>39,921</w:t>
            </w:r>
            <w:r>
              <w:rPr>
                <w:rFonts w:ascii="Times New Roman" w:cs="Times New Roman" w:eastAsia="Times New Roman" w:hAnsi="Times New Roman"/>
                <w:sz w:val="28"/>
                <w:szCs w:val="28"/>
                <w:color w:val="auto"/>
                <w:vertAlign w:val="superscript"/>
              </w:rPr>
              <w:t>(1)</w:t>
            </w: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10,198</w:t>
            </w:r>
          </w:p>
        </w:tc>
        <w:tc>
          <w:tcPr>
            <w:tcW w:w="108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29,723</w:t>
            </w: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and Kelly Bradshaw</w:t>
            </w:r>
          </w:p>
        </w:tc>
        <w:tc>
          <w:tcPr>
            <w:tcW w:w="1260" w:type="dxa"/>
            <w:vAlign w:val="bottom"/>
            <w:gridSpan w:val="2"/>
            <w:shd w:val="clear" w:color="auto" w:fill="CCEEFF"/>
          </w:tcPr>
          <w:p>
            <w:pPr>
              <w:jc w:val="right"/>
              <w:ind w:right="48"/>
              <w:spacing w:after="0" w:line="243" w:lineRule="exact"/>
              <w:rPr>
                <w:sz w:val="20"/>
                <w:szCs w:val="20"/>
                <w:color w:val="auto"/>
              </w:rPr>
            </w:pPr>
            <w:r>
              <w:rPr>
                <w:rFonts w:ascii="Times New Roman" w:cs="Times New Roman" w:eastAsia="Times New Roman" w:hAnsi="Times New Roman"/>
                <w:sz w:val="17"/>
                <w:szCs w:val="17"/>
                <w:color w:val="auto"/>
              </w:rPr>
              <w:t>21,735</w:t>
            </w:r>
            <w:r>
              <w:rPr>
                <w:rFonts w:ascii="Times New Roman" w:cs="Times New Roman" w:eastAsia="Times New Roman" w:hAnsi="Times New Roman"/>
                <w:sz w:val="28"/>
                <w:szCs w:val="28"/>
                <w:color w:val="auto"/>
                <w:vertAlign w:val="superscript"/>
              </w:rPr>
              <w:t>(2)</w:t>
            </w:r>
          </w:p>
        </w:tc>
        <w:tc>
          <w:tcPr>
            <w:tcW w:w="14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4,078</w:t>
            </w:r>
          </w:p>
        </w:tc>
        <w:tc>
          <w:tcPr>
            <w:tcW w:w="10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17,657</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and Donna Corley</w:t>
            </w:r>
          </w:p>
        </w:tc>
        <w:tc>
          <w:tcPr>
            <w:tcW w:w="1260" w:type="dxa"/>
            <w:vAlign w:val="bottom"/>
            <w:gridSpan w:val="2"/>
          </w:tcPr>
          <w:p>
            <w:pPr>
              <w:jc w:val="right"/>
              <w:ind w:right="48"/>
              <w:spacing w:after="0" w:line="243" w:lineRule="exact"/>
              <w:rPr>
                <w:sz w:val="20"/>
                <w:szCs w:val="20"/>
                <w:color w:val="auto"/>
              </w:rPr>
            </w:pPr>
            <w:r>
              <w:rPr>
                <w:rFonts w:ascii="Times New Roman" w:cs="Times New Roman" w:eastAsia="Times New Roman" w:hAnsi="Times New Roman"/>
                <w:sz w:val="17"/>
                <w:szCs w:val="17"/>
                <w:color w:val="auto"/>
              </w:rPr>
              <w:t>96,487</w:t>
            </w:r>
            <w:r>
              <w:rPr>
                <w:rFonts w:ascii="Times New Roman" w:cs="Times New Roman" w:eastAsia="Times New Roman" w:hAnsi="Times New Roman"/>
                <w:sz w:val="28"/>
                <w:szCs w:val="28"/>
                <w:color w:val="auto"/>
                <w:vertAlign w:val="superscript"/>
              </w:rPr>
              <w:t>(3)</w:t>
            </w:r>
          </w:p>
        </w:tc>
        <w:tc>
          <w:tcPr>
            <w:tcW w:w="148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17"/>
                <w:szCs w:val="17"/>
                <w:color w:val="auto"/>
              </w:rPr>
              <w:t>29,719</w:t>
            </w:r>
            <w:r>
              <w:rPr>
                <w:rFonts w:ascii="Times New Roman" w:cs="Times New Roman" w:eastAsia="Times New Roman" w:hAnsi="Times New Roman"/>
                <w:sz w:val="28"/>
                <w:szCs w:val="28"/>
                <w:color w:val="auto"/>
                <w:vertAlign w:val="superscript"/>
              </w:rPr>
              <w:t>(4)</w:t>
            </w:r>
          </w:p>
        </w:tc>
        <w:tc>
          <w:tcPr>
            <w:tcW w:w="108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74,461</w:t>
            </w: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Gabriel Eljach</w:t>
            </w:r>
          </w:p>
        </w:tc>
        <w:tc>
          <w:tcPr>
            <w:tcW w:w="1260" w:type="dxa"/>
            <w:vAlign w:val="bottom"/>
            <w:gridSpan w:val="2"/>
            <w:shd w:val="clear" w:color="auto" w:fill="CCEEFF"/>
          </w:tcPr>
          <w:p>
            <w:pPr>
              <w:jc w:val="right"/>
              <w:ind w:right="28"/>
              <w:spacing w:after="0" w:line="243" w:lineRule="exact"/>
              <w:rPr>
                <w:sz w:val="20"/>
                <w:szCs w:val="20"/>
                <w:color w:val="auto"/>
              </w:rPr>
            </w:pPr>
            <w:r>
              <w:rPr>
                <w:rFonts w:ascii="Times New Roman" w:cs="Times New Roman" w:eastAsia="Times New Roman" w:hAnsi="Times New Roman"/>
                <w:sz w:val="17"/>
                <w:szCs w:val="17"/>
                <w:color w:val="auto"/>
              </w:rPr>
              <w:t>109,418</w:t>
            </w:r>
            <w:r>
              <w:rPr>
                <w:rFonts w:ascii="Times New Roman" w:cs="Times New Roman" w:eastAsia="Times New Roman" w:hAnsi="Times New Roman"/>
                <w:sz w:val="28"/>
                <w:szCs w:val="28"/>
                <w:color w:val="auto"/>
                <w:vertAlign w:val="superscript"/>
              </w:rPr>
              <w:t>(5)</w:t>
            </w:r>
          </w:p>
        </w:tc>
        <w:tc>
          <w:tcPr>
            <w:tcW w:w="1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20,396</w:t>
            </w:r>
          </w:p>
        </w:tc>
        <w:tc>
          <w:tcPr>
            <w:tcW w:w="10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89,022</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James Nathan Galbreath</w:t>
            </w: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11,218</w:t>
            </w:r>
            <w:r>
              <w:rPr>
                <w:rFonts w:ascii="Times New Roman" w:cs="Times New Roman" w:eastAsia="Times New Roman" w:hAnsi="Times New Roman"/>
                <w:sz w:val="29"/>
                <w:szCs w:val="29"/>
                <w:color w:val="auto"/>
                <w:vertAlign w:val="superscript"/>
              </w:rPr>
              <w:t>(6)</w:t>
            </w: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11,218</w:t>
            </w:r>
          </w:p>
        </w:tc>
        <w:tc>
          <w:tcPr>
            <w:tcW w:w="140" w:type="dxa"/>
            <w:vAlign w:val="bottom"/>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and Kristin Haughton</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5"/>
              <w:spacing w:after="0" w:line="250" w:lineRule="exact"/>
              <w:rPr>
                <w:sz w:val="20"/>
                <w:szCs w:val="20"/>
                <w:color w:val="auto"/>
              </w:rPr>
            </w:pPr>
            <w:r>
              <w:rPr>
                <w:rFonts w:ascii="Times New Roman" w:cs="Times New Roman" w:eastAsia="Times New Roman" w:hAnsi="Times New Roman"/>
                <w:sz w:val="17"/>
                <w:szCs w:val="17"/>
                <w:color w:val="auto"/>
              </w:rPr>
              <w:t>61,192</w:t>
            </w:r>
            <w:r>
              <w:rPr>
                <w:rFonts w:ascii="Times New Roman" w:cs="Times New Roman" w:eastAsia="Times New Roman" w:hAnsi="Times New Roman"/>
                <w:sz w:val="28"/>
                <w:szCs w:val="28"/>
                <w:color w:val="auto"/>
                <w:vertAlign w:val="superscript"/>
              </w:rPr>
              <w:t>(7)</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61,192</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Kaitlan Hawkins</w:t>
            </w:r>
          </w:p>
        </w:tc>
        <w:tc>
          <w:tcPr>
            <w:tcW w:w="1320" w:type="dxa"/>
            <w:vAlign w:val="bottom"/>
            <w:gridSpan w:val="2"/>
          </w:tcPr>
          <w:p>
            <w:pPr>
              <w:jc w:val="right"/>
              <w:ind w:right="25"/>
              <w:spacing w:after="0" w:line="243" w:lineRule="exact"/>
              <w:rPr>
                <w:sz w:val="20"/>
                <w:szCs w:val="20"/>
                <w:color w:val="auto"/>
              </w:rPr>
            </w:pPr>
            <w:r>
              <w:rPr>
                <w:rFonts w:ascii="Times New Roman" w:cs="Times New Roman" w:eastAsia="Times New Roman" w:hAnsi="Times New Roman"/>
                <w:sz w:val="17"/>
                <w:szCs w:val="17"/>
                <w:color w:val="auto"/>
              </w:rPr>
              <w:t>33,832</w:t>
            </w:r>
            <w:r>
              <w:rPr>
                <w:rFonts w:ascii="Times New Roman" w:cs="Times New Roman" w:eastAsia="Times New Roman" w:hAnsi="Times New Roman"/>
                <w:sz w:val="28"/>
                <w:szCs w:val="28"/>
                <w:color w:val="auto"/>
                <w:vertAlign w:val="superscript"/>
              </w:rPr>
              <w:t>(8)</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4,078</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29,754</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Chi Lim</w:t>
            </w:r>
          </w:p>
        </w:tc>
        <w:tc>
          <w:tcPr>
            <w:tcW w:w="1320" w:type="dxa"/>
            <w:vAlign w:val="bottom"/>
            <w:gridSpan w:val="2"/>
            <w:shd w:val="clear" w:color="auto" w:fill="CCEEFF"/>
          </w:tcPr>
          <w:p>
            <w:pPr>
              <w:jc w:val="right"/>
              <w:ind w:right="25"/>
              <w:spacing w:after="0" w:line="243" w:lineRule="exact"/>
              <w:rPr>
                <w:sz w:val="20"/>
                <w:szCs w:val="20"/>
                <w:color w:val="auto"/>
              </w:rPr>
            </w:pPr>
            <w:r>
              <w:rPr>
                <w:rFonts w:ascii="Times New Roman" w:cs="Times New Roman" w:eastAsia="Times New Roman" w:hAnsi="Times New Roman"/>
                <w:sz w:val="17"/>
                <w:szCs w:val="17"/>
                <w:color w:val="auto"/>
              </w:rPr>
              <w:t>70,221</w:t>
            </w:r>
            <w:r>
              <w:rPr>
                <w:rFonts w:ascii="Times New Roman" w:cs="Times New Roman" w:eastAsia="Times New Roman" w:hAnsi="Times New Roman"/>
                <w:sz w:val="28"/>
                <w:szCs w:val="28"/>
                <w:color w:val="auto"/>
                <w:vertAlign w:val="superscript"/>
              </w:rPr>
              <w:t>(9)</w:t>
            </w:r>
          </w:p>
        </w:tc>
        <w:tc>
          <w:tcPr>
            <w:tcW w:w="1460" w:type="dxa"/>
            <w:vAlign w:val="bottom"/>
            <w:gridSpan w:val="2"/>
            <w:shd w:val="clear" w:color="auto" w:fill="CCEEFF"/>
          </w:tcPr>
          <w:p>
            <w:pPr>
              <w:jc w:val="right"/>
              <w:ind w:right="8"/>
              <w:spacing w:after="0" w:line="243" w:lineRule="exact"/>
              <w:rPr>
                <w:sz w:val="20"/>
                <w:szCs w:val="20"/>
                <w:color w:val="auto"/>
              </w:rPr>
            </w:pPr>
            <w:r>
              <w:rPr>
                <w:rFonts w:ascii="Times New Roman" w:cs="Times New Roman" w:eastAsia="Times New Roman" w:hAnsi="Times New Roman"/>
                <w:sz w:val="17"/>
                <w:szCs w:val="17"/>
                <w:color w:val="auto"/>
              </w:rPr>
              <w:t>14,860</w:t>
            </w:r>
            <w:r>
              <w:rPr>
                <w:rFonts w:ascii="Times New Roman" w:cs="Times New Roman" w:eastAsia="Times New Roman" w:hAnsi="Times New Roman"/>
                <w:sz w:val="28"/>
                <w:szCs w:val="28"/>
                <w:color w:val="auto"/>
                <w:vertAlign w:val="superscript"/>
              </w:rPr>
              <w:t>(4)</w:t>
            </w:r>
          </w:p>
        </w:tc>
        <w:tc>
          <w:tcPr>
            <w:tcW w:w="10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59,209</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Vikash Patel</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10,198</w:t>
            </w:r>
            <w:r>
              <w:rPr>
                <w:rFonts w:ascii="Times New Roman" w:cs="Times New Roman" w:eastAsia="Times New Roman" w:hAnsi="Times New Roman"/>
                <w:sz w:val="28"/>
                <w:szCs w:val="28"/>
                <w:color w:val="auto"/>
                <w:vertAlign w:val="superscript"/>
              </w:rPr>
              <w:t>(10)</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10,198</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Alan Runyan</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150,546</w:t>
            </w:r>
            <w:r>
              <w:rPr>
                <w:rFonts w:ascii="Times New Roman" w:cs="Times New Roman" w:eastAsia="Times New Roman" w:hAnsi="Times New Roman"/>
                <w:sz w:val="28"/>
                <w:szCs w:val="28"/>
                <w:color w:val="auto"/>
                <w:vertAlign w:val="superscript"/>
              </w:rPr>
              <w:t>(11)</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61,192</w:t>
            </w:r>
          </w:p>
        </w:tc>
        <w:tc>
          <w:tcPr>
            <w:tcW w:w="10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89,354</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and Holly Sellers</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60,949</w:t>
            </w:r>
            <w:r>
              <w:rPr>
                <w:rFonts w:ascii="Times New Roman" w:cs="Times New Roman" w:eastAsia="Times New Roman" w:hAnsi="Times New Roman"/>
                <w:sz w:val="28"/>
                <w:szCs w:val="28"/>
                <w:color w:val="auto"/>
                <w:vertAlign w:val="superscript"/>
              </w:rPr>
              <w:t>(12)</w:t>
            </w:r>
          </w:p>
        </w:tc>
        <w:tc>
          <w:tcPr>
            <w:tcW w:w="1460" w:type="dxa"/>
            <w:vAlign w:val="bottom"/>
            <w:gridSpan w:val="2"/>
          </w:tcPr>
          <w:p>
            <w:pPr>
              <w:jc w:val="right"/>
              <w:ind w:right="8"/>
              <w:spacing w:after="0" w:line="243" w:lineRule="exact"/>
              <w:rPr>
                <w:sz w:val="20"/>
                <w:szCs w:val="20"/>
                <w:color w:val="auto"/>
              </w:rPr>
            </w:pPr>
            <w:r>
              <w:rPr>
                <w:rFonts w:ascii="Times New Roman" w:cs="Times New Roman" w:eastAsia="Times New Roman" w:hAnsi="Times New Roman"/>
                <w:sz w:val="17"/>
                <w:szCs w:val="17"/>
                <w:color w:val="auto"/>
              </w:rPr>
              <w:t>22,290</w:t>
            </w:r>
            <w:r>
              <w:rPr>
                <w:rFonts w:ascii="Times New Roman" w:cs="Times New Roman" w:eastAsia="Times New Roman" w:hAnsi="Times New Roman"/>
                <w:sz w:val="28"/>
                <w:szCs w:val="28"/>
                <w:color w:val="auto"/>
                <w:vertAlign w:val="superscript"/>
              </w:rPr>
              <w:t>(4)</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44,429</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M Shaw</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96</w:t>
            </w:r>
            <w:r>
              <w:rPr>
                <w:rFonts w:ascii="Times New Roman" w:cs="Times New Roman" w:eastAsia="Times New Roman" w:hAnsi="Times New Roman"/>
                <w:sz w:val="13"/>
                <w:szCs w:val="13"/>
                <w:color w:val="auto"/>
              </w:rPr>
              <w:t>(13)</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Commonwealth Asset Management Global</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1,529,836</w:t>
            </w:r>
            <w:r>
              <w:rPr>
                <w:rFonts w:ascii="Times New Roman" w:cs="Times New Roman" w:eastAsia="Times New Roman" w:hAnsi="Times New Roman"/>
                <w:sz w:val="29"/>
                <w:szCs w:val="29"/>
                <w:color w:val="auto"/>
                <w:vertAlign w:val="superscript"/>
              </w:rPr>
              <w:t>(14)</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Macro Master Fund Ltd.</w:t>
            </w:r>
          </w:p>
        </w:tc>
        <w:tc>
          <w:tcPr>
            <w:tcW w:w="1320" w:type="dxa"/>
            <w:vAlign w:val="bottom"/>
            <w:gridSpan w:val="2"/>
            <w:vMerge w:val="continue"/>
          </w:tcPr>
          <w:p>
            <w:pPr>
              <w:spacing w:after="0"/>
              <w:rPr>
                <w:sz w:val="21"/>
                <w:szCs w:val="21"/>
                <w:color w:val="auto"/>
              </w:rPr>
            </w:pP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1,529,836</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Javid Mu'az Baksh Living Trust dated</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w:t>
            </w:r>
            <w:r>
              <w:rPr>
                <w:rFonts w:ascii="Times New Roman" w:cs="Times New Roman" w:eastAsia="Times New Roman" w:hAnsi="Times New Roman"/>
                <w:sz w:val="29"/>
                <w:szCs w:val="29"/>
                <w:color w:val="auto"/>
                <w:vertAlign w:val="superscript"/>
              </w:rPr>
              <w:t>(15)</w:t>
            </w:r>
          </w:p>
        </w:tc>
        <w:tc>
          <w:tcPr>
            <w:tcW w:w="14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9, 2014</w:t>
            </w:r>
          </w:p>
        </w:tc>
        <w:tc>
          <w:tcPr>
            <w:tcW w:w="1320" w:type="dxa"/>
            <w:vAlign w:val="bottom"/>
            <w:gridSpan w:val="2"/>
            <w:vMerge w:val="continue"/>
            <w:shd w:val="clear" w:color="auto" w:fill="CCEEFF"/>
          </w:tcPr>
          <w:p>
            <w:pPr>
              <w:spacing w:after="0"/>
              <w:rPr>
                <w:sz w:val="21"/>
                <w:szCs w:val="21"/>
                <w:color w:val="auto"/>
              </w:rPr>
            </w:pPr>
          </w:p>
        </w:tc>
        <w:tc>
          <w:tcPr>
            <w:tcW w:w="14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SP3 Investments LLC</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169,321</w:t>
            </w:r>
            <w:r>
              <w:rPr>
                <w:rFonts w:ascii="Times New Roman" w:cs="Times New Roman" w:eastAsia="Times New Roman" w:hAnsi="Times New Roman"/>
                <w:sz w:val="28"/>
                <w:szCs w:val="28"/>
                <w:color w:val="auto"/>
                <w:vertAlign w:val="superscript"/>
              </w:rPr>
              <w:t>(16)</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20,396</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148,925</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TDC Ventures, LP</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694,308</w:t>
            </w:r>
            <w:r>
              <w:rPr>
                <w:rFonts w:ascii="Times New Roman" w:cs="Times New Roman" w:eastAsia="Times New Roman" w:hAnsi="Times New Roman"/>
                <w:sz w:val="28"/>
                <w:szCs w:val="28"/>
                <w:color w:val="auto"/>
                <w:vertAlign w:val="superscript"/>
              </w:rPr>
              <w:t>(17)</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101,988</w:t>
            </w:r>
          </w:p>
        </w:tc>
        <w:tc>
          <w:tcPr>
            <w:tcW w:w="10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592,320</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Irrevocable Aloha Trust</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1,741,143</w:t>
            </w:r>
            <w:r>
              <w:rPr>
                <w:rFonts w:ascii="Times New Roman" w:cs="Times New Roman" w:eastAsia="Times New Roman" w:hAnsi="Times New Roman"/>
                <w:sz w:val="28"/>
                <w:szCs w:val="28"/>
                <w:color w:val="auto"/>
                <w:vertAlign w:val="superscript"/>
              </w:rPr>
              <w:t>(18)</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203,978</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1,537,165</w:t>
            </w: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Stephan Revocable Trust</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10,198</w:t>
            </w:r>
            <w:r>
              <w:rPr>
                <w:rFonts w:ascii="Times New Roman" w:cs="Times New Roman" w:eastAsia="Times New Roman" w:hAnsi="Times New Roman"/>
                <w:sz w:val="28"/>
                <w:szCs w:val="28"/>
                <w:color w:val="auto"/>
                <w:vertAlign w:val="superscript"/>
              </w:rPr>
              <w:t>(19)</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10,198</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SEPA and Convertible Debentures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 II PN, Ltd.</w:t>
            </w:r>
          </w:p>
        </w:tc>
        <w:tc>
          <w:tcPr>
            <w:tcW w:w="1320" w:type="dxa"/>
            <w:vAlign w:val="bottom"/>
            <w:gridSpan w:val="2"/>
            <w:shd w:val="clear" w:color="auto" w:fill="CCEEFF"/>
          </w:tcPr>
          <w:p>
            <w:pPr>
              <w:jc w:val="right"/>
              <w:spacing w:after="0" w:line="245"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8"/>
                <w:szCs w:val="28"/>
                <w:color w:val="auto"/>
                <w:vertAlign w:val="superscript"/>
              </w:rPr>
              <w:t>(20)</w:t>
            </w:r>
          </w:p>
        </w:tc>
        <w:tc>
          <w:tcPr>
            <w:tcW w:w="1460" w:type="dxa"/>
            <w:vAlign w:val="bottom"/>
            <w:gridSpan w:val="2"/>
            <w:shd w:val="clear" w:color="auto" w:fill="CCEEFF"/>
          </w:tcPr>
          <w:p>
            <w:pPr>
              <w:jc w:val="right"/>
              <w:spacing w:after="0" w:line="245" w:lineRule="exact"/>
              <w:rPr>
                <w:sz w:val="20"/>
                <w:szCs w:val="20"/>
                <w:color w:val="auto"/>
              </w:rPr>
            </w:pPr>
            <w:r>
              <w:rPr>
                <w:rFonts w:ascii="Times New Roman" w:cs="Times New Roman" w:eastAsia="Times New Roman" w:hAnsi="Times New Roman"/>
                <w:sz w:val="17"/>
                <w:szCs w:val="17"/>
                <w:color w:val="auto"/>
              </w:rPr>
              <w:t>16,309,741</w:t>
            </w:r>
            <w:r>
              <w:rPr>
                <w:rFonts w:ascii="Times New Roman" w:cs="Times New Roman" w:eastAsia="Times New Roman" w:hAnsi="Times New Roman"/>
                <w:sz w:val="28"/>
                <w:szCs w:val="28"/>
                <w:color w:val="auto"/>
                <w:vertAlign w:val="superscript"/>
              </w:rPr>
              <w:t>(21)</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A&amp;R Registration Rights Agreement</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line="245" w:lineRule="exact"/>
              <w:rPr>
                <w:sz w:val="20"/>
                <w:szCs w:val="20"/>
                <w:color w:val="auto"/>
              </w:rPr>
            </w:pPr>
            <w:r>
              <w:rPr>
                <w:rFonts w:ascii="Times New Roman" w:cs="Times New Roman" w:eastAsia="Times New Roman" w:hAnsi="Times New Roman"/>
                <w:sz w:val="17"/>
                <w:szCs w:val="17"/>
                <w:color w:val="auto"/>
              </w:rPr>
              <w:t>Peter Relan</w:t>
            </w:r>
            <w:r>
              <w:rPr>
                <w:rFonts w:ascii="Times New Roman" w:cs="Times New Roman" w:eastAsia="Times New Roman" w:hAnsi="Times New Roman"/>
                <w:sz w:val="28"/>
                <w:szCs w:val="28"/>
                <w:color w:val="auto"/>
                <w:vertAlign w:val="superscript"/>
              </w:rPr>
              <w:t>(22)</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30,000</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Ellen Levy</w:t>
            </w:r>
            <w:r>
              <w:rPr>
                <w:rFonts w:ascii="Times New Roman" w:cs="Times New Roman" w:eastAsia="Times New Roman" w:hAnsi="Times New Roman"/>
                <w:sz w:val="28"/>
                <w:szCs w:val="28"/>
                <w:color w:val="auto"/>
                <w:vertAlign w:val="superscript"/>
              </w:rPr>
              <w:t>(23)</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30,000</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Daniel J Hennessy</w:t>
            </w:r>
            <w:r>
              <w:rPr>
                <w:rFonts w:ascii="Times New Roman" w:cs="Times New Roman" w:eastAsia="Times New Roman" w:hAnsi="Times New Roman"/>
                <w:sz w:val="28"/>
                <w:szCs w:val="28"/>
                <w:color w:val="auto"/>
                <w:vertAlign w:val="superscript"/>
              </w:rPr>
              <w:t>(24)</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738,790</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738,790</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AFT Investments LLC</w:t>
            </w:r>
            <w:r>
              <w:rPr>
                <w:rFonts w:ascii="Times New Roman" w:cs="Times New Roman" w:eastAsia="Times New Roman" w:hAnsi="Times New Roman"/>
                <w:sz w:val="28"/>
                <w:szCs w:val="28"/>
                <w:color w:val="auto"/>
                <w:vertAlign w:val="superscript"/>
              </w:rPr>
              <w:t>(25)</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249,572</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249,572</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Learn Capital, LLC</w:t>
            </w:r>
            <w:r>
              <w:rPr>
                <w:rFonts w:ascii="Times New Roman" w:cs="Times New Roman" w:eastAsia="Times New Roman" w:hAnsi="Times New Roman"/>
                <w:sz w:val="28"/>
                <w:szCs w:val="28"/>
                <w:color w:val="auto"/>
                <w:vertAlign w:val="superscript"/>
              </w:rPr>
              <w:t>(26)</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1,125,243</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1,125,243</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VJAM LLC</w:t>
            </w:r>
            <w:r>
              <w:rPr>
                <w:rFonts w:ascii="Times New Roman" w:cs="Times New Roman" w:eastAsia="Times New Roman" w:hAnsi="Times New Roman"/>
                <w:sz w:val="28"/>
                <w:szCs w:val="28"/>
                <w:color w:val="auto"/>
                <w:vertAlign w:val="superscript"/>
              </w:rPr>
              <w:t>(27)</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63,299</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63,299</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WTI Fund X, LLC</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1,121,287</w:t>
            </w:r>
          </w:p>
        </w:tc>
        <w:tc>
          <w:tcPr>
            <w:tcW w:w="1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3,250,000</w:t>
            </w:r>
            <w:r>
              <w:rPr>
                <w:rFonts w:ascii="Times New Roman" w:cs="Times New Roman" w:eastAsia="Times New Roman" w:hAnsi="Times New Roman"/>
                <w:sz w:val="28"/>
                <w:szCs w:val="28"/>
                <w:color w:val="auto"/>
                <w:vertAlign w:val="superscript"/>
              </w:rPr>
              <w:t>(28)</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WTI Fund XI, LLC</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373,762</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1,083,334</w:t>
            </w:r>
            <w:r>
              <w:rPr>
                <w:rFonts w:ascii="Times New Roman" w:cs="Times New Roman" w:eastAsia="Times New Roman" w:hAnsi="Times New Roman"/>
                <w:sz w:val="28"/>
                <w:szCs w:val="28"/>
                <w:color w:val="auto"/>
                <w:vertAlign w:val="superscript"/>
              </w:rPr>
              <w:t>(29)</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Series C Preferred Stock</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Ascent X Innventure TC, A Series of Ascent X</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3,541,685</w:t>
            </w:r>
            <w:r>
              <w:rPr>
                <w:rFonts w:ascii="Times New Roman" w:cs="Times New Roman" w:eastAsia="Times New Roman" w:hAnsi="Times New Roman"/>
                <w:sz w:val="29"/>
                <w:szCs w:val="29"/>
                <w:color w:val="auto"/>
                <w:vertAlign w:val="superscript"/>
              </w:rPr>
              <w:t>(30)</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Innventure, LP</w:t>
            </w:r>
          </w:p>
        </w:tc>
        <w:tc>
          <w:tcPr>
            <w:tcW w:w="1320" w:type="dxa"/>
            <w:vAlign w:val="bottom"/>
            <w:gridSpan w:val="2"/>
            <w:vMerge w:val="continue"/>
            <w:shd w:val="clear" w:color="auto" w:fill="CCEEFF"/>
          </w:tcPr>
          <w:p>
            <w:pPr>
              <w:spacing w:after="0"/>
              <w:rPr>
                <w:sz w:val="21"/>
                <w:szCs w:val="21"/>
                <w:color w:val="auto"/>
              </w:rPr>
            </w:pP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250,000</w:t>
            </w:r>
          </w:p>
        </w:tc>
        <w:tc>
          <w:tcPr>
            <w:tcW w:w="10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3,291,685</w:t>
            </w:r>
          </w:p>
        </w:tc>
        <w:tc>
          <w:tcPr>
            <w:tcW w:w="11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Casata Investments LLC</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8"/>
                <w:szCs w:val="28"/>
                <w:color w:val="auto"/>
                <w:vertAlign w:val="superscript"/>
              </w:rPr>
              <w:t>(31)</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Global Life Insurance LTD IRO</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106,180</w:t>
            </w:r>
            <w:r>
              <w:rPr>
                <w:rFonts w:ascii="Times New Roman" w:cs="Times New Roman" w:eastAsia="Times New Roman" w:hAnsi="Times New Roman"/>
                <w:sz w:val="29"/>
                <w:szCs w:val="29"/>
                <w:color w:val="auto"/>
                <w:vertAlign w:val="superscript"/>
              </w:rPr>
              <w:t>(32)</w:t>
            </w:r>
          </w:p>
        </w:tc>
        <w:tc>
          <w:tcPr>
            <w:tcW w:w="1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146,933</w:t>
            </w:r>
            <w:r>
              <w:rPr>
                <w:rFonts w:ascii="Times New Roman" w:cs="Times New Roman" w:eastAsia="Times New Roman" w:hAnsi="Times New Roman"/>
                <w:sz w:val="29"/>
                <w:szCs w:val="29"/>
                <w:color w:val="auto"/>
                <w:vertAlign w:val="superscript"/>
              </w:rPr>
              <w:t>(33)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Separate Account 30286</w:t>
            </w:r>
          </w:p>
        </w:tc>
        <w:tc>
          <w:tcPr>
            <w:tcW w:w="1320" w:type="dxa"/>
            <w:vAlign w:val="bottom"/>
            <w:gridSpan w:val="2"/>
            <w:vMerge w:val="continue"/>
            <w:shd w:val="clear" w:color="auto" w:fill="CCEEFF"/>
          </w:tcPr>
          <w:p>
            <w:pPr>
              <w:spacing w:after="0"/>
              <w:rPr>
                <w:sz w:val="21"/>
                <w:szCs w:val="21"/>
                <w:color w:val="auto"/>
              </w:rPr>
            </w:pPr>
          </w:p>
        </w:tc>
        <w:tc>
          <w:tcPr>
            <w:tcW w:w="14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Glockner Family Venture Fund, LP</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4,680,272</w:t>
            </w:r>
            <w:r>
              <w:rPr>
                <w:rFonts w:ascii="Times New Roman" w:cs="Times New Roman" w:eastAsia="Times New Roman" w:hAnsi="Times New Roman"/>
                <w:sz w:val="28"/>
                <w:szCs w:val="28"/>
                <w:color w:val="auto"/>
                <w:vertAlign w:val="superscript"/>
              </w:rPr>
              <w:t>(34)</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3,940,706</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739,566</w:t>
            </w: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Grail Partners LLC</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326,112</w:t>
            </w:r>
            <w:r>
              <w:rPr>
                <w:rFonts w:ascii="Times New Roman" w:cs="Times New Roman" w:eastAsia="Times New Roman" w:hAnsi="Times New Roman"/>
                <w:sz w:val="28"/>
                <w:szCs w:val="28"/>
                <w:color w:val="auto"/>
                <w:vertAlign w:val="superscript"/>
              </w:rPr>
              <w:t>(35)</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326,112</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Otworth</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3,492,607</w:t>
            </w:r>
            <w:r>
              <w:rPr>
                <w:rFonts w:ascii="Times New Roman" w:cs="Times New Roman" w:eastAsia="Times New Roman" w:hAnsi="Times New Roman"/>
                <w:sz w:val="28"/>
                <w:szCs w:val="28"/>
                <w:color w:val="auto"/>
                <w:vertAlign w:val="superscript"/>
              </w:rPr>
              <w:t>(36)</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228,322</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3,264,275</w:t>
            </w: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Eichelberger 2021 Irrevocable Trust</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2212,360</w:t>
            </w:r>
            <w:r>
              <w:rPr>
                <w:rFonts w:ascii="Times New Roman" w:cs="Times New Roman" w:eastAsia="Times New Roman" w:hAnsi="Times New Roman"/>
                <w:sz w:val="28"/>
                <w:szCs w:val="28"/>
                <w:color w:val="auto"/>
                <w:vertAlign w:val="superscript"/>
              </w:rPr>
              <w:t>(37)</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293,866</w:t>
            </w:r>
            <w:r>
              <w:rPr>
                <w:rFonts w:ascii="Times New Roman" w:cs="Times New Roman" w:eastAsia="Times New Roman" w:hAnsi="Times New Roman"/>
                <w:sz w:val="28"/>
                <w:szCs w:val="28"/>
                <w:color w:val="auto"/>
                <w:vertAlign w:val="superscript"/>
              </w:rPr>
              <w:t>(33)</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Briggs</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25,000</w:t>
            </w:r>
          </w:p>
        </w:tc>
        <w:tc>
          <w:tcPr>
            <w:tcW w:w="1460" w:type="dxa"/>
            <w:vAlign w:val="bottom"/>
            <w:gridSpan w:val="2"/>
            <w:shd w:val="clear" w:color="auto" w:fill="CCEEFF"/>
          </w:tcPr>
          <w:p>
            <w:pPr>
              <w:jc w:val="right"/>
              <w:spacing w:after="0" w:line="245"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(38)</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CastleKnight Master Fund LP</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3,086,416</w:t>
            </w:r>
          </w:p>
        </w:tc>
        <w:tc>
          <w:tcPr>
            <w:tcW w:w="1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2,400,000</w:t>
            </w:r>
            <w:r>
              <w:rPr>
                <w:rFonts w:ascii="Times New Roman" w:cs="Times New Roman" w:eastAsia="Times New Roman" w:hAnsi="Times New Roman"/>
                <w:sz w:val="28"/>
                <w:szCs w:val="28"/>
                <w:color w:val="auto"/>
                <w:vertAlign w:val="superscript"/>
              </w:rPr>
              <w:t>(39)</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686,416</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DOMMFT Investments LLC</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50,000</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(40)</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P. Hoffman</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8,400</w:t>
            </w:r>
          </w:p>
        </w:tc>
        <w:tc>
          <w:tcPr>
            <w:tcW w:w="1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16,800</w:t>
            </w:r>
            <w:r>
              <w:rPr>
                <w:rFonts w:ascii="Times New Roman" w:cs="Times New Roman" w:eastAsia="Times New Roman" w:hAnsi="Times New Roman"/>
                <w:sz w:val="28"/>
                <w:szCs w:val="28"/>
                <w:color w:val="auto"/>
                <w:vertAlign w:val="superscript"/>
              </w:rPr>
              <w:t>(41)</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Jacob Mermelstein</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16,000</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32,000</w:t>
            </w:r>
            <w:r>
              <w:rPr>
                <w:rFonts w:ascii="Times New Roman" w:cs="Times New Roman" w:eastAsia="Times New Roman" w:hAnsi="Times New Roman"/>
                <w:sz w:val="28"/>
                <w:szCs w:val="28"/>
                <w:color w:val="auto"/>
                <w:vertAlign w:val="superscript"/>
              </w:rPr>
              <w:t>(42)</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Erick and Wendi Kuebler</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8,334</w:t>
            </w:r>
          </w:p>
        </w:tc>
        <w:tc>
          <w:tcPr>
            <w:tcW w:w="1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16,668</w:t>
            </w:r>
            <w:r>
              <w:rPr>
                <w:rFonts w:ascii="Times New Roman" w:cs="Times New Roman" w:eastAsia="Times New Roman" w:hAnsi="Times New Roman"/>
                <w:sz w:val="28"/>
                <w:szCs w:val="28"/>
                <w:color w:val="auto"/>
                <w:vertAlign w:val="superscript"/>
              </w:rPr>
              <w:t>(43)</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Lipton</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4,167</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8,334</w:t>
            </w:r>
            <w:r>
              <w:rPr>
                <w:rFonts w:ascii="Times New Roman" w:cs="Times New Roman" w:eastAsia="Times New Roman" w:hAnsi="Times New Roman"/>
                <w:sz w:val="28"/>
                <w:szCs w:val="28"/>
                <w:color w:val="auto"/>
                <w:vertAlign w:val="superscript"/>
              </w:rPr>
              <w:t>(44)</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Marvin Mermelstein Descendants’ Trust</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50,000</w:t>
            </w:r>
          </w:p>
        </w:tc>
        <w:tc>
          <w:tcPr>
            <w:tcW w:w="1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(45)</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Rappaport Ventures LLC</w:t>
            </w:r>
          </w:p>
        </w:tc>
        <w:tc>
          <w:tcPr>
            <w:tcW w:w="1320" w:type="dxa"/>
            <w:vAlign w:val="bottom"/>
            <w:tcBorders>
              <w:bottom w:val="single" w:sz="8" w:color="CCEEFF"/>
            </w:tcBorders>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tcBorders>
              <w:bottom w:val="single" w:sz="8" w:color="CCEEFF"/>
            </w:tcBorders>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6"/>
                <w:szCs w:val="16"/>
                <w:color w:val="auto"/>
              </w:rPr>
              <w:t>70,000</w:t>
            </w:r>
            <w:r>
              <w:rPr>
                <w:rFonts w:ascii="Times New Roman" w:cs="Times New Roman" w:eastAsia="Times New Roman" w:hAnsi="Times New Roman"/>
                <w:sz w:val="26"/>
                <w:szCs w:val="26"/>
                <w:color w:val="auto"/>
                <w:vertAlign w:val="superscript"/>
              </w:rPr>
              <w:t>(46)</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20" w:type="dxa"/>
            <w:vAlign w:val="bottom"/>
            <w:gridSpan w:val="2"/>
          </w:tcPr>
          <w:p>
            <w:pPr>
              <w:jc w:val="right"/>
              <w:ind w:right="385"/>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1440" w:gutter="0" w:footer="0" w:header="0"/>
        </w:sectPr>
      </w:pPr>
    </w:p>
    <w:bookmarkStart w:id="26" w:name="page27"/>
    <w:bookmarkEnd w:id="2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9"/>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90"/>
        </w:trPr>
        <w:tc>
          <w:tcPr>
            <w:tcW w:w="3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Reyes</w:t>
            </w:r>
          </w:p>
        </w:tc>
        <w:tc>
          <w:tcPr>
            <w:tcW w:w="1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216,000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65"/>
              <w:spacing w:after="0" w:line="250" w:lineRule="exact"/>
              <w:rPr>
                <w:sz w:val="20"/>
                <w:szCs w:val="20"/>
                <w:color w:val="auto"/>
              </w:rPr>
            </w:pPr>
            <w:r>
              <w:rPr>
                <w:rFonts w:ascii="Times New Roman" w:cs="Times New Roman" w:eastAsia="Times New Roman" w:hAnsi="Times New Roman"/>
                <w:sz w:val="17"/>
                <w:szCs w:val="17"/>
                <w:color w:val="auto"/>
              </w:rPr>
              <w:t>333,334</w:t>
            </w:r>
            <w:r>
              <w:rPr>
                <w:rFonts w:ascii="Times New Roman" w:cs="Times New Roman" w:eastAsia="Times New Roman" w:hAnsi="Times New Roman"/>
                <w:sz w:val="28"/>
                <w:szCs w:val="28"/>
                <w:color w:val="auto"/>
                <w:vertAlign w:val="superscript"/>
              </w:rPr>
              <w:t>(47)</w:t>
            </w:r>
          </w:p>
        </w:tc>
        <w:tc>
          <w:tcPr>
            <w:tcW w:w="10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49,333</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Schneider</w:t>
            </w:r>
          </w:p>
        </w:tc>
        <w:tc>
          <w:tcPr>
            <w:tcW w:w="12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12,000</w:t>
            </w:r>
          </w:p>
        </w:tc>
        <w:tc>
          <w:tcPr>
            <w:tcW w:w="1480" w:type="dxa"/>
            <w:vAlign w:val="bottom"/>
            <w:gridSpan w:val="2"/>
          </w:tcPr>
          <w:p>
            <w:pPr>
              <w:jc w:val="right"/>
              <w:ind w:right="85"/>
              <w:spacing w:after="0" w:line="243" w:lineRule="exact"/>
              <w:rPr>
                <w:sz w:val="20"/>
                <w:szCs w:val="20"/>
                <w:color w:val="auto"/>
              </w:rPr>
            </w:pPr>
            <w:r>
              <w:rPr>
                <w:rFonts w:ascii="Times New Roman" w:cs="Times New Roman" w:eastAsia="Times New Roman" w:hAnsi="Times New Roman"/>
                <w:sz w:val="17"/>
                <w:szCs w:val="17"/>
                <w:color w:val="auto"/>
              </w:rPr>
              <w:t>19,000</w:t>
            </w:r>
            <w:r>
              <w:rPr>
                <w:rFonts w:ascii="Times New Roman" w:cs="Times New Roman" w:eastAsia="Times New Roman" w:hAnsi="Times New Roman"/>
                <w:sz w:val="28"/>
                <w:szCs w:val="28"/>
                <w:color w:val="auto"/>
                <w:vertAlign w:val="superscript"/>
              </w:rPr>
              <w:t>(48)</w:t>
            </w:r>
          </w:p>
        </w:tc>
        <w:tc>
          <w:tcPr>
            <w:tcW w:w="108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P. Spain</w:t>
            </w:r>
          </w:p>
        </w:tc>
        <w:tc>
          <w:tcPr>
            <w:tcW w:w="12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41,667</w:t>
            </w:r>
          </w:p>
        </w:tc>
        <w:tc>
          <w:tcPr>
            <w:tcW w:w="1480" w:type="dxa"/>
            <w:vAlign w:val="bottom"/>
            <w:gridSpan w:val="2"/>
            <w:shd w:val="clear" w:color="auto" w:fill="CCEEFF"/>
          </w:tcPr>
          <w:p>
            <w:pPr>
              <w:jc w:val="right"/>
              <w:ind w:right="85"/>
              <w:spacing w:after="0" w:line="243" w:lineRule="exact"/>
              <w:rPr>
                <w:sz w:val="20"/>
                <w:szCs w:val="20"/>
                <w:color w:val="auto"/>
              </w:rPr>
            </w:pPr>
            <w:r>
              <w:rPr>
                <w:rFonts w:ascii="Times New Roman" w:cs="Times New Roman" w:eastAsia="Times New Roman" w:hAnsi="Times New Roman"/>
                <w:sz w:val="17"/>
                <w:szCs w:val="17"/>
                <w:color w:val="auto"/>
              </w:rPr>
              <w:t>83,334</w:t>
            </w:r>
            <w:r>
              <w:rPr>
                <w:rFonts w:ascii="Times New Roman" w:cs="Times New Roman" w:eastAsia="Times New Roman" w:hAnsi="Times New Roman"/>
                <w:sz w:val="28"/>
                <w:szCs w:val="28"/>
                <w:color w:val="auto"/>
                <w:vertAlign w:val="superscript"/>
              </w:rPr>
              <w:t>(49)</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YELO Investments II LLC</w:t>
            </w:r>
          </w:p>
        </w:tc>
        <w:tc>
          <w:tcPr>
            <w:tcW w:w="12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10,500</w:t>
            </w:r>
          </w:p>
        </w:tc>
        <w:tc>
          <w:tcPr>
            <w:tcW w:w="1480"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21,000</w:t>
            </w:r>
            <w:r>
              <w:rPr>
                <w:rFonts w:ascii="Times New Roman" w:cs="Times New Roman" w:eastAsia="Times New Roman" w:hAnsi="Times New Roman"/>
                <w:sz w:val="29"/>
                <w:szCs w:val="29"/>
                <w:color w:val="auto"/>
                <w:vertAlign w:val="superscript"/>
              </w:rPr>
              <w:t>(50)</w:t>
            </w:r>
          </w:p>
        </w:tc>
        <w:tc>
          <w:tcPr>
            <w:tcW w:w="140" w:type="dxa"/>
            <w:vAlign w:val="bottom"/>
          </w:tcPr>
          <w:p>
            <w:pPr>
              <w:spacing w:after="0"/>
              <w:rPr>
                <w:sz w:val="24"/>
                <w:szCs w:val="24"/>
                <w:color w:val="auto"/>
              </w:rPr>
            </w:pPr>
          </w:p>
        </w:tc>
        <w:tc>
          <w:tcPr>
            <w:tcW w:w="940" w:type="dxa"/>
            <w:vAlign w:val="bottom"/>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75565</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4" w:lineRule="exact"/>
        <w:rPr>
          <w:sz w:val="20"/>
          <w:szCs w:val="20"/>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ind w:left="640" w:right="399" w:hanging="348"/>
        <w:spacing w:after="0" w:line="229"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29,723 shares of Common Stock of KNA Holdings LLC, the shares of which the Selling Stockholder may be deemed to indirectly beneficially own and have sole voting and investment power, and (ii) 10,198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511 Dallas Rd., Greenville, South Carolina 29607.</w:t>
      </w:r>
    </w:p>
    <w:p>
      <w:pPr>
        <w:spacing w:after="0" w:line="18"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17,657 shares of Common Stock and (ii) 4,078 shares of Common Stock that were issued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Anthony Bradshaw and Mrs. Kelly Bradshaw share voting and investment power over the shares. The business address of the listed Selling Stockholders is 3100 Kingsbarns Dr., Flower Mound, Texas 75028.</w:t>
      </w:r>
    </w:p>
    <w:p>
      <w:pPr>
        <w:spacing w:after="0" w:line="15"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74,461 shares of Common Stock and (ii) 22,026 shares of Common Stock issuable upon conversion of shares of Series B Preferred Stock originally issued to the Selling Stockholders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Christopher Corley and Mrs. Donna Corley share voting and investment power over the shares. The business address of the listed Selling Stockholder is 1001 Moore Road, Greenville, South Carolina 29615.</w:t>
      </w:r>
    </w:p>
    <w:p>
      <w:pPr>
        <w:spacing w:after="0" w:line="15" w:lineRule="exact"/>
        <w:rPr>
          <w:rFonts w:ascii="Times New Roman" w:cs="Times New Roman" w:eastAsia="Times New Roman" w:hAnsi="Times New Roman"/>
          <w:sz w:val="14"/>
          <w:szCs w:val="14"/>
          <w:color w:val="auto"/>
        </w:rPr>
      </w:pPr>
    </w:p>
    <w:p>
      <w:pPr>
        <w:ind w:left="640" w:right="699" w:hanging="348"/>
        <w:spacing w:after="0" w:line="26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shares of Common Stock issuable upon conversion of Series B Preferred Stock issued and to be issued as dividends.</w:t>
      </w:r>
    </w:p>
    <w:p>
      <w:pPr>
        <w:ind w:left="640" w:right="379"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89,022 shares of Common Stock and (ii) 20,396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8895 Northwest 99th Court, Miami, Florida 33178.</w:t>
      </w:r>
    </w:p>
    <w:p>
      <w:pPr>
        <w:spacing w:after="0" w:line="140"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14 Carter Street, Greenville, South Carolina 29607.</w:t>
      </w:r>
    </w:p>
    <w:p>
      <w:pPr>
        <w:spacing w:after="0" w:line="15"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Michael Haughton and Kristin Haughton share voting and investment power over the shares. The business address of the listed Selling Stockholders is 304 Welling Circle, Greenville, South Carolina 29607.</w:t>
      </w:r>
    </w:p>
    <w:p>
      <w:pPr>
        <w:spacing w:after="0" w:line="15" w:lineRule="exact"/>
        <w:rPr>
          <w:rFonts w:ascii="Times New Roman" w:cs="Times New Roman" w:eastAsia="Times New Roman" w:hAnsi="Times New Roman"/>
          <w:sz w:val="14"/>
          <w:szCs w:val="14"/>
          <w:color w:val="auto"/>
        </w:rPr>
      </w:pPr>
    </w:p>
    <w:p>
      <w:pPr>
        <w:ind w:left="640" w:right="379"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29,754 shares of Common Stock and (ii) 4,078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214 Stewart Street, Greenville, South Carolina 29605.</w:t>
      </w:r>
    </w:p>
    <w:p>
      <w:pPr>
        <w:spacing w:after="0" w:line="140" w:lineRule="exact"/>
        <w:rPr>
          <w:rFonts w:ascii="Times New Roman" w:cs="Times New Roman" w:eastAsia="Times New Roman" w:hAnsi="Times New Roman"/>
          <w:sz w:val="14"/>
          <w:szCs w:val="14"/>
          <w:color w:val="auto"/>
        </w:rPr>
      </w:pPr>
    </w:p>
    <w:p>
      <w:pPr>
        <w:ind w:left="640" w:right="399" w:hanging="348"/>
        <w:spacing w:after="0" w:line="233"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59,209 shares of Common Stock and (ii) 11,012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514 Adaliz Way, Greer, South Carolina 29651.</w:t>
      </w:r>
    </w:p>
    <w:p>
      <w:pPr>
        <w:spacing w:after="0" w:line="15"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800 North Main Street, Greenville, South Carolina 29609.</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79"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89,354 shares of Common Stock and (ii) 61,192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18 Tuxedo Drive, Beaufort, South Carolina 29907.</w:t>
      </w:r>
    </w:p>
    <w:p>
      <w:pPr>
        <w:spacing w:after="0" w:line="140" w:lineRule="exact"/>
        <w:rPr>
          <w:rFonts w:ascii="Times New Roman" w:cs="Times New Roman" w:eastAsia="Times New Roman" w:hAnsi="Times New Roman"/>
          <w:sz w:val="14"/>
          <w:szCs w:val="14"/>
          <w:color w:val="auto"/>
        </w:rPr>
      </w:pPr>
    </w:p>
    <w:p>
      <w:pPr>
        <w:ind w:left="640" w:right="399" w:hanging="348"/>
        <w:spacing w:after="0" w:line="23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44,429 shares of Common Stock and (ii) 16,520 shares of Common Stock issuable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Matthew Sellers and Holly Sellers share voting and investment power over the shares. The business address of the listed Selling Stockholders is 306 Crescent Avenue, Greenville, South Carolina 29605.</w:t>
      </w:r>
    </w:p>
    <w:p>
      <w:pPr>
        <w:spacing w:after="0" w:line="15"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21 Belfrey Drive, Greenville, South Carolina 29650.</w:t>
      </w:r>
    </w:p>
    <w:p>
      <w:pPr>
        <w:spacing w:after="0" w:line="15" w:lineRule="exact"/>
        <w:rPr>
          <w:rFonts w:ascii="Times New Roman" w:cs="Times New Roman" w:eastAsia="Times New Roman" w:hAnsi="Times New Roman"/>
          <w:sz w:val="14"/>
          <w:szCs w:val="14"/>
          <w:color w:val="auto"/>
        </w:rPr>
      </w:pPr>
    </w:p>
    <w:p>
      <w:pPr>
        <w:ind w:left="640" w:right="339" w:hanging="348"/>
        <w:spacing w:after="0" w:line="228"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Adam Fisher is the Founder and Chief Investment Officer of Commonwealth Asset Management LP, which is the investment manager of the Selling Stockholder, and, accordingly, Mr. Fisher may be deemed to indirectly beneficially own and have voting and investment power over the shares. The business address of the listed Selling Stockholder is 11755 Wilshire Boulevard, Suite 2320, Los Angeles, California 90025. Mr. Fisher served on the board of directors of Learn CW and as Learn CW’s President.</w:t>
      </w:r>
    </w:p>
    <w:p>
      <w:pPr>
        <w:spacing w:after="0" w:line="18"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Javid Baksh serves as the trustee for the Selling Stockholder and, accordingly, may be deemed to have voting and investment power over the shares. The business address of the listed Selling Stockholder is 11 Promenade Drive, Greenville, South Carolina 29609.</w:t>
      </w:r>
    </w:p>
    <w:p>
      <w:pPr>
        <w:spacing w:after="0" w:line="15" w:lineRule="exact"/>
        <w:rPr>
          <w:rFonts w:ascii="Times New Roman" w:cs="Times New Roman" w:eastAsia="Times New Roman" w:hAnsi="Times New Roman"/>
          <w:sz w:val="14"/>
          <w:szCs w:val="14"/>
          <w:color w:val="auto"/>
        </w:rPr>
      </w:pPr>
    </w:p>
    <w:p>
      <w:pPr>
        <w:ind w:left="640" w:right="379" w:hanging="348"/>
        <w:spacing w:after="0" w:line="229"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148,925 shares of Common Stock and (ii) 20,396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Messrs. William Stephan, Vikash Patel, Phillip Mitchum and Mihir Patel are the owners of the listed Selling Stockholder and share voting and investment power over the shares. The business address of the listed Selling Stockholder is 300 Ryans Run Court, Greenville, South Carolina 29615.</w:t>
      </w:r>
    </w:p>
    <w:p>
      <w:pPr>
        <w:spacing w:after="0" w:line="18" w:lineRule="exact"/>
        <w:rPr>
          <w:rFonts w:ascii="Times New Roman" w:cs="Times New Roman" w:eastAsia="Times New Roman" w:hAnsi="Times New Roman"/>
          <w:sz w:val="14"/>
          <w:szCs w:val="14"/>
          <w:color w:val="auto"/>
        </w:rPr>
      </w:pPr>
    </w:p>
    <w:p>
      <w:pPr>
        <w:ind w:left="640" w:right="379" w:hanging="348"/>
        <w:spacing w:after="0" w:line="23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592,320 shares of Common Stock and (ii) 101,988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Todd Carlson is the President of the Selling Stockholder and may be deemed to have voting and investment power over the shares. The business address of the listed Selling Stockholder is 4581 Brynwood Drive, Naples, Florida 34119.</w:t>
      </w:r>
    </w:p>
    <w:p>
      <w:pPr>
        <w:spacing w:after="0" w:line="15" w:lineRule="exact"/>
        <w:rPr>
          <w:rFonts w:ascii="Times New Roman" w:cs="Times New Roman" w:eastAsia="Times New Roman" w:hAnsi="Times New Roman"/>
          <w:sz w:val="14"/>
          <w:szCs w:val="14"/>
          <w:color w:val="auto"/>
        </w:rPr>
      </w:pPr>
    </w:p>
    <w:p>
      <w:pPr>
        <w:ind w:left="640" w:right="359" w:hanging="348"/>
        <w:spacing w:after="0" w:line="229"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1,537,165 shares of Common Stock and (ii) 203,978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Ms. Marianne Hellauer serves as the trustee for the Selling Stockholder, and Mr. Jonathan Loeffler serves as the investment manager for the Selling Stockholder and, accordingly, may be deemed to share voting and investment power over the shares. The business address of the listed Selling Stockholder is 750 E. Pratt Street, Suite 900, Baltimore, Maryland 21202.</w:t>
      </w:r>
    </w:p>
    <w:p>
      <w:pPr>
        <w:spacing w:after="0" w:line="18"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William Stephan serves as the trustee for the Selling Stockholder and, accordingly, may be deemed to have voting and investment power over the shares. The business address of the listed Selling Stockholder is 300 Ryans Run Court, Greenville, South Carolina 29615.</w:t>
      </w:r>
    </w:p>
    <w:p>
      <w:pPr>
        <w:spacing w:after="0" w:line="15" w:lineRule="exact"/>
        <w:rPr>
          <w:rFonts w:ascii="Times New Roman" w:cs="Times New Roman" w:eastAsia="Times New Roman" w:hAnsi="Times New Roman"/>
          <w:sz w:val="14"/>
          <w:szCs w:val="14"/>
          <w:color w:val="auto"/>
        </w:rPr>
      </w:pPr>
    </w:p>
    <w:p>
      <w:pPr>
        <w:ind w:left="640" w:right="399" w:hanging="348"/>
        <w:spacing w:after="0" w:line="233"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65,000 shares of Common Stock issued to Yorkville upon conversion of the Convertible Debentures issued to Yorkville pursuant to the Securities Purchase Agreement and beneficially owned as of March 16, 2026. Based on information provided to us, Yorkville acquired the shares being registered hereunder in the ordinary course of business, and at the time of the acquisition of the shares, Yorkville did not have any agreements or understandings with any person to distribute such shares. The business address of Yorkville is c/o Mark Angelo, 1012 Springfield Avenue, Mountainside, New Jersey, 07092.</w:t>
      </w:r>
    </w:p>
    <w:p>
      <w:pPr>
        <w:spacing w:after="0" w:line="15" w:lineRule="exact"/>
        <w:rPr>
          <w:rFonts w:ascii="Times New Roman" w:cs="Times New Roman" w:eastAsia="Times New Roman" w:hAnsi="Times New Roman"/>
          <w:sz w:val="14"/>
          <w:szCs w:val="14"/>
          <w:color w:val="auto"/>
        </w:rPr>
      </w:pPr>
    </w:p>
    <w:p>
      <w:pPr>
        <w:ind w:left="640" w:right="459" w:hanging="348"/>
        <w:spacing w:after="0" w:line="24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65,000 shares of Common Stock that were issued to Yorkville upon conversion of the Convertible Debentures issued to Yorkville pursuant to the Securities Purchase Agreement and beneficially owned as of March 16, 2026 and (ii) up to 16,244,741 shares of Common Stock that may be issued to Yorkville pursuant to the SEPA.</w:t>
      </w:r>
    </w:p>
    <w:p>
      <w:pPr>
        <w:spacing w:after="0" w:line="14" w:lineRule="exact"/>
        <w:rPr>
          <w:rFonts w:ascii="Times New Roman" w:cs="Times New Roman" w:eastAsia="Times New Roman" w:hAnsi="Times New Roman"/>
          <w:sz w:val="14"/>
          <w:szCs w:val="14"/>
          <w:color w:val="auto"/>
        </w:rPr>
      </w:pPr>
    </w:p>
    <w:p>
      <w:pPr>
        <w:ind w:left="640" w:right="379" w:hanging="348"/>
        <w:spacing w:after="0" w:line="233"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48 Heather Dr, Atherton, California 94027. Mr. Relan served as a director of Learn CW.</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79" w:hanging="348"/>
        <w:spacing w:after="0" w:line="233"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325 Sharon Park Drive #819, Menlo Park, California 94025. Ms. Levy served as a director of Learn CW.</w:t>
      </w:r>
    </w:p>
    <w:p>
      <w:pPr>
        <w:spacing w:after="0" w:line="15" w:lineRule="exact"/>
        <w:rPr>
          <w:rFonts w:ascii="Times New Roman" w:cs="Times New Roman" w:eastAsia="Times New Roman" w:hAnsi="Times New Roman"/>
          <w:sz w:val="14"/>
          <w:szCs w:val="14"/>
          <w:color w:val="auto"/>
        </w:rPr>
      </w:pPr>
    </w:p>
    <w:p>
      <w:pPr>
        <w:ind w:left="640" w:right="37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738,790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6900 Tavistock Lakes Blvd, Suite 400, Orlando, Florida 32827.</w:t>
      </w:r>
    </w:p>
    <w:p>
      <w:pPr>
        <w:spacing w:after="0" w:line="14" w:lineRule="exact"/>
        <w:rPr>
          <w:rFonts w:ascii="Times New Roman" w:cs="Times New Roman" w:eastAsia="Times New Roman" w:hAnsi="Times New Roman"/>
          <w:sz w:val="14"/>
          <w:szCs w:val="14"/>
          <w:color w:val="auto"/>
        </w:rPr>
      </w:pPr>
    </w:p>
    <w:p>
      <w:pPr>
        <w:ind w:left="640" w:right="359" w:hanging="348"/>
        <w:spacing w:after="0" w:line="229"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249,572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Adam Fisher is the sole member of ABF Manager LLC, which is a non-member manager of the Selling Stockholder, and, accordingly, Mr. Fisher may be deemed to indirectly beneficially own and have voting and investment power over the shares. The business address of the listed Selling Stockholder is 11755 Wilshire Boulevard, Suite 2320, Los Angeles, California 90025. Mr. Fisher served on the board of directors of Learn CW and as Learn CW’s President.</w:t>
      </w:r>
    </w:p>
    <w:p>
      <w:pPr>
        <w:spacing w:after="0" w:line="18" w:lineRule="exact"/>
        <w:rPr>
          <w:rFonts w:ascii="Times New Roman" w:cs="Times New Roman" w:eastAsia="Times New Roman" w:hAnsi="Times New Roman"/>
          <w:sz w:val="14"/>
          <w:szCs w:val="14"/>
          <w:color w:val="auto"/>
        </w:rPr>
      </w:pPr>
    </w:p>
    <w:p>
      <w:pPr>
        <w:ind w:left="640" w:right="359" w:hanging="348"/>
        <w:spacing w:after="0" w:line="23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1,125,243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Robert Hutter is the ultimate controlling person of the Selling Stockholder and, accordingly, may be deemed to have voting and investment power over the shares. The business address of the listed Selling Stockholder is 27132 Paseo Espada #STE B1225, San Juan Capistrano, California 92675. Mr. Hutter served on the board of directors of Learn CW and as Learn CW’s Chief Executive Officer.</w:t>
      </w:r>
    </w:p>
    <w:p>
      <w:pPr>
        <w:spacing w:after="0" w:line="15" w:lineRule="exact"/>
        <w:rPr>
          <w:rFonts w:ascii="Times New Roman" w:cs="Times New Roman" w:eastAsia="Times New Roman" w:hAnsi="Times New Roman"/>
          <w:sz w:val="14"/>
          <w:szCs w:val="14"/>
          <w:color w:val="auto"/>
        </w:rPr>
      </w:pPr>
    </w:p>
    <w:p>
      <w:pPr>
        <w:ind w:left="640" w:right="379" w:hanging="348"/>
        <w:spacing w:after="0" w:line="233"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63,299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Michael J. Price is the Manager of the Selling Stockholder and, accordingly, may be deemed to have voting and investment power over the shares. The business address of the listed Selling Stockholder is 450 East 83rd St., PH1A, New York, New York 10028.</w:t>
      </w:r>
    </w:p>
    <w:p>
      <w:pPr>
        <w:spacing w:after="0" w:line="15" w:lineRule="exact"/>
        <w:rPr>
          <w:rFonts w:ascii="Times New Roman" w:cs="Times New Roman" w:eastAsia="Times New Roman" w:hAnsi="Times New Roman"/>
          <w:sz w:val="14"/>
          <w:szCs w:val="14"/>
          <w:color w:val="auto"/>
        </w:rPr>
      </w:pPr>
    </w:p>
    <w:p>
      <w:pPr>
        <w:ind w:left="640" w:right="439" w:hanging="348"/>
        <w:spacing w:after="0" w:line="225"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2,500,000 shares of Common Stock that may be issued to WTI Fund X, LLC pursuant to the 2024 WTI Warrants and up to 750,000 shares of Common Stock that may be issued to WTI Fund X, LLC pursuant to the 2025 WTI Warrants, subject to certain limitations, adjustment, and certain other rights to possible future financings in accordance with terms of the 2024 WTI Warrants and the 2025 WTI Warrants, respectively.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w:t>
      </w:r>
    </w:p>
    <w:p>
      <w:pPr>
        <w:spacing w:after="0" w:line="1"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 La Mesa Drive, Suite 102, Portola Valley, California 94028.</w:t>
      </w:r>
    </w:p>
    <w:p>
      <w:pPr>
        <w:spacing w:after="0" w:line="25" w:lineRule="exact"/>
        <w:rPr>
          <w:rFonts w:ascii="Times New Roman" w:cs="Times New Roman" w:eastAsia="Times New Roman" w:hAnsi="Times New Roman"/>
          <w:sz w:val="14"/>
          <w:szCs w:val="14"/>
          <w:color w:val="auto"/>
        </w:rPr>
      </w:pPr>
    </w:p>
    <w:p>
      <w:pPr>
        <w:ind w:left="640" w:right="339" w:hanging="348"/>
        <w:spacing w:after="0" w:line="225"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833,334 shares of Common Stock that may be issued to WTI Fund XI, LLC pursuant to the 2024 WTI Warrants and up to 250,000 shares of Common Stock that may be issued to WTI Fund XI, LLC pursuant to the 2025 WTI Warrants, subject to certain limitations, adjustment, and certain other rights to possible future financings in accordance with terms of the 2024 WTI Warrants and the 2025 WTI Warrants, respectively.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w:t>
      </w:r>
    </w:p>
    <w:p>
      <w:pPr>
        <w:spacing w:after="0" w:line="1"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 La Mesa Drive, Suite 102, Portola Valley, California 94028.</w:t>
      </w:r>
    </w:p>
    <w:p>
      <w:pPr>
        <w:spacing w:after="0" w:line="25" w:lineRule="exact"/>
        <w:rPr>
          <w:rFonts w:ascii="Times New Roman" w:cs="Times New Roman" w:eastAsia="Times New Roman" w:hAnsi="Times New Roman"/>
          <w:sz w:val="14"/>
          <w:szCs w:val="14"/>
          <w:color w:val="auto"/>
        </w:rPr>
      </w:pPr>
    </w:p>
    <w:p>
      <w:pPr>
        <w:ind w:left="640" w:right="519" w:hanging="348"/>
        <w:spacing w:after="0" w:line="229"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3,291,685 shares of Common Stock and (ii) up to 250,000 shares of Common Stock that were issued upon conversion of 125,000 shares of Series C Preferred Stock originally issued to the Selling Stockholder. The Selling Stockholder is a limited partnership. Voting and investment power over the shares held by the Selling Stockholder is exercised by Jonathan Loeffler and Mark Pomeroy Jr.</w:t>
      </w:r>
    </w:p>
    <w:p>
      <w:pPr>
        <w:ind w:left="640" w:right="459"/>
        <w:spacing w:after="0" w:line="2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5956 Sherry Lane, 20th Floor, Dallas, Texas 75225.</w:t>
      </w:r>
    </w:p>
    <w:p>
      <w:pPr>
        <w:spacing w:after="0" w:line="14" w:lineRule="exact"/>
        <w:rPr>
          <w:rFonts w:ascii="Times New Roman" w:cs="Times New Roman" w:eastAsia="Times New Roman" w:hAnsi="Times New Roman"/>
          <w:sz w:val="14"/>
          <w:szCs w:val="14"/>
          <w:color w:val="auto"/>
        </w:rPr>
      </w:pPr>
    </w:p>
    <w:p>
      <w:pPr>
        <w:ind w:left="640" w:right="519" w:hanging="348"/>
        <w:spacing w:after="0" w:line="227"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200,000 shares of Common Stock that were issued upon conversion of 100,000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Stockholders is</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114 Old Orchard Road, Clarks Green, Pennsylvania 18411.</w:t>
      </w:r>
    </w:p>
    <w:p>
      <w:pPr>
        <w:spacing w:after="0" w:line="25" w:lineRule="exact"/>
        <w:rPr>
          <w:rFonts w:ascii="Times New Roman" w:cs="Times New Roman" w:eastAsia="Times New Roman" w:hAnsi="Times New Roman"/>
          <w:sz w:val="14"/>
          <w:szCs w:val="14"/>
          <w:color w:val="auto"/>
        </w:rPr>
      </w:pPr>
    </w:p>
    <w:p>
      <w:pPr>
        <w:ind w:left="640" w:right="299" w:hanging="348"/>
        <w:spacing w:after="0" w:line="225"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106,180 shares of Common Stock issuable upon conversion of 53,090 shares of Series C Preferred Stock originally issued to the Selling Stockholder and issued to the Selling Stockholder as a paid-in-kind dividend to date. Terria Godwin and Pauline McGettigan are the controlling persons of the Selling Stockholder and share voting and investment power equally such that voting and investment decisions require the affirmative agreement of both persons.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w:t>
      </w:r>
    </w:p>
    <w:p>
      <w:pPr>
        <w:spacing w:after="0" w:line="1"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 Market Street, P.O. Box 10467, Suite 3206A, 2nd Floor, Camana Bay, Grand Cayman, Cayman Islands KY1-1004.</w:t>
      </w:r>
    </w:p>
    <w:p>
      <w:pPr>
        <w:spacing w:after="0" w:line="25" w:lineRule="exact"/>
        <w:rPr>
          <w:rFonts w:ascii="Times New Roman" w:cs="Times New Roman" w:eastAsia="Times New Roman" w:hAnsi="Times New Roman"/>
          <w:sz w:val="14"/>
          <w:szCs w:val="14"/>
          <w:color w:val="auto"/>
        </w:rPr>
      </w:pPr>
    </w:p>
    <w:p>
      <w:pPr>
        <w:ind w:left="640" w:right="69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C Preferred Stock originally issued to the Selling Stockholder and shares of Common Stock issuable upon conversion of Series C Preferred Stock issued and to be issued as dividends.</w:t>
      </w:r>
    </w:p>
    <w:p>
      <w:pPr>
        <w:ind w:left="640" w:right="399" w:hanging="348"/>
        <w:spacing w:after="0" w:line="233"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739,566 shares of Common Stock and (ii) 3,940,706 shares of Common Stock that were issued upon conversion of 1,970,353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111 2nd Avenue NE, Suite 528, Saint Petersburg, Florida 33701. James Donnally, one of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399"/>
        <w:spacing w:after="0" w:line="236" w:lineRule="auto"/>
        <w:rPr>
          <w:sz w:val="20"/>
          <w:szCs w:val="20"/>
          <w:color w:val="auto"/>
        </w:rPr>
      </w:pPr>
      <w:r>
        <w:rPr>
          <w:rFonts w:ascii="Times New Roman" w:cs="Times New Roman" w:eastAsia="Times New Roman" w:hAnsi="Times New Roman"/>
          <w:sz w:val="14"/>
          <w:szCs w:val="14"/>
          <w:color w:val="auto"/>
        </w:rPr>
        <w:t>Company’s directors, is the Managing Member of Bellringer Consulting Group, LLC, the General Partner of the Selling Stockholder, is an equity holder of the Selling Stockholder, and previously served as the Vice President and Chief Financial Officer of Glockner Enterprises from 1996 to 2023. Mr. Donnally currently has no authority over the Selling Stockholder’s decision-making with respect to equity or debt investments in the Company.</w:t>
      </w:r>
    </w:p>
    <w:p>
      <w:pPr>
        <w:spacing w:after="0" w:line="15" w:lineRule="exact"/>
        <w:rPr>
          <w:sz w:val="20"/>
          <w:szCs w:val="20"/>
          <w:color w:val="auto"/>
        </w:rPr>
      </w:pPr>
    </w:p>
    <w:p>
      <w:pPr>
        <w:ind w:left="640" w:right="359" w:hanging="348"/>
        <w:spacing w:after="0" w:line="228"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326,112 shares of Common Stock that were issued upon conversion of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Donald H. Putnam is the managing partner of the Selling Stockholder and, accordingly, may be deemed to have sole voting and investment power over the shares. The Selling Stockholder served as an advisor to the Company in the Business Combination between October 2023 and October 2024. Following the Business Combination, the Selling Stockholder provided advisory services through July 2025. The business address of the listed Selling Stockholder is 2 Embarcadero Center, Floor 8, San Francisco, California 94111.</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3,264,275 shares of Common Stock and (ii) 228,332 shares of Common Stock that were issued upon conversion of</w:t>
      </w:r>
    </w:p>
    <w:p>
      <w:pPr>
        <w:spacing w:after="0" w:line="3" w:lineRule="exact"/>
        <w:rPr>
          <w:rFonts w:ascii="Times New Roman" w:cs="Times New Roman" w:eastAsia="Times New Roman" w:hAnsi="Times New Roman"/>
          <w:sz w:val="14"/>
          <w:szCs w:val="14"/>
          <w:color w:val="auto"/>
        </w:rPr>
      </w:pPr>
    </w:p>
    <w:p>
      <w:pPr>
        <w:ind w:left="640" w:right="519"/>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114,161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6900 Tavistock Lakes Blvd, Suite 400, Orlando, Florida 32827. Mr. Otworth serves as the Company’s Executive Chairman and as a director.</w:t>
      </w:r>
    </w:p>
    <w:p>
      <w:pPr>
        <w:spacing w:after="0" w:line="15" w:lineRule="exact"/>
        <w:rPr>
          <w:rFonts w:ascii="Times New Roman" w:cs="Times New Roman" w:eastAsia="Times New Roman" w:hAnsi="Times New Roman"/>
          <w:sz w:val="14"/>
          <w:szCs w:val="14"/>
          <w:color w:val="auto"/>
        </w:rPr>
      </w:pPr>
    </w:p>
    <w:p>
      <w:pPr>
        <w:jc w:val="both"/>
        <w:ind w:left="640" w:right="439" w:hanging="348"/>
        <w:spacing w:after="0" w:line="233"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212,360 shares of Common Stock issuable upon conversion of 106,180 shares of Series C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7 Country Road, Boynton Beach, Florida 33436.</w:t>
      </w:r>
    </w:p>
    <w:p>
      <w:pPr>
        <w:spacing w:after="0" w:line="15" w:lineRule="exact"/>
        <w:rPr>
          <w:rFonts w:ascii="Times New Roman" w:cs="Times New Roman" w:eastAsia="Times New Roman" w:hAnsi="Times New Roman"/>
          <w:sz w:val="14"/>
          <w:szCs w:val="14"/>
          <w:color w:val="auto"/>
        </w:rPr>
      </w:pPr>
    </w:p>
    <w:p>
      <w:pPr>
        <w:jc w:val="both"/>
        <w:ind w:left="640" w:right="459" w:hanging="348"/>
        <w:spacing w:after="0" w:line="24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25,000 shares of Common Stock issued pursuant to the Subscription Agreements and (ii) 25,000 shares of Common Stock that may be issued upon exercise of the Series A Warrants. The business address of the listed Selling Stockholder is 1985 Fagerness Point Road, Wayzata, Minnesota 55391.</w:t>
      </w:r>
    </w:p>
    <w:p>
      <w:pPr>
        <w:spacing w:after="0" w:line="14" w:lineRule="exact"/>
        <w:rPr>
          <w:rFonts w:ascii="Times New Roman" w:cs="Times New Roman" w:eastAsia="Times New Roman" w:hAnsi="Times New Roman"/>
          <w:sz w:val="14"/>
          <w:szCs w:val="14"/>
          <w:color w:val="auto"/>
        </w:rPr>
      </w:pPr>
    </w:p>
    <w:p>
      <w:pPr>
        <w:ind w:left="640" w:right="359" w:hanging="348"/>
        <w:spacing w:after="0" w:line="233"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1,200,000 shares of Common Stock issued pursuant to the Subscription Agreements and (ii) 1,200,000 shares of Common Stock that may be issued upon exercise of the Series A Warrants. Mr. Aaron Weitman is the Managing Member of CastleKnight Fund GP, LLC, which is the controlling entity of the listed Selling Stockholder, and accordingly Mr. Weitman may be deemed to have voting and investment power over the shares. The principal business address of the Selling Stockholder is 888 Seventh Avenue, 24th Floor, New York, New York 10019.</w:t>
      </w:r>
    </w:p>
    <w:p>
      <w:pPr>
        <w:spacing w:after="0" w:line="15" w:lineRule="exact"/>
        <w:rPr>
          <w:rFonts w:ascii="Times New Roman" w:cs="Times New Roman" w:eastAsia="Times New Roman" w:hAnsi="Times New Roman"/>
          <w:sz w:val="14"/>
          <w:szCs w:val="14"/>
          <w:color w:val="auto"/>
        </w:rPr>
      </w:pPr>
    </w:p>
    <w:p>
      <w:pPr>
        <w:ind w:left="640" w:right="47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 shares of Common Stock issued pursuant to the Subscription Agreements and (ii) 50,000 shares of Common Stock that may be issued upon exercise of the Series A Warrants. Mr. Joel Mermelstein is the ultimate controlling person of the listed Selling Stockholder and, accordingly, may be deemed to have voting and investment power over the shares. The business address of the listed Selling Stockholder is 6500 N. Hamlin Ave., Lincolnwood, Illinois 60712.</w:t>
      </w:r>
    </w:p>
    <w:p>
      <w:pPr>
        <w:spacing w:after="0" w:line="14"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8,400 shares of Common Stock issued pursuant to the Subscription Agreements and (ii) 8,400 shares of Common Stock that may be issued upon exercise of the Series A Warrants. Based on the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5950 Sherry Lane, Suite 470, Dallas, Texas 75225.</w:t>
      </w:r>
    </w:p>
    <w:p>
      <w:pPr>
        <w:spacing w:after="0" w:line="15" w:lineRule="exact"/>
        <w:rPr>
          <w:rFonts w:ascii="Times New Roman" w:cs="Times New Roman" w:eastAsia="Times New Roman" w:hAnsi="Times New Roman"/>
          <w:sz w:val="14"/>
          <w:szCs w:val="14"/>
          <w:color w:val="auto"/>
        </w:rPr>
      </w:pPr>
    </w:p>
    <w:p>
      <w:pPr>
        <w:ind w:left="640" w:right="419" w:hanging="348"/>
        <w:spacing w:after="0" w:line="24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16,000 shares of Common Stock issued pursuant to the Subscription Agreements and (ii) 16,000 shares of Common Stock that may be issued upon exercise of the Series A Warrants. The business address of the listed Selling Stockholder is 6500 N. Hamlin Ave., Lincolnwood, Illinois 60712.</w:t>
      </w:r>
    </w:p>
    <w:p>
      <w:pPr>
        <w:spacing w:after="0" w:line="14" w:lineRule="exact"/>
        <w:rPr>
          <w:rFonts w:ascii="Times New Roman" w:cs="Times New Roman" w:eastAsia="Times New Roman" w:hAnsi="Times New Roman"/>
          <w:sz w:val="14"/>
          <w:szCs w:val="14"/>
          <w:color w:val="auto"/>
        </w:rPr>
      </w:pPr>
    </w:p>
    <w:p>
      <w:pPr>
        <w:ind w:left="640" w:right="319"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8,334 shares of Common Stock issued pursuant to the Subscription Agreements and (ii) 8,334 shares of Common Stock that may be issued upon exercise of the Series A Warrants. Mr. Erick Kuebler and Mrs. Wendi Kuebler share voting and investment power over the shares. Based on the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5950 Sherry Lane, Suite 470, Dallas, Texas 75225.</w:t>
      </w:r>
    </w:p>
    <w:p>
      <w:pPr>
        <w:spacing w:after="0" w:line="140" w:lineRule="exact"/>
        <w:rPr>
          <w:rFonts w:ascii="Times New Roman" w:cs="Times New Roman" w:eastAsia="Times New Roman" w:hAnsi="Times New Roman"/>
          <w:sz w:val="14"/>
          <w:szCs w:val="14"/>
          <w:color w:val="auto"/>
        </w:rPr>
      </w:pPr>
    </w:p>
    <w:p>
      <w:pPr>
        <w:ind w:left="640" w:right="379" w:hanging="348"/>
        <w:spacing w:after="0" w:line="233"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4,167 shares of Common Stock issued pursuant to the Subscription Agreements and (ii) 4,167 shares of Common Stock that may be issued upon exercise of the Series A Warrants. Based on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767 3rd Avenue, New York, New York 10017.</w:t>
      </w:r>
    </w:p>
    <w:p>
      <w:pPr>
        <w:spacing w:after="0" w:line="15" w:lineRule="exact"/>
        <w:rPr>
          <w:rFonts w:ascii="Times New Roman" w:cs="Times New Roman" w:eastAsia="Times New Roman" w:hAnsi="Times New Roman"/>
          <w:sz w:val="14"/>
          <w:szCs w:val="14"/>
          <w:color w:val="auto"/>
        </w:rPr>
      </w:pPr>
    </w:p>
    <w:p>
      <w:pPr>
        <w:ind w:left="640" w:right="41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 shares of Common Stock issued pursuant to the Subscription Agreements and (ii) 50,000 shares of Common Stock that may be issued upon exercise of the Series A Warrants. Mr. Marvin Mermelstein serves as the trustee for the listed Selling Stockholder and, accordingly, may be deemed to have voting and investment power over the shares. The business address of the listed Selling Stockholder is 6500 N. Hamlin Ave., Lincolnwood, Illinois 60712.</w:t>
      </w:r>
    </w:p>
    <w:p>
      <w:pPr>
        <w:spacing w:after="0" w:line="14" w:lineRule="exact"/>
        <w:rPr>
          <w:rFonts w:ascii="Times New Roman" w:cs="Times New Roman" w:eastAsia="Times New Roman" w:hAnsi="Times New Roman"/>
          <w:sz w:val="14"/>
          <w:szCs w:val="14"/>
          <w:color w:val="auto"/>
        </w:rPr>
      </w:pPr>
    </w:p>
    <w:p>
      <w:pPr>
        <w:ind w:left="640" w:right="41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35,000 shares of Common Stock issued pursuant to the Subscription Agreements and (ii) 35,000 shares of Common Stock that may be issued upon exercise of the Series A Warrants. Mr. Jay Rappaport and Mrs. Corrina Rappaport are the ultimate controlling persons of the listed Selling Stockholder and share voting and investment power over the shares. The business address of the listed Selling Stockholder is 135 S. Carmelina Ave., Los Angeles, CA 90049.</w:t>
      </w:r>
    </w:p>
    <w:p>
      <w:pPr>
        <w:spacing w:after="0" w:line="14" w:lineRule="exact"/>
        <w:rPr>
          <w:rFonts w:ascii="Times New Roman" w:cs="Times New Roman" w:eastAsia="Times New Roman" w:hAnsi="Times New Roman"/>
          <w:sz w:val="14"/>
          <w:szCs w:val="14"/>
          <w:color w:val="auto"/>
        </w:rPr>
      </w:pPr>
    </w:p>
    <w:p>
      <w:pPr>
        <w:ind w:left="640" w:right="339" w:hanging="348"/>
        <w:spacing w:after="0" w:line="24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166,667 shares of Common Stock issued pursuant to the Subscription Agreements and (ii) 166,667 shares of Common Stock that may be issued upon exercise of the Series A Warrants. The business address of the listed Selling Stockholder is 5510 West Dry Creek Road, Manhattan, Montana 59741.</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9,500 shares of Common Stock issued pursuant to the Subscription Agreements and (ii) 9,500 shares of Common Stock that may be issued upon exercise of the Series A Warrants. The business address of the listed Selling Stockholder is 654 Cypress Hills Drive, Encinitas, California 92024.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79" w:hanging="348"/>
        <w:spacing w:after="0" w:line="24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41,667 shares of Common Stock issued pursuant to the Subscription Agreements and (ii) 41,667 shares of Common Stock that may be issued upon exercise of the Series A Warrants. The business address of the listed Selling Stockholder is 647 Shore Drive, Boynton Beach, Florida 33435.</w:t>
      </w:r>
    </w:p>
    <w:p>
      <w:pPr>
        <w:spacing w:after="0" w:line="14" w:lineRule="exact"/>
        <w:rPr>
          <w:rFonts w:ascii="Times New Roman" w:cs="Times New Roman" w:eastAsia="Times New Roman" w:hAnsi="Times New Roman"/>
          <w:sz w:val="14"/>
          <w:szCs w:val="14"/>
          <w:color w:val="auto"/>
        </w:rPr>
      </w:pPr>
    </w:p>
    <w:p>
      <w:pPr>
        <w:ind w:left="640" w:right="479" w:hanging="348"/>
        <w:spacing w:after="0" w:line="236"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10,500 shares of Common Stock issued pursuant to the Subscription Agreements and (ii) 10,500 shares of Common Stock that may be issued upon exercise of the Series A Warrants. Mr. Joel Mermelstein is the ultimate controlling person of the listed Selling Stockholder and, accordingly, may be deemed to have voting and investment power over the shares. The business address of the listed Selling Stockholder is 6500 N. Hamlin Ave., Lincolnwood, Illinois 60712.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419" w:firstLine="360"/>
        <w:spacing w:after="0" w:line="269" w:lineRule="auto"/>
        <w:rPr>
          <w:sz w:val="20"/>
          <w:szCs w:val="20"/>
          <w:color w:val="auto"/>
        </w:rPr>
      </w:pPr>
      <w:r>
        <w:rPr>
          <w:rFonts w:ascii="Times New Roman" w:cs="Times New Roman" w:eastAsia="Times New Roman" w:hAnsi="Times New Roman"/>
          <w:sz w:val="17"/>
          <w:szCs w:val="17"/>
          <w:color w:val="auto"/>
        </w:rPr>
        <w:t>We are registering (A) the resale by the Selling Stockholders or their permitted transferees of up to 41,291,719 shares of Common Stock, which includes (i) up to 3,260,175 shares of Common Stock that were issued and may be issued upon conversion of the Series B Preferred Stock; (ii) up to 16,244,741 shares that we may issue and sell to Yorkville from time to time pursuant to the SEPA, subject to the ownership limitations described therein; (iii) 5,657,481 shares of Common Stock held by certain stockholders party to the A&amp;R Registration Rights Agreement;</w:t>
      </w:r>
    </w:p>
    <w:p>
      <w:pPr>
        <w:spacing w:after="0" w:line="3" w:lineRule="exact"/>
        <w:rPr>
          <w:sz w:val="20"/>
          <w:szCs w:val="20"/>
          <w:color w:val="auto"/>
        </w:rPr>
      </w:pPr>
    </w:p>
    <w:p>
      <w:pPr>
        <w:ind w:left="300" w:right="379" w:hanging="8"/>
        <w:spacing w:after="0" w:line="250" w:lineRule="auto"/>
        <w:tabs>
          <w:tab w:leader="none" w:pos="6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3,333,334 shares of Common Stock that may be issued upon exercise of the 2024 WTI Warrants held by the WTI Holders; (v) up to 8,480,518 shares of Common Stock that were issued and may be issued upon conversion of Series C Preferred Stock; (vi) up to 1,000,000 shares of Common Stock that may be issued upon exercise of the 2025 WTI Warrants held by the WTI Holders; (vii) up to 3,250,470 shares of Common Stock issued and issuable pursuant to the terms of the Subscription Agreements entered into with the Subscribers, consisting of (a) 1,625,235 shares of Common Stock issued to the Subscribers and (b) 1,625,235 shares that may be issued upon exercise of the Series A Warrants held by the Subscribers; and (viii) 65,000 shares of Common Stock that were issued upon conversion of the Convertible Debentures issued to Yorkville pursuant to the Securities Purchase Agreement; and</w:t>
      </w:r>
    </w:p>
    <w:p>
      <w:pPr>
        <w:spacing w:after="0" w:line="3" w:lineRule="exact"/>
        <w:rPr>
          <w:rFonts w:ascii="Times New Roman" w:cs="Times New Roman" w:eastAsia="Times New Roman" w:hAnsi="Times New Roman"/>
          <w:sz w:val="18"/>
          <w:szCs w:val="18"/>
          <w:color w:val="auto"/>
        </w:rPr>
      </w:pPr>
    </w:p>
    <w:p>
      <w:pPr>
        <w:ind w:left="300" w:right="10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issuance by us of 18,386,688 shares of Common Stock issuable upon the exercise of the Innventure Warrants.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11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75"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members, limited partners or stockholders of Selling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under the Securities Act, provided that the Selling Stockholders meet the criteria and conform to the requirements of that rule, or any other exemption from registration under the Securities Act, if available, rather than under this prospectus.</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applicable FINRA rules.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its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80"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incident to the registration of the shares of Common Stock to be offered and sold pursuant to this prospectus by the Selling Stockholders. The Company has also agreed to indemnify the Selling Stockholders against certain losses, claims, damages and liabilities, including liabilities under the Securities Act or the Exchange Act. The Selling Stockholders will bear all commissions and discounts, if any, attributable to its sale of securities. Additionally, in certain underwritten offerings, the Selling Stockholders and the Company shall bear the expenses of the underwriter pro rata in proportion to the respective amount of shares of Common Stock each is selling in such offering.</w:t>
      </w:r>
    </w:p>
    <w:p>
      <w:pPr>
        <w:spacing w:after="0" w:line="81" w:lineRule="exact"/>
        <w:rPr>
          <w:sz w:val="20"/>
          <w:szCs w:val="20"/>
          <w:color w:val="auto"/>
        </w:rPr>
      </w:pPr>
    </w:p>
    <w:p>
      <w:pPr>
        <w:ind w:left="300" w:right="459" w:firstLine="360"/>
        <w:spacing w:after="0" w:line="272" w:lineRule="auto"/>
        <w:rPr>
          <w:sz w:val="20"/>
          <w:szCs w:val="20"/>
          <w:color w:val="auto"/>
        </w:rPr>
      </w:pPr>
      <w:r>
        <w:rPr>
          <w:rFonts w:ascii="Times New Roman" w:cs="Times New Roman" w:eastAsia="Times New Roman" w:hAnsi="Times New Roman"/>
          <w:sz w:val="17"/>
          <w:szCs w:val="17"/>
          <w:color w:val="auto"/>
        </w:rPr>
        <w:t>With respect to the Selling Stockholders under each of the A&amp;R Registration Rights Agreement and the A&amp;R Registration Rights Agreement, dated October 22, 2024, by and among the Company and the WTI Holders, the Company has agreed to keep this prospectus effective and in compliance with the Securities Act until the earlier of</w:t>
      </w:r>
    </w:p>
    <w:p>
      <w:pPr>
        <w:spacing w:after="0" w:line="2" w:lineRule="exact"/>
        <w:rPr>
          <w:sz w:val="20"/>
          <w:szCs w:val="20"/>
          <w:color w:val="auto"/>
        </w:rPr>
      </w:pPr>
    </w:p>
    <w:p>
      <w:pPr>
        <w:ind w:left="300" w:right="319" w:hanging="8"/>
        <w:spacing w:after="0" w:line="265" w:lineRule="auto"/>
        <w:tabs>
          <w:tab w:leader="none" w:pos="5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time as there are no longer any registrable securities under such agreements or (ii) the tenth-year anniversary of such agreement. The Company has also agreed to keep this prospectus effective and in compliance with the Securities Act until the expiration of the SEPA. Further, with respect to the holders of Series B Preferred Stock and Series C Preferred Stock, the Company has agreed to keep this prospectus continuously effective until the earlier of</w:t>
      </w:r>
    </w:p>
    <w:p>
      <w:pPr>
        <w:ind w:left="300" w:right="379" w:hanging="8"/>
        <w:spacing w:after="0" w:line="250" w:lineRule="auto"/>
        <w:tabs>
          <w:tab w:leader="none" w:pos="5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shares underlying the Series B Preferred Stock and Series C Preferred Stock have been sold thereunder; (ii) the date on which all shares underlying the Series B Preferred Stock and Series C Preferred Stock may be sold pursuant to Rule 144 without volume or manner-of-sale restrictions and without current public information (including pursuant to Rule 144(i)(2)), as reasonably determined by the counsel to the Company; or</w:t>
      </w:r>
    </w:p>
    <w:p>
      <w:pPr>
        <w:spacing w:after="0" w:line="1" w:lineRule="exact"/>
        <w:rPr>
          <w:rFonts w:ascii="Times New Roman" w:cs="Times New Roman" w:eastAsia="Times New Roman" w:hAnsi="Times New Roman"/>
          <w:sz w:val="18"/>
          <w:szCs w:val="18"/>
          <w:color w:val="auto"/>
        </w:rPr>
      </w:pPr>
    </w:p>
    <w:p>
      <w:pPr>
        <w:ind w:left="300" w:right="399" w:hanging="8"/>
        <w:spacing w:after="0" w:line="253"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the fifth anniversary of the effective date of the initial registration statement covering the resale of all shares of Common Stock to be issued upon conversion of shares of Series B Preferred Stock and Series C Preferred Stock. With respect to the Subscribers, the Company has agreed to keep this prospectus effective until the earlier of (i) two years from the effective date of the registration statement and (ii) the date on which all registrable securities under the Subscription Agreements have been sold.</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subscriber at or prior to the time of the sale (including by compliance with Rule 172 under the Securities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Jones Day will pass upon certain legal matters for us in connection with the securities offered hereby.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Innventure, Inc. and subsidiaries (the “Company”) as of and for the year ended December 31, 2025 have been audited by WithumSmith+Brown, PC, an independent registered public accounting firm, as set forth in their report thereon included in the Company’s Annual Report on Form 10-K for the year ended December 31, 2025 and incorporated by reference in this Prospectus and in the Registration Statement. Such consolidated financial statements are incorporated by reference herein in reliance upon such report, which includes an explanatory paragraph on the Company’s ability to continue as a going concern, given on the authority of such firm as experts in accounting and auditing.</w:t>
      </w:r>
    </w:p>
    <w:p>
      <w:pPr>
        <w:spacing w:after="0" w:line="8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Innventure, Inc. (the “Company”) as of December 31, 2024 and for the period from October 2, 2024 to December 31, 2024 (“Successor”) and the period from January 1, 2024 to October 1, 2024 (“Predecessor”)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website that contains reports, proxy and information statements and other information regarding issuers, including us, that file electronically with the SEC. The address for the SEC’s website is www.sec.gov.</w:t>
      </w:r>
    </w:p>
    <w:p>
      <w:pPr>
        <w:spacing w:after="0" w:line="7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our website at www.innventure.com, our annual reports on Form 10-K, quarterly reports on Form 10-Q, current reports on Form 8-K and amendments to those reports and statements as soon as reasonably practicable after they are filed with the SEC. The contents of our website are not part of this prospectus, and the reference to our website does not constitute incorporation by reference into this prospectus of the information contained at that site, other than documents we file with the SEC that are incorporated by reference into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and any future documents that we file with the SEC under Sections 13(a), 13(c), 14 or 15(d) of the Exchange Act (1) after the date of the initial filing of the registration statement of which this prospectus forms a part and prior to the effectiveness of the registration statement and</w:t>
      </w:r>
    </w:p>
    <w:p>
      <w:pPr>
        <w:spacing w:after="0" w:line="2" w:lineRule="exact"/>
        <w:rPr>
          <w:sz w:val="20"/>
          <w:szCs w:val="20"/>
          <w:color w:val="auto"/>
        </w:rPr>
      </w:pPr>
    </w:p>
    <w:p>
      <w:pPr>
        <w:ind w:left="540" w:hanging="248"/>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effectiveness of this prospectus until the offering of the securities is terminated:</w:t>
      </w:r>
    </w:p>
    <w:p>
      <w:pPr>
        <w:spacing w:after="0" w:line="9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60">
        <w:r>
          <w:rPr>
            <w:rFonts w:ascii="Times New Roman" w:cs="Times New Roman" w:eastAsia="Times New Roman" w:hAnsi="Times New Roman"/>
            <w:sz w:val="18"/>
            <w:szCs w:val="18"/>
            <w:u w:val="single" w:color="auto"/>
            <w:color w:val="0000EE"/>
          </w:rPr>
          <w:t>December 31, 2025</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1"/>
          <w:numId w:val="22"/>
        </w:numPr>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14,</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2">
        <w:r>
          <w:rPr>
            <w:rFonts w:ascii="Times New Roman" w:cs="Times New Roman" w:eastAsia="Times New Roman" w:hAnsi="Times New Roman"/>
            <w:sz w:val="18"/>
            <w:szCs w:val="18"/>
            <w:u w:val="single" w:color="auto"/>
            <w:color w:val="0000EE"/>
          </w:rPr>
          <w:t>January 20, 2026</w:t>
        </w:r>
      </w:hyperlink>
      <w:hyperlink r:id="rId6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February 20, 2026</w:t>
        </w:r>
      </w:hyperlink>
      <w:hyperlink r:id="rId6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 xml:space="preserve">March 3, 2026 </w:t>
        </w:r>
      </w:hyperlink>
      <w:hyperlink r:id="rId6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March 19, 2026</w:t>
        </w:r>
      </w:hyperlink>
      <w:hyperlink r:id="rId61">
        <w:r>
          <w:rPr>
            <w:rFonts w:ascii="Times New Roman" w:cs="Times New Roman" w:eastAsia="Times New Roman" w:hAnsi="Times New Roman"/>
            <w:sz w:val="18"/>
            <w:szCs w:val="18"/>
            <w:color w:val="000000"/>
          </w:rPr>
          <w:t>; and</w:t>
        </w:r>
      </w:hyperlink>
    </w:p>
    <w:p>
      <w:pPr>
        <w:spacing w:after="0" w:line="53" w:lineRule="exact"/>
        <w:rPr>
          <w:rFonts w:ascii="Times New Roman" w:cs="Times New Roman" w:eastAsia="Times New Roman" w:hAnsi="Times New Roman"/>
          <w:sz w:val="18"/>
          <w:szCs w:val="18"/>
          <w:color w:val="0000EE"/>
        </w:rPr>
      </w:pPr>
    </w:p>
    <w:p>
      <w:pPr>
        <w:ind w:left="1000" w:right="519" w:hanging="348"/>
        <w:spacing w:after="0" w:line="266" w:lineRule="auto"/>
        <w:tabs>
          <w:tab w:leader="none" w:pos="1000" w:val="left"/>
        </w:tabs>
        <w:numPr>
          <w:ilvl w:val="1"/>
          <w:numId w:val="22"/>
        </w:numPr>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auto"/>
          </w:rPr>
          <w:t xml:space="preserve">The description of our capital stock contained in </w:t>
        </w:r>
        <w:r>
          <w:rPr>
            <w:rFonts w:ascii="Times New Roman" w:cs="Times New Roman" w:eastAsia="Times New Roman" w:hAnsi="Times New Roman"/>
            <w:sz w:val="18"/>
            <w:szCs w:val="18"/>
            <w:u w:val="single" w:color="auto"/>
            <w:color w:val="0000EE"/>
          </w:rPr>
          <w:t>Exhibit 4.1 to our Annual Report on Form 10-K for the</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year ended December 31, 2025</w:t>
        </w:r>
        <w:r>
          <w:rPr>
            <w:rFonts w:ascii="Times New Roman" w:cs="Times New Roman" w:eastAsia="Times New Roman" w:hAnsi="Times New Roman"/>
            <w:sz w:val="18"/>
            <w:szCs w:val="18"/>
            <w:color w:val="000000"/>
          </w:rPr>
          <w:t>, as amended by any subsequent amendments and reports filed for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purpose of updating that description.</w:t>
      </w:r>
    </w:p>
    <w:p>
      <w:pPr>
        <w:spacing w:after="0" w:line="68" w:lineRule="exact"/>
        <w:rPr>
          <w:rFonts w:ascii="Times New Roman" w:cs="Times New Roman" w:eastAsia="Times New Roman" w:hAnsi="Times New Roman"/>
          <w:sz w:val="18"/>
          <w:szCs w:val="18"/>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do not, however, incorporate by reference in this prospectus any documents or portions thereof that are not deemed “filed” with the SEC, including any information furnished pursuant to item 2.02 or item 7.01 of our current reports on Form 8-K after the date of this prospectus unless, and except to the extent, specified in such current reports.</w:t>
      </w:r>
    </w:p>
    <w:p>
      <w:pPr>
        <w:spacing w:after="0" w:line="72" w:lineRule="exact"/>
        <w:rPr>
          <w:rFonts w:ascii="Times New Roman" w:cs="Times New Roman" w:eastAsia="Times New Roman" w:hAnsi="Times New Roman"/>
          <w:sz w:val="18"/>
          <w:szCs w:val="18"/>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You may obtain copies of these filings without charge by requesting the filings in writing or by telephone at the following address:</w:t>
      </w:r>
    </w:p>
    <w:p>
      <w:pPr>
        <w:spacing w:after="0" w:line="10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6900 Tavistock Lakes Boulevard, Suite 400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(321) 209-6787</w:t>
      </w:r>
    </w:p>
    <w:p>
      <w:pPr>
        <w:spacing w:after="0" w:line="99" w:lineRule="exact"/>
        <w:rPr>
          <w:rFonts w:ascii="Times New Roman" w:cs="Times New Roman" w:eastAsia="Times New Roman" w:hAnsi="Times New Roman"/>
          <w:sz w:val="18"/>
          <w:szCs w:val="18"/>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covering the securities to be offered and sold by this prospectus and any applicable prospectus supplement. This prospectus does not contain all of the information included in the registration statement, some of which is contained in exhibits to the registration statement. The registration statement, including the exhibits, can be read at the SEC website or at the SEC offices referred to above. Any statement made in this prospectus or any applicable prospectus supplement concerning the contents of any contract, agreement or other document is only a summary of the actual contract, agreement or other document. If we have filed any contract, agreement or other document as an exhibit to the registration statement, you should read the exhibit for a more complete understanding of the document or matter involved. Each statement regarding a contract, agreement or other document is qualified in its entirety by reference to the actual document.</w:t>
      </w:r>
    </w:p>
    <w:p>
      <w:pPr>
        <w:spacing w:after="0" w:line="19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r>
        <w:rPr>
          <w:rFonts w:ascii="Times New Roman" w:cs="Times New Roman" w:eastAsia="Times New Roman" w:hAnsi="Times New Roman"/>
          <w:sz w:val="17"/>
          <w:szCs w:val="17"/>
          <w:b w:val="1"/>
          <w:bCs w:val="1"/>
          <w:i w:val="1"/>
          <w:iCs w:val="1"/>
          <w:color w:val="auto"/>
        </w:rPr>
        <w:t>.</w:t>
      </w:r>
    </w:p>
    <w:p>
      <w:pPr>
        <w:spacing w:after="0" w:line="121" w:lineRule="exact"/>
        <w:rPr>
          <w:sz w:val="20"/>
          <w:szCs w:val="20"/>
          <w:color w:val="auto"/>
        </w:rPr>
      </w:pPr>
    </w:p>
    <w:p>
      <w:pPr>
        <w:ind w:left="300" w:right="859" w:firstLine="360"/>
        <w:spacing w:after="0" w:line="261" w:lineRule="auto"/>
        <w:rPr>
          <w:sz w:val="20"/>
          <w:szCs w:val="20"/>
          <w:color w:val="auto"/>
        </w:rPr>
      </w:pPr>
      <w:r>
        <w:rPr>
          <w:rFonts w:ascii="Times New Roman" w:cs="Times New Roman" w:eastAsia="Times New Roman" w:hAnsi="Times New Roman"/>
          <w:sz w:val="18"/>
          <w:szCs w:val="18"/>
          <w:color w:val="auto"/>
        </w:rPr>
        <w:t>The table below sets forth the expenses payable by the registrant in connection with the registration and issuance of the securities being registered hereunder, other than underwriting discounts and commissions. All amounts of such expenses are estimates, other than the filing fees payable to the Securities and Exchange Commission.</w:t>
      </w:r>
    </w:p>
    <w:p>
      <w:pPr>
        <w:spacing w:after="0" w:line="63"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$4.20</w:t>
            </w:r>
          </w:p>
        </w:tc>
      </w:tr>
      <w:tr>
        <w:trPr>
          <w:trHeight w:val="23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 and Miscellaneous Expenses</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4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399" w:hanging="348"/>
        <w:spacing w:after="0" w:line="236"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(other than the SEC registration fee to be paid upon the filing of this registration statement) will depend on the number and nature of any offerings of securities made pursuant to this Registration Statement and therefore are not presently known and cannot be estimated. An estimate of the aggregate expenses in connection with the distribution of securities being offered will be included in any applicable prospectus supplement.</w:t>
      </w:r>
    </w:p>
    <w:p>
      <w:pPr>
        <w:spacing w:after="0" w:line="15" w:lineRule="exact"/>
        <w:rPr>
          <w:sz w:val="20"/>
          <w:szCs w:val="20"/>
          <w:color w:val="auto"/>
        </w:rPr>
      </w:pPr>
    </w:p>
    <w:p>
      <w:pPr>
        <w:ind w:left="640" w:right="459" w:hanging="348"/>
        <w:spacing w:after="0" w:line="233"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fees of $23,233.52, $8,275.16, $11,177.02, and $31,649.72 were previously paid in connection with the Prior Registration Statements (File Nos. 333-282971, 333-286558, and 333-291034) and the Company’s Registration Statement on Form S-4 (File No. 333-276714) relating to the securities that were included in the Prior Registration Statements and the Company’s Registration Statement on Form S-4 and that are included in this Registration Statement in accordance with Rule 429 under the Securities Act. Accordingly, there is no registration fee due in connection with the registration of such securities hereby.</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tab/>
        <w:t>Indemnification of Officers and Directors.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6"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82"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68"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Delaware law and the A&amp;R Certificate of Incorporation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75"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its request.</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We also maintain a directors’ and officers’ insurance policy pursuant to which our directors and officers are insured against liability for actions taken in their capacities as directors and officers. We believe these provisions in the A&amp;R Certificate of Incorporation and these indemnification agreements are necessary to attract and retain qualified persons as directors and officers.</w:t>
      </w:r>
    </w:p>
    <w:p>
      <w:pPr>
        <w:spacing w:after="0" w:line="7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1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16"/>
                <w:szCs w:val="16"/>
                <w:color w:val="auto"/>
              </w:rPr>
            </w:pPr>
          </w:p>
        </w:tc>
        <w:tc>
          <w:tcPr>
            <w:tcW w:w="724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1"/>
        </w:trPr>
        <w:tc>
          <w:tcPr>
            <w:tcW w:w="380" w:type="dxa"/>
            <w:vAlign w:val="bottom"/>
            <w:gridSpan w:val="4"/>
            <w:shd w:val="clear" w:color="auto" w:fill="CCEEFF"/>
          </w:tcPr>
          <w:p>
            <w:pPr>
              <w:spacing w:after="0" w:line="201"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Business Combination Agreement, dated as of October 24, 2023, by and among Learn SPAC</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Holdco, Inc., Learn CW Investment Corporation, LCW Merger Sub, Inc., Innventure LLC and</w:t>
            </w: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Innventure Merger Sub, LLC (incorporated by reference to Annex A to Innventure, Inc.’s</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on Form S-4 filed with the SEC on September 6, 2024)</w:t>
            </w:r>
          </w:p>
        </w:tc>
      </w:tr>
      <w:tr>
        <w:trPr>
          <w:trHeight w:val="175"/>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Certificate of Incorporation of Innventure, Inc., filed with the Secretary of</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State of Delaware on October 2, 2024 (incorporated by reference to Exhibit 3.1 to Innventure, Inc.’s</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with the SEC on October 9, 2024)</w:t>
            </w: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Certificate of Designation of Series B Preferred Stock of Innventure, Inc., filed with the Secretary of</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of State of Delaware on October 2, 2024 (incorporated by reference to Exhibit 3.3 to</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Innventure, Inc.’s Quarterly Report on Form 10-Q filed with the SEC on May 15, 2025)</w:t>
            </w:r>
          </w:p>
        </w:tc>
      </w:tr>
      <w:tr>
        <w:trPr>
          <w:trHeight w:val="176"/>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w w:val="99"/>
              </w:rPr>
              <w:t>Certificate of Designation of Series C Preferred Stock of Innventure, Inc., filed with the Secretary of</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State of Delaware on March 24, 2025 (incorporated by reference to Exhibit 3.1 to Innventure, Inc.’s</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with the SEC on March 25, 2025)</w:t>
            </w: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Innventure LLC Series 1 Promissory Note (incorporated by reference to Exhibit 4.3 to</w:t>
            </w: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Innventure, Inc.’s Registration Statement on Form S-4 filed with the SEC on September 6, 2024)</w:t>
            </w:r>
          </w:p>
        </w:tc>
      </w:tr>
      <w:tr>
        <w:trPr>
          <w:trHeight w:val="176"/>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Accelsius Holdings LLC Convertible Promissory Note (incorporated by reference to</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Exhibit 4.4 to Innventure, Inc.’s Registration Statement on Form S-4 filed with the SEC on</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Secured Convertible Note and Warrant Purchase Agreement, dated as of June 3, 2021, by and</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among Innventus ESG Fund I, L.P., AeroFlexx, LLC, and the Investors party thereto (incorporated</w:t>
            </w: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 reference to Exhibit 4.5 to Innventure, Inc.’s Registration Statement on Form S-4 filed with the</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on September 6, 2024)</w:t>
            </w:r>
          </w:p>
        </w:tc>
      </w:tr>
      <w:tr>
        <w:trPr>
          <w:trHeight w:val="176"/>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Secured Convertible Promissory Note and Warrant Purchase Agreement,</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dated as of July 31, 2021, by and among Innventus ESG Fund I, L.P., AeroFlexx, LLC, and the</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Investors party thereto (incorporated by reference to Exhibit 4.6 to Innventure, Inc.’s Registration</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S-4 filed with the SEC on September 6, 2024)</w:t>
            </w: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Innventure Class B Warrant Cashless Exercise Description and Acknowledgment Letter</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4.8 to Innventure, Inc.’s Registration Statement on Form S-4</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with the SEC on September 6, 2024)</w:t>
            </w:r>
          </w:p>
        </w:tc>
      </w:tr>
      <w:tr>
        <w:trPr>
          <w:trHeight w:val="175"/>
        </w:trPr>
        <w:tc>
          <w:tcPr>
            <w:tcW w:w="30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w w:val="90"/>
              </w:rPr>
            </w:pPr>
            <w:hyperlink r:id="rId80">
              <w:r>
                <w:rPr>
                  <w:rFonts w:ascii="Times New Roman" w:cs="Times New Roman" w:eastAsia="Times New Roman" w:hAnsi="Times New Roman"/>
                  <w:sz w:val="18"/>
                  <w:szCs w:val="18"/>
                  <w:color w:val="0000EE"/>
                  <w:w w:val="90"/>
                </w:rPr>
                <w:t>4.</w:t>
              </w:r>
              <w:r>
                <w:rPr>
                  <w:rFonts w:ascii="Times New Roman" w:cs="Times New Roman" w:eastAsia="Times New Roman" w:hAnsi="Times New Roman"/>
                  <w:sz w:val="18"/>
                  <w:szCs w:val="18"/>
                  <w:u w:val="single" w:color="auto"/>
                  <w:color w:val="0000EE"/>
                  <w:w w:val="90"/>
                </w:rPr>
                <w:t>9^</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Warrant to Acquire Securities of Innventure, Inc., dated October 22, 2024, issued to WTI Fund X,</w:t>
            </w:r>
          </w:p>
        </w:tc>
      </w:tr>
      <w:tr>
        <w:trPr>
          <w:trHeight w:val="218"/>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LLC (incorporated by reference to Exhibit 4.1 to Innventure, Inc.’s Current Report on Form 8-K</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filed with the SEC on October 23, 2024)</w:t>
            </w:r>
          </w:p>
        </w:tc>
      </w:tr>
      <w:tr>
        <w:trPr>
          <w:trHeight w:val="182"/>
        </w:trPr>
        <w:tc>
          <w:tcPr>
            <w:tcW w:w="400" w:type="dxa"/>
            <w:vAlign w:val="bottom"/>
            <w:tcBorders>
              <w:bottom w:val="single" w:sz="8" w:color="0000EE"/>
            </w:tcBorders>
            <w:gridSpan w:val="5"/>
            <w:shd w:val="clear" w:color="auto" w:fill="CCEEFF"/>
          </w:tcPr>
          <w:p>
            <w:pPr>
              <w:spacing w:after="0" w:line="182" w:lineRule="exact"/>
              <w:rPr>
                <w:rFonts w:ascii="Times New Roman" w:cs="Times New Roman" w:eastAsia="Times New Roman" w:hAnsi="Times New Roman"/>
                <w:sz w:val="18"/>
                <w:szCs w:val="18"/>
                <w:color w:val="0000EE"/>
                <w:w w:val="95"/>
              </w:rPr>
            </w:pPr>
            <w:hyperlink r:id="rId81">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10^</w:t>
              </w:r>
            </w:hyperlink>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Warrant to Acquire Securities of Innventure, Inc., dated October 22, 2024, issued to WTI Fund XI,</w:t>
            </w:r>
          </w:p>
        </w:tc>
      </w:tr>
      <w:tr>
        <w:trPr>
          <w:trHeight w:val="218"/>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LLC (incorporated by reference to Exhibit 4.2 to Innventure, Inc.’s Current Report on Form 8-K</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with the SEC on October 23, 2024)</w:t>
            </w:r>
          </w:p>
        </w:tc>
      </w:tr>
      <w:tr>
        <w:trPr>
          <w:trHeight w:val="175"/>
        </w:trPr>
        <w:tc>
          <w:tcPr>
            <w:tcW w:w="400" w:type="dxa"/>
            <w:vAlign w:val="bottom"/>
            <w:gridSpan w:val="5"/>
          </w:tcPr>
          <w:p>
            <w:pPr>
              <w:spacing w:after="0" w:line="176" w:lineRule="exact"/>
              <w:rPr>
                <w:rFonts w:ascii="Times New Roman" w:cs="Times New Roman" w:eastAsia="Times New Roman" w:hAnsi="Times New Roman"/>
                <w:sz w:val="18"/>
                <w:szCs w:val="18"/>
                <w:color w:val="0000EE"/>
                <w:w w:val="95"/>
              </w:rPr>
            </w:pPr>
            <w:hyperlink r:id="rId82">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11^</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Warrant to Acquire Securities of Innventure, Inc., issued to WTI Fund X, LLC on April 14, 2025</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4.2 to Innventure, Inc.’s Current Report on Form 8-K filed</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with the SEC April 14, 2025)</w:t>
            </w:r>
          </w:p>
        </w:tc>
      </w:tr>
      <w:tr>
        <w:trPr>
          <w:trHeight w:val="182"/>
        </w:trPr>
        <w:tc>
          <w:tcPr>
            <w:tcW w:w="400" w:type="dxa"/>
            <w:vAlign w:val="bottom"/>
            <w:tcBorders>
              <w:bottom w:val="single" w:sz="8" w:color="0000EE"/>
            </w:tcBorders>
            <w:gridSpan w:val="5"/>
            <w:shd w:val="clear" w:color="auto" w:fill="CCEEFF"/>
          </w:tcPr>
          <w:p>
            <w:pPr>
              <w:spacing w:after="0" w:line="182" w:lineRule="exact"/>
              <w:rPr>
                <w:rFonts w:ascii="Times New Roman" w:cs="Times New Roman" w:eastAsia="Times New Roman" w:hAnsi="Times New Roman"/>
                <w:sz w:val="18"/>
                <w:szCs w:val="18"/>
                <w:color w:val="0000EE"/>
                <w:w w:val="95"/>
              </w:rPr>
            </w:pPr>
            <w:hyperlink r:id="rId83">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12^</w:t>
              </w:r>
            </w:hyperlink>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Warrant to Acquire Securities of Innventure, Inc., issued to WTI Fund XI, LLC on April 14, 2025</w:t>
            </w:r>
          </w:p>
        </w:tc>
      </w:tr>
      <w:tr>
        <w:trPr>
          <w:trHeight w:val="218"/>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4.3 to Innventure, Inc.’s Current Report on Form 8-K filed</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the SEC on April 14, 2025)</w:t>
            </w:r>
          </w:p>
        </w:tc>
      </w:tr>
      <w:tr>
        <w:trPr>
          <w:trHeight w:val="175"/>
        </w:trPr>
        <w:tc>
          <w:tcPr>
            <w:tcW w:w="320" w:type="dxa"/>
            <w:vAlign w:val="bottom"/>
            <w:gridSpan w:val="3"/>
          </w:tcPr>
          <w:p>
            <w:pPr>
              <w:spacing w:after="0" w:line="176" w:lineRule="exact"/>
              <w:rPr>
                <w:rFonts w:ascii="Times New Roman" w:cs="Times New Roman" w:eastAsia="Times New Roman" w:hAnsi="Times New Roman"/>
                <w:sz w:val="18"/>
                <w:szCs w:val="18"/>
                <w:color w:val="0000EE"/>
                <w:w w:val="95"/>
              </w:rPr>
            </w:pPr>
            <w:hyperlink r:id="rId84">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13</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Registration and Shareholder Rights Agreement, dated October 12, 2021, by and among Learn CW</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Corporation, the Sponsor and certain other security holders named therein (incorporated</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10.4 to Learn CW Investment Corporation’s Current Report on Form 8-K</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filed with the SEC on October 14, 2021)</w:t>
            </w:r>
          </w:p>
        </w:tc>
      </w:tr>
      <w:tr>
        <w:trPr>
          <w:trHeight w:val="182"/>
        </w:trPr>
        <w:tc>
          <w:tcPr>
            <w:tcW w:w="320" w:type="dxa"/>
            <w:vAlign w:val="bottom"/>
            <w:gridSpan w:val="3"/>
            <w:shd w:val="clear" w:color="auto" w:fill="CCEEFF"/>
          </w:tcPr>
          <w:p>
            <w:pPr>
              <w:spacing w:after="0" w:line="182" w:lineRule="exact"/>
              <w:rPr>
                <w:rFonts w:ascii="Times New Roman" w:cs="Times New Roman" w:eastAsia="Times New Roman" w:hAnsi="Times New Roman"/>
                <w:sz w:val="18"/>
                <w:szCs w:val="18"/>
                <w:color w:val="0000EE"/>
                <w:w w:val="95"/>
              </w:rPr>
            </w:pPr>
            <w:hyperlink r:id="rId85">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14</w:t>
              </w:r>
            </w:hyperlink>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Series A Warrant (incorporated by reference to Exhibit 4.1 to Innventure, Inc.’s Current</w:t>
            </w: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with the SEC on October 6, 2025)</w:t>
            </w:r>
          </w:p>
        </w:tc>
      </w:tr>
      <w:tr>
        <w:trPr>
          <w:trHeight w:val="175"/>
        </w:trPr>
        <w:tc>
          <w:tcPr>
            <w:tcW w:w="1080" w:type="dxa"/>
            <w:vAlign w:val="bottom"/>
            <w:gridSpan w:val="6"/>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Opinion of Jones Day</w:t>
            </w: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175"/>
        </w:trPr>
        <w:tc>
          <w:tcPr>
            <w:tcW w:w="3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Opinion of Jones Day (incorporated by reference to Exhibit 5.1 to Innventure, Inc.’s Registration</w:t>
            </w: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on Form S-1 (File No. 333-282971) filed with the SEC on April 15, 2025)</w:t>
            </w:r>
          </w:p>
        </w:tc>
      </w:tr>
      <w:tr>
        <w:trPr>
          <w:trHeight w:val="175"/>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Opinion of Jones Day (incorporated by reference to Exhibit 5.1 to Innventure, Inc.’s Registration</w:t>
            </w:r>
          </w:p>
        </w:tc>
      </w:tr>
      <w:tr>
        <w:trPr>
          <w:trHeight w:val="236"/>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S-1 (File No. 333-286558) filed with the SEC on April 15, 2025)</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1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16"/>
                <w:szCs w:val="16"/>
                <w:color w:val="auto"/>
              </w:rPr>
            </w:pPr>
          </w:p>
        </w:tc>
        <w:tc>
          <w:tcPr>
            <w:tcW w:w="724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1"/>
        </w:trPr>
        <w:tc>
          <w:tcPr>
            <w:tcW w:w="300" w:type="dxa"/>
            <w:vAlign w:val="bottom"/>
            <w:gridSpan w:val="2"/>
            <w:shd w:val="clear" w:color="auto" w:fill="CCEEFF"/>
          </w:tcPr>
          <w:p>
            <w:pPr>
              <w:spacing w:after="0" w:line="201"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4</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Opinion of Jones Day (incorporated by reference to Exhibit 5.1 to Innventure, Inc.’s Registration</w:t>
            </w: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on Form S-1 (File No. 333-291034) filed with the SEC on October 23, 2025)</w:t>
            </w:r>
          </w:p>
        </w:tc>
      </w:tr>
      <w:tr>
        <w:trPr>
          <w:trHeight w:val="176"/>
        </w:trPr>
        <w:tc>
          <w:tcPr>
            <w:tcW w:w="4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Consent of WithumSmith+Brown, P.C.</w:t>
            </w: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10"/>
        </w:trPr>
        <w:tc>
          <w:tcPr>
            <w:tcW w:w="4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2*</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BDO USA, P.C.</w:t>
            </w:r>
          </w:p>
        </w:tc>
      </w:tr>
      <w:tr>
        <w:trPr>
          <w:trHeight w:val="175"/>
        </w:trPr>
        <w:tc>
          <w:tcPr>
            <w:tcW w:w="1080" w:type="dxa"/>
            <w:vAlign w:val="bottom"/>
            <w:gridSpan w:val="6"/>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hyperlink>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Consent of Jones Day (included in Exhibit 5.1 hereto)</w:t>
            </w: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176"/>
        </w:trPr>
        <w:tc>
          <w:tcPr>
            <w:tcW w:w="4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4</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Jones Day (included in Exhibit 5.2, which is incorporated by reference to Exhibit 5.1 to</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Innventure, Inc.’s Registration Statement on Form S-1 (File No. 333-282971) filed with the SEC on</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15, 2025)</w:t>
            </w:r>
          </w:p>
        </w:tc>
      </w:tr>
      <w:tr>
        <w:trPr>
          <w:trHeight w:val="175"/>
        </w:trPr>
        <w:tc>
          <w:tcPr>
            <w:tcW w:w="400" w:type="dxa"/>
            <w:vAlign w:val="bottom"/>
            <w:gridSpan w:val="3"/>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5</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Consent of Jones Day (included in Exhibit 5.3, which is incorporated by reference to Exhibit 5.1 to</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Innventure, Inc.’s Registration Statement on Form S-1 (File No. 333-286558) filed with the SEC on</w:t>
            </w: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April 15, 2025)</w:t>
            </w:r>
          </w:p>
        </w:tc>
      </w:tr>
      <w:tr>
        <w:trPr>
          <w:trHeight w:val="182"/>
        </w:trPr>
        <w:tc>
          <w:tcPr>
            <w:tcW w:w="400" w:type="dxa"/>
            <w:vAlign w:val="bottom"/>
            <w:gridSpan w:val="3"/>
            <w:shd w:val="clear" w:color="auto" w:fill="CCEEFF"/>
          </w:tcPr>
          <w:p>
            <w:pPr>
              <w:spacing w:after="0" w:line="182"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6</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Consent of Jones Day (included in Exhibit 5.4, which is incorporated by reference to Exhibit 5.1 to</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Innventure, Inc.’s Registration Statement on Form S-1 (File No. 333-291034) filed with the SEC on</w:t>
            </w: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23, 2025)</w:t>
            </w:r>
          </w:p>
        </w:tc>
      </w:tr>
      <w:tr>
        <w:trPr>
          <w:trHeight w:val="176"/>
        </w:trPr>
        <w:tc>
          <w:tcPr>
            <w:tcW w:w="1080" w:type="dxa"/>
            <w:vAlign w:val="bottom"/>
            <w:gridSpan w:val="6"/>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15"/>
                <w:szCs w:val="15"/>
                <w:color w:val="auto"/>
              </w:rPr>
            </w:pPr>
          </w:p>
        </w:tc>
        <w:tc>
          <w:tcPr>
            <w:tcW w:w="7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Power of Attorney (included on the signature page to the Company’s Registration Statement on</w:t>
            </w: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Form S-3 (File No. 333-294419) filed with the SEC on March 18, 2026)</w:t>
            </w:r>
          </w:p>
        </w:tc>
      </w:tr>
      <w:tr>
        <w:trPr>
          <w:trHeight w:val="182"/>
        </w:trPr>
        <w:tc>
          <w:tcPr>
            <w:tcW w:w="480" w:type="dxa"/>
            <w:vAlign w:val="bottom"/>
            <w:gridSpan w:val="5"/>
            <w:shd w:val="clear" w:color="auto" w:fill="CCEEFF"/>
          </w:tcPr>
          <w:p>
            <w:pPr>
              <w:spacing w:after="0" w:line="182"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107**</w:t>
              </w:r>
            </w:hyperlink>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Filing Fee Table</w:t>
            </w:r>
          </w:p>
        </w:tc>
      </w:tr>
      <w:tr>
        <w:trPr>
          <w:trHeight w:val="74"/>
        </w:trPr>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24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300" w:right="7459" w:hanging="8"/>
        <w:spacing w:after="0" w:line="301" w:lineRule="auto"/>
        <w:tabs>
          <w:tab w:leader="none" w:pos="65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 previously filed</w:t>
      </w:r>
    </w:p>
    <w:p>
      <w:pPr>
        <w:spacing w:after="0" w:line="1" w:lineRule="exact"/>
        <w:rPr>
          <w:sz w:val="20"/>
          <w:szCs w:val="20"/>
          <w:color w:val="auto"/>
        </w:rPr>
      </w:pPr>
    </w:p>
    <w:p>
      <w:pPr>
        <w:ind w:left="640" w:right="41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601(b)(2) of Regulation S-K. The registrant agrees to furnish supplementally a copy of any omitted schedule or exhibit to the SEC upon request.</w:t>
      </w:r>
    </w:p>
    <w:p>
      <w:pPr>
        <w:spacing w:after="0" w:line="1" w:lineRule="exact"/>
        <w:rPr>
          <w:sz w:val="20"/>
          <w:szCs w:val="20"/>
          <w:color w:val="auto"/>
        </w:rPr>
      </w:pPr>
    </w:p>
    <w:p>
      <w:pPr>
        <w:ind w:left="640" w:right="33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16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1000" w:right="73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1360" w:right="359" w:hanging="348"/>
        <w:spacing w:after="0" w:line="253" w:lineRule="auto"/>
        <w:tabs>
          <w:tab w:leader="none" w:pos="1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ind w:left="1360" w:right="479" w:hanging="348"/>
        <w:spacing w:after="0" w:line="266" w:lineRule="auto"/>
        <w:tabs>
          <w:tab w:leader="none" w:pos="1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6" w:lineRule="exact"/>
        <w:rPr>
          <w:sz w:val="20"/>
          <w:szCs w:val="20"/>
          <w:color w:val="auto"/>
        </w:rPr>
      </w:pPr>
    </w:p>
    <w:p>
      <w:pPr>
        <w:ind w:left="1020" w:right="399"/>
        <w:spacing w:after="0" w:line="277"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(1)(i), (1)(ii) and (1)(iii) of this section do not apply if the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2" w:lineRule="exact"/>
        <w:rPr>
          <w:sz w:val="20"/>
          <w:szCs w:val="20"/>
          <w:color w:val="auto"/>
        </w:rPr>
      </w:pPr>
    </w:p>
    <w:p>
      <w:pPr>
        <w:ind w:left="1000" w:right="43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1360" w:right="539" w:hanging="348"/>
        <w:spacing w:after="0" w:line="266"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360" w:right="459" w:hanging="348"/>
        <w:spacing w:after="0" w:line="276" w:lineRule="auto"/>
        <w:tabs>
          <w:tab w:leader="none" w:pos="13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ind w:left="1360" w:right="31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3" w:lineRule="exact"/>
        <w:rPr>
          <w:rFonts w:ascii="Times New Roman" w:cs="Times New Roman" w:eastAsia="Times New Roman" w:hAnsi="Times New Roman"/>
          <w:sz w:val="17"/>
          <w:szCs w:val="17"/>
          <w:color w:val="auto"/>
        </w:rPr>
      </w:pPr>
    </w:p>
    <w:p>
      <w:pPr>
        <w:ind w:left="1000" w:right="319" w:hanging="348"/>
        <w:spacing w:after="0" w:line="274"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5" w:lineRule="exact"/>
        <w:rPr>
          <w:sz w:val="20"/>
          <w:szCs w:val="20"/>
          <w:color w:val="auto"/>
        </w:rPr>
      </w:pPr>
    </w:p>
    <w:p>
      <w:pPr>
        <w:ind w:left="1360" w:right="859" w:hanging="348"/>
        <w:spacing w:after="0" w:line="282"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779" w:hanging="348"/>
        <w:spacing w:after="0" w:line="282"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360" w:right="1039" w:hanging="348"/>
        <w:spacing w:after="0" w:line="266"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579" w:hanging="348"/>
        <w:spacing w:after="0" w:line="282"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Orlando, State of Florida, on April 1, 2026.</w:t>
      </w:r>
    </w:p>
    <w:p>
      <w:pPr>
        <w:spacing w:after="0" w:line="2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INNVENTURE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w:t>
      </w:r>
      <w:r>
        <w:rPr>
          <w:rFonts w:ascii="Times New Roman" w:cs="Times New Roman" w:eastAsia="Times New Roman" w:hAnsi="Times New Roman"/>
          <w:sz w:val="18"/>
          <w:szCs w:val="18"/>
          <w:color w:val="auto"/>
        </w:rPr>
        <w:t>.</w:t>
      </w:r>
    </w:p>
    <w:p>
      <w:pPr>
        <w:spacing w:after="0" w:line="40" w:lineRule="exact"/>
        <w:rPr>
          <w:sz w:val="20"/>
          <w:szCs w:val="20"/>
          <w:color w:val="auto"/>
        </w:rPr>
      </w:pPr>
    </w:p>
    <w:tbl>
      <w:tblPr>
        <w:tblLayout w:type="fixed"/>
        <w:tblInd w:w="4780" w:type="dxa"/>
        <w:tblCellMar>
          <w:top w:w="0" w:type="dxa"/>
          <w:left w:w="0" w:type="dxa"/>
          <w:bottom w:w="0" w:type="dxa"/>
          <w:right w:w="0" w:type="dxa"/>
        </w:tblCellMar>
      </w:tblPr>
      <w:tr>
        <w:trPr>
          <w:trHeight w:val="25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W. Haskell</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Gregory W. Haskell</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144"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95"/>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jc w:val="center"/>
              <w:ind w:right="81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53"/>
        </w:trPr>
        <w:tc>
          <w:tcPr>
            <w:tcW w:w="23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/s/ Gregory W. Haskell</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2026</w:t>
            </w:r>
          </w:p>
        </w:tc>
        <w:tc>
          <w:tcPr>
            <w:tcW w:w="0" w:type="dxa"/>
            <w:vAlign w:val="bottom"/>
          </w:tcPr>
          <w:p>
            <w:pPr>
              <w:spacing w:after="0"/>
              <w:rPr>
                <w:sz w:val="1"/>
                <w:szCs w:val="1"/>
                <w:color w:val="auto"/>
              </w:rPr>
            </w:pPr>
          </w:p>
        </w:tc>
      </w:tr>
      <w:tr>
        <w:trPr>
          <w:trHeight w:val="45"/>
        </w:trPr>
        <w:tc>
          <w:tcPr>
            <w:tcW w:w="680" w:type="dxa"/>
            <w:vAlign w:val="bottom"/>
            <w:gridSpan w:val="2"/>
          </w:tcPr>
          <w:p>
            <w:pPr>
              <w:spacing w:after="0"/>
              <w:rPr>
                <w:sz w:val="3"/>
                <w:szCs w:val="3"/>
                <w:color w:val="auto"/>
              </w:rPr>
            </w:pPr>
          </w:p>
        </w:tc>
        <w:tc>
          <w:tcPr>
            <w:tcW w:w="1680" w:type="dxa"/>
            <w:vAlign w:val="bottom"/>
            <w:gridSpan w:val="2"/>
          </w:tcPr>
          <w:p>
            <w:pPr>
              <w:spacing w:after="0"/>
              <w:rPr>
                <w:sz w:val="3"/>
                <w:szCs w:val="3"/>
                <w:color w:val="auto"/>
              </w:rPr>
            </w:pPr>
          </w:p>
        </w:tc>
        <w:tc>
          <w:tcPr>
            <w:tcW w:w="900" w:type="dxa"/>
            <w:vAlign w:val="bottom"/>
            <w:vMerge w:val="restart"/>
          </w:tcPr>
          <w:p>
            <w:pPr>
              <w:spacing w:after="0"/>
              <w:rPr>
                <w:sz w:val="3"/>
                <w:szCs w:val="3"/>
                <w:color w:val="auto"/>
              </w:rPr>
            </w:pPr>
          </w:p>
        </w:tc>
        <w:tc>
          <w:tcPr>
            <w:tcW w:w="3220" w:type="dxa"/>
            <w:vAlign w:val="bottom"/>
            <w:vMerge w:val="restart"/>
          </w:tcPr>
          <w:p>
            <w:pPr>
              <w:jc w:val="center"/>
              <w:ind w:right="812"/>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Gregory W. Haskell</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23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8"/>
              </w:rPr>
              <w:t>/s/ David Yablunosky</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2026</w:t>
            </w:r>
          </w:p>
        </w:tc>
        <w:tc>
          <w:tcPr>
            <w:tcW w:w="0" w:type="dxa"/>
            <w:vAlign w:val="bottom"/>
          </w:tcPr>
          <w:p>
            <w:pPr>
              <w:spacing w:after="0"/>
              <w:rPr>
                <w:sz w:val="1"/>
                <w:szCs w:val="1"/>
                <w:color w:val="auto"/>
              </w:rPr>
            </w:pPr>
          </w:p>
        </w:tc>
      </w:tr>
      <w:tr>
        <w:trPr>
          <w:trHeight w:val="45"/>
        </w:trPr>
        <w:tc>
          <w:tcPr>
            <w:tcW w:w="680" w:type="dxa"/>
            <w:vAlign w:val="bottom"/>
            <w:gridSpan w:val="2"/>
          </w:tcPr>
          <w:p>
            <w:pPr>
              <w:spacing w:after="0"/>
              <w:rPr>
                <w:sz w:val="3"/>
                <w:szCs w:val="3"/>
                <w:color w:val="auto"/>
              </w:rPr>
            </w:pPr>
          </w:p>
        </w:tc>
        <w:tc>
          <w:tcPr>
            <w:tcW w:w="1680" w:type="dxa"/>
            <w:vAlign w:val="bottom"/>
            <w:gridSpan w:val="2"/>
          </w:tcPr>
          <w:p>
            <w:pPr>
              <w:spacing w:after="0"/>
              <w:rPr>
                <w:sz w:val="3"/>
                <w:szCs w:val="3"/>
                <w:color w:val="auto"/>
              </w:rPr>
            </w:pPr>
          </w:p>
        </w:tc>
        <w:tc>
          <w:tcPr>
            <w:tcW w:w="4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16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David Yablunosky</w:t>
            </w:r>
          </w:p>
        </w:tc>
        <w:tc>
          <w:tcPr>
            <w:tcW w:w="200" w:type="dxa"/>
            <w:vAlign w:val="bottom"/>
          </w:tcPr>
          <w:p>
            <w:pPr>
              <w:spacing w:after="0"/>
              <w:rPr>
                <w:sz w:val="14"/>
                <w:szCs w:val="14"/>
                <w:color w:val="auto"/>
              </w:rPr>
            </w:pPr>
          </w:p>
        </w:tc>
        <w:tc>
          <w:tcPr>
            <w:tcW w:w="4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20" w:type="dxa"/>
            <w:vAlign w:val="bottom"/>
          </w:tcPr>
          <w:p>
            <w:pPr>
              <w:jc w:val="center"/>
              <w:ind w:right="812"/>
              <w:spacing w:after="0"/>
              <w:rPr>
                <w:sz w:val="20"/>
                <w:szCs w:val="20"/>
                <w:color w:val="auto"/>
              </w:rPr>
            </w:pPr>
            <w:r>
              <w:rPr>
                <w:rFonts w:ascii="Times New Roman" w:cs="Times New Roman" w:eastAsia="Times New Roman" w:hAnsi="Times New Roman"/>
                <w:sz w:val="18"/>
                <w:szCs w:val="18"/>
                <w:color w:val="auto"/>
                <w:w w:val="96"/>
              </w:rPr>
              <w:t>Officer)</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40" w:type="dxa"/>
            <w:vAlign w:val="bottom"/>
          </w:tcPr>
          <w:p>
            <w:pPr>
              <w:spacing w:after="0"/>
              <w:rPr>
                <w:sz w:val="24"/>
                <w:szCs w:val="24"/>
                <w:color w:val="auto"/>
              </w:rPr>
            </w:pPr>
          </w:p>
        </w:tc>
        <w:tc>
          <w:tcPr>
            <w:tcW w:w="1620" w:type="dxa"/>
            <w:vAlign w:val="bottom"/>
            <w:gridSpan w:val="2"/>
          </w:tcPr>
          <w:p>
            <w:pPr>
              <w:jc w:val="center"/>
              <w:ind w:right="4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2026</w:t>
            </w: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Michael Otworth</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3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/s/ Suzanne Niemeyer</w:t>
            </w:r>
          </w:p>
        </w:tc>
        <w:tc>
          <w:tcPr>
            <w:tcW w:w="900" w:type="dxa"/>
            <w:vAlign w:val="bottom"/>
          </w:tcPr>
          <w:p>
            <w:pPr>
              <w:spacing w:after="0"/>
              <w:rPr>
                <w:sz w:val="24"/>
                <w:szCs w:val="24"/>
                <w:color w:val="auto"/>
              </w:rPr>
            </w:pPr>
          </w:p>
        </w:tc>
        <w:tc>
          <w:tcPr>
            <w:tcW w:w="3220" w:type="dxa"/>
            <w:vAlign w:val="bottom"/>
          </w:tcPr>
          <w:p>
            <w:pPr>
              <w:jc w:val="center"/>
              <w:ind w:right="812"/>
              <w:spacing w:after="0"/>
              <w:rPr>
                <w:sz w:val="20"/>
                <w:szCs w:val="20"/>
                <w:color w:val="auto"/>
              </w:rPr>
            </w:pPr>
            <w:r>
              <w:rPr>
                <w:rFonts w:ascii="Times New Roman" w:cs="Times New Roman" w:eastAsia="Times New Roman" w:hAnsi="Times New Roman"/>
                <w:sz w:val="18"/>
                <w:szCs w:val="18"/>
                <w:color w:val="auto"/>
              </w:rPr>
              <w:t>General Counsel and 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2026</w:t>
            </w: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Suzanne Niemeyer</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540" w:type="dxa"/>
            <w:vAlign w:val="bottom"/>
          </w:tcPr>
          <w:p>
            <w:pPr>
              <w:spacing w:after="0"/>
              <w:rPr>
                <w:sz w:val="24"/>
                <w:szCs w:val="24"/>
                <w:color w:val="auto"/>
              </w:rPr>
            </w:pPr>
          </w:p>
        </w:tc>
        <w:tc>
          <w:tcPr>
            <w:tcW w:w="1620" w:type="dxa"/>
            <w:vAlign w:val="bottom"/>
            <w:gridSpan w:val="2"/>
          </w:tcPr>
          <w:p>
            <w:pPr>
              <w:jc w:val="center"/>
              <w:ind w:right="4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jc w:val="center"/>
              <w:ind w:right="812"/>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2026</w:t>
            </w: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James O. Donnally</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540" w:type="dxa"/>
            <w:vAlign w:val="bottom"/>
          </w:tcPr>
          <w:p>
            <w:pPr>
              <w:spacing w:after="0"/>
              <w:rPr>
                <w:sz w:val="24"/>
                <w:szCs w:val="24"/>
                <w:color w:val="auto"/>
              </w:rPr>
            </w:pPr>
          </w:p>
        </w:tc>
        <w:tc>
          <w:tcPr>
            <w:tcW w:w="1620" w:type="dxa"/>
            <w:vAlign w:val="bottom"/>
            <w:gridSpan w:val="2"/>
          </w:tcPr>
          <w:p>
            <w:pPr>
              <w:jc w:val="center"/>
              <w:ind w:right="4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jc w:val="center"/>
              <w:ind w:right="812"/>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center"/>
              <w:ind w:right="475"/>
              <w:spacing w:after="0"/>
              <w:rPr>
                <w:sz w:val="20"/>
                <w:szCs w:val="20"/>
                <w:color w:val="auto"/>
              </w:rPr>
            </w:pPr>
            <w:r>
              <w:rPr>
                <w:rFonts w:ascii="Times New Roman" w:cs="Times New Roman" w:eastAsia="Times New Roman" w:hAnsi="Times New Roman"/>
                <w:sz w:val="18"/>
                <w:szCs w:val="18"/>
                <w:color w:val="auto"/>
              </w:rPr>
              <w:t>Bruce Brown</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540" w:type="dxa"/>
            <w:vAlign w:val="bottom"/>
          </w:tcPr>
          <w:p>
            <w:pPr>
              <w:spacing w:after="0"/>
              <w:rPr>
                <w:sz w:val="24"/>
                <w:szCs w:val="24"/>
                <w:color w:val="auto"/>
              </w:rPr>
            </w:pPr>
          </w:p>
        </w:tc>
        <w:tc>
          <w:tcPr>
            <w:tcW w:w="1620" w:type="dxa"/>
            <w:vAlign w:val="bottom"/>
            <w:gridSpan w:val="2"/>
          </w:tcPr>
          <w:p>
            <w:pPr>
              <w:jc w:val="center"/>
              <w:ind w:right="4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jc w:val="center"/>
              <w:ind w:right="812"/>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2026</w:t>
            </w: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Elizabeth Williams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540" w:type="dxa"/>
            <w:vAlign w:val="bottom"/>
          </w:tcPr>
          <w:p>
            <w:pPr>
              <w:spacing w:after="0"/>
              <w:rPr>
                <w:sz w:val="24"/>
                <w:szCs w:val="24"/>
                <w:color w:val="auto"/>
              </w:rPr>
            </w:pPr>
          </w:p>
        </w:tc>
        <w:tc>
          <w:tcPr>
            <w:tcW w:w="1620" w:type="dxa"/>
            <w:vAlign w:val="bottom"/>
            <w:gridSpan w:val="2"/>
          </w:tcPr>
          <w:p>
            <w:pPr>
              <w:jc w:val="center"/>
              <w:ind w:right="4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jc w:val="center"/>
              <w:ind w:right="812"/>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2026</w:t>
            </w: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Daniel J. Hennessy</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540" w:type="dxa"/>
            <w:vAlign w:val="bottom"/>
          </w:tcPr>
          <w:p>
            <w:pPr>
              <w:spacing w:after="0"/>
              <w:rPr>
                <w:sz w:val="24"/>
                <w:szCs w:val="24"/>
                <w:color w:val="auto"/>
              </w:rPr>
            </w:pPr>
          </w:p>
        </w:tc>
        <w:tc>
          <w:tcPr>
            <w:tcW w:w="1620" w:type="dxa"/>
            <w:vAlign w:val="bottom"/>
            <w:gridSpan w:val="2"/>
          </w:tcPr>
          <w:p>
            <w:pPr>
              <w:jc w:val="center"/>
              <w:ind w:right="4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jc w:val="center"/>
              <w:ind w:right="812"/>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2026</w:t>
            </w: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Michael Amalfitano</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Suzanne Niemeyer</w:t>
            </w:r>
          </w:p>
        </w:tc>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Niemeyer</w:t>
            </w:r>
          </w:p>
        </w:tc>
        <w:tc>
          <w:tcPr>
            <w:tcW w:w="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9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9019"/>
          </w:cols>
          <w:pgMar w:left="1440" w:top="263"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on Form S-3 of our report dated March 30, 2026, relating to the consolidated financial statements of Innventure, Inc. and subsidiaries (the “Company”) as of and for the year ended December 31, 2025, which included an explanatory paragraph related to the Company’s ability to continue as a going concern, included in the Company’s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our report dated April 14, 2025, relating to the consolidated financial statements of Innventure, Inc. (the Company) appearing in the Company’s Annual Report on Form 10-K for the year ended December 31, 2024. Our report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lowerLetter"/>
      <w:start w:val="24"/>
    </w:lvl>
  </w:abstractNum>
  <w:abstractNum w:abstractNumId="1">
    <w:nsid w:val="25E45D32"/>
    <w:multiLevelType w:val="hybridMultilevel"/>
    <w:lvl w:ilvl="0">
      <w:lvlJc w:val="left"/>
      <w:lvlText w:val="(%1)"/>
      <w:numFmt w:val="lowerLetter"/>
      <w:start w:val="2"/>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Roman"/>
      <w:start w:val="2"/>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decimal"/>
      <w:start w:val="23"/>
    </w:lvl>
  </w:abstractNum>
  <w:abstractNum w:abstractNumId="14">
    <w:nsid w:val="6763845E"/>
    <w:multiLevelType w:val="hybridMultilevel"/>
    <w:lvl w:ilvl="0">
      <w:lvlJc w:val="left"/>
      <w:lvlText w:val="(%1)"/>
      <w:numFmt w:val="decimal"/>
      <w:start w:val="35"/>
    </w:lvl>
  </w:abstractNum>
  <w:abstractNum w:abstractNumId="15">
    <w:nsid w:val="75A2A8D4"/>
    <w:multiLevelType w:val="hybridMultilevel"/>
    <w:lvl w:ilvl="0">
      <w:lvlJc w:val="left"/>
      <w:lvlText w:val="(%1)"/>
      <w:numFmt w:val="decimal"/>
      <w:start w:val="49"/>
    </w:lvl>
  </w:abstractNum>
  <w:abstractNum w:abstractNumId="16">
    <w:nsid w:val="8EDBDAB"/>
    <w:multiLevelType w:val="hybridMultilevel"/>
    <w:lvl w:ilvl="0">
      <w:lvlJc w:val="left"/>
      <w:lvlText w:val="(%1)"/>
      <w:numFmt w:val="lowerRoman"/>
      <w:start w:val="4"/>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lowerRoman"/>
      <w:start w:val="1"/>
    </w:lvl>
  </w:abstractNum>
  <w:abstractNum w:abstractNumId="19">
    <w:nsid w:val="B03E0C6"/>
    <w:multiLevelType w:val="hybridMultilevel"/>
    <w:lvl w:ilvl="0">
      <w:lvlJc w:val="left"/>
      <w:lvlText w:val="(%1)"/>
      <w:numFmt w:val="lowerRoman"/>
      <w:start w:val="1"/>
    </w:lvl>
  </w:abstractNum>
  <w:abstractNum w:abstractNumId="20">
    <w:nsid w:val="189A769B"/>
    <w:multiLevelType w:val="hybridMultilevel"/>
    <w:lvl w:ilvl="0">
      <w:lvlJc w:val="left"/>
      <w:lvlText w:val="(%1)"/>
      <w:numFmt w:val="lowerRoman"/>
      <w:start w:val="3"/>
    </w:lvl>
  </w:abstractNum>
  <w:abstractNum w:abstractNumId="21">
    <w:nsid w:val="54E49EB4"/>
    <w:multiLevelType w:val="hybridMultilevel"/>
    <w:lvl w:ilvl="0">
      <w:lvlJc w:val="left"/>
      <w:lvlText w:val="(%1)"/>
      <w:numFmt w:val="decimal"/>
      <w:start w:val="2"/>
    </w:lvl>
    <w:lvl w:ilvl="1">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lvl w:ilvl="1">
      <w:lvlJc w:val="left"/>
      <w:lvlText w:val="(%2)"/>
      <w:numFmt w:val="lowerRoman"/>
      <w:start w:val="1"/>
    </w:lvl>
  </w:abstractNum>
  <w:abstractNum w:abstractNumId="28">
    <w:nsid w:val="1E7FF521"/>
    <w:multiLevelType w:val="hybridMultilevel"/>
    <w:lvl w:ilvl="0">
      <w:lvlJc w:val="left"/>
      <w:lvlText w:val="(%1)"/>
      <w:numFmt w:val="decimal"/>
      <w:start w:val="2"/>
    </w:lvl>
  </w:abstractNum>
  <w:abstractNum w:abstractNumId="29">
    <w:nsid w:val="7C3DBD3D"/>
    <w:multiLevelType w:val="hybridMultilevel"/>
    <w:lvl w:ilvl="0">
      <w:lvlJc w:val="left"/>
      <w:lvlText w:val="(%1)"/>
      <w:numFmt w:val="decimal"/>
      <w:start w:val="4"/>
    </w:lvl>
    <w:lvl w:ilvl="1">
      <w:lvlJc w:val="left"/>
      <w:lvlText w:val="(%2)"/>
      <w:numFmt w:val="upperLetter"/>
      <w:start w:val="1"/>
    </w:lvl>
  </w:abstractNum>
  <w:abstractNum w:abstractNumId="30">
    <w:nsid w:val="737B8DDC"/>
    <w:multiLevelType w:val="hybridMultilevel"/>
    <w:lvl w:ilvl="0">
      <w:lvlJc w:val="left"/>
      <w:lvlText w:val="%1"/>
      <w:numFmt w:val="decimal"/>
      <w:start w:val="1"/>
    </w:lvl>
    <w:lvl w:ilvl="1">
      <w:lvlJc w:val="left"/>
      <w:lvlText w:val="(%2)"/>
      <w:numFmt w:val="lowerRoman"/>
      <w:start w:val="1"/>
    </w:lvl>
  </w:abstractNum>
  <w:abstractNum w:abstractNumId="31">
    <w:nsid w:val="6CEAF087"/>
    <w:multiLevelType w:val="hybridMultilevel"/>
    <w:lvl w:ilvl="0">
      <w:lvlJc w:val="left"/>
      <w:lvlText w:val="(%1)"/>
      <w:numFmt w:val="decimal"/>
      <w:start w:val="6"/>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89"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7" Type="http://schemas.openxmlformats.org/officeDocument/2006/relationships/image" Target="media/image62.png"/><Relationship Id="rId98" Type="http://schemas.openxmlformats.org/officeDocument/2006/relationships/image" Target="media/image63.png"/><Relationship Id="rId99" Type="http://schemas.openxmlformats.org/officeDocument/2006/relationships/image" Target="media/image64.png"/><Relationship Id="rId60" Type="http://schemas.openxmlformats.org/officeDocument/2006/relationships/hyperlink" Target="https://www.sec.gov/ix?doc=/Archives/edgar/data/2001557/000200155726000060/innv-20251231.htm" TargetMode="External"/><Relationship Id="rId61" Type="http://schemas.openxmlformats.org/officeDocument/2006/relationships/hyperlink" Target="https://www.sec.gov/ix?doc=/Archives/edgar/data/2001557/000114036126001214/ef20063014_8k.htm" TargetMode="External"/><Relationship Id="rId62" Type="http://schemas.openxmlformats.org/officeDocument/2006/relationships/hyperlink" Target="https://www.sec.gov/ix?doc=/Archives/edgar/data/0002001557/000114036126001545/ef20063380_8k.htm" TargetMode="External"/><Relationship Id="rId63" Type="http://schemas.openxmlformats.org/officeDocument/2006/relationships/hyperlink" Target="https://www.sec.gov/ix?doc=/Archives/edgar/data/2001557/000200155726000026/innv-20260216.htm" TargetMode="External"/><Relationship Id="rId64" Type="http://schemas.openxmlformats.org/officeDocument/2006/relationships/hyperlink" Target="https://www.sec.gov/ix?doc=/Archives/edgar/data/2001557/000200155726000047/innv-20260303.htm" TargetMode="External"/><Relationship Id="rId65" Type="http://schemas.openxmlformats.org/officeDocument/2006/relationships/hyperlink" Target="https://www.sec.gov/ix?doc=/Archives/edgar/data/2001557/000200155726000052/innv-20260318.htm" TargetMode="External"/><Relationship Id="rId66" Type="http://schemas.openxmlformats.org/officeDocument/2006/relationships/hyperlink" Target="https://www.sec.gov/Archives/edgar/data/2001557/000162828025017614/exhibit41to2024description.htm" TargetMode="External"/><Relationship Id="rId71" Type="http://schemas.openxmlformats.org/officeDocument/2006/relationships/hyperlink" Target="https://www.sec.gov/Archives/edgar/data/2001557/000114036124040480/ny20012992x29_s4a.htm#tANNEXA" TargetMode="External"/><Relationship Id="rId72" Type="http://schemas.openxmlformats.org/officeDocument/2006/relationships/hyperlink" Target="https://www.sec.gov/Archives/edgar/data/2001557/000114036124043179/ef20036737_ex3-1.htm" TargetMode="External"/><Relationship Id="rId73" Type="http://schemas.openxmlformats.org/officeDocument/2006/relationships/hyperlink" Target="https://www.sec.gov/Archives/edgar/data/2001557/000114036124043179/ef20036737_ex3-3.htm" TargetMode="External"/><Relationship Id="rId74" Type="http://schemas.openxmlformats.org/officeDocument/2006/relationships/hyperlink" Target="https://www.sec.gov/Archives/edgar/data/2001557/000114036125010165/ef20045914_ex3-1.htm" TargetMode="External"/><Relationship Id="rId75" Type="http://schemas.openxmlformats.org/officeDocument/2006/relationships/hyperlink" Target="https://www.sec.gov/Archives/edgar/data/2001557/000114036124025505/ny20012992x12_ex4-3.htm" TargetMode="External"/><Relationship Id="rId76" Type="http://schemas.openxmlformats.org/officeDocument/2006/relationships/hyperlink" Target="https://www.sec.gov/Archives/edgar/data/2001557/000114036124025505/ny20012992x12_ex4-4.htm" TargetMode="External"/><Relationship Id="rId77" Type="http://schemas.openxmlformats.org/officeDocument/2006/relationships/hyperlink" Target="https://www.sec.gov/Archives/edgar/data/2001557/000114036124025505/ny20012992x12_ex4-5.htm" TargetMode="External"/><Relationship Id="rId78" Type="http://schemas.openxmlformats.org/officeDocument/2006/relationships/hyperlink" Target="https://www.sec.gov/Archives/edgar/data/2001557/000114036124025505/ny20012992x12_ex4-6.htm" TargetMode="External"/><Relationship Id="rId79" Type="http://schemas.openxmlformats.org/officeDocument/2006/relationships/hyperlink" Target="https://www.sec.gov/Archives/edgar/data/2001557/000114036124025505/ny20012992x12_ex4-8.htm" TargetMode="External"/><Relationship Id="rId80" Type="http://schemas.openxmlformats.org/officeDocument/2006/relationships/hyperlink" Target="https://www.sec.gov/Archives/edgar/data/2001557/000114036124044030/ef20037576_ex4-1.htm" TargetMode="External"/><Relationship Id="rId81" Type="http://schemas.openxmlformats.org/officeDocument/2006/relationships/hyperlink" Target="https://www.sec.gov/Archives/edgar/data/2001557/000114036124044030/ef20037576_ex4-2.htm" TargetMode="External"/><Relationship Id="rId82" Type="http://schemas.openxmlformats.org/officeDocument/2006/relationships/hyperlink" Target="https://www.sec.gov/Archives/edgar/data/2001557/000162828025017703/exhibit42-wtifundxllcwar.htm" TargetMode="External"/><Relationship Id="rId83" Type="http://schemas.openxmlformats.org/officeDocument/2006/relationships/hyperlink" Target="https://www.sec.gov/Archives/edgar/data/2001557/000162828025017703/exhibit43-wtifundxillcwa.htm" TargetMode="External"/><Relationship Id="rId84" Type="http://schemas.openxmlformats.org/officeDocument/2006/relationships/hyperlink" Target="https://www.sec.gov/Archives/edgar/data/1847577/000114036121034554/nt10022269x10_ex10-4.htm" TargetMode="External"/><Relationship Id="rId85" Type="http://schemas.openxmlformats.org/officeDocument/2006/relationships/hyperlink" Target="https://www.sec.gov/Archives/edgar/data/2001557/000114036125037342/ef20056646_ex4-1.htm" TargetMode="External"/><Relationship Id="rId86" Type="http://schemas.openxmlformats.org/officeDocument/2006/relationships/hyperlink" Target="https://www.sec.gov/Archives/edgar/data/2001557/000114036126010233/ny20068127x1_ex5-1.htm" TargetMode="External"/><Relationship Id="rId87" Type="http://schemas.openxmlformats.org/officeDocument/2006/relationships/hyperlink" Target="https://www.sec.gov/Archives/edgar/data/2001557/000162828025017889/exhibit51-resaleposam.htm" TargetMode="External"/><Relationship Id="rId88" Type="http://schemas.openxmlformats.org/officeDocument/2006/relationships/hyperlink" Target="https://www.sec.gov/Archives/edgar/data/2001557/000162828025017890/exhibit51-sx1.htm" TargetMode="External"/><Relationship Id="rId90" Type="http://schemas.openxmlformats.org/officeDocument/2006/relationships/hyperlink" Target="https://www.sec.gov/Archives/edgar/data/2001557/000114036125039085/ny20057508x1_ex5-1.htm" TargetMode="External"/><Relationship Id="rId91" Type="http://schemas.openxmlformats.org/officeDocument/2006/relationships/hyperlink" Target="https://www.sec.gov/Archives/edgar/data/2001557/000114036126010233/ny20068127x1_s3.htm#tSIG" TargetMode="External"/><Relationship Id="rId92" Type="http://schemas.openxmlformats.org/officeDocument/2006/relationships/hyperlink" Target="https://www.sec.gov/ix?doc=/Archives/edgar/data/2001557/000114036126010233/ny20068127x1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2026-04-01T16:33:31Z</dcterms:created>
  <dcterms:modified xsi:type="dcterms:W3CDTF">2026-04-01T16:33:31Z</dcterms:modified>
</cp:coreProperties>
</file>