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May 14,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14, 2026, Innventure, Inc. (the “Company”) issued a press release announcing the Company’s financial results for the first quarter ended March 31, 2026, and certain other information. A copy of the press release is furnished herewith as Exhibit 99.1 and is incorporated by reference herein.</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0"/>
        </w:rPr>
        <w:t>Item 9.01 Financial Statements and Exhibits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6509" w:type="dxa"/>
        <w:jc w:val="left"/>
        <w:tblInd w:w="0" w:type="dxa"/>
        <w:tblLayout w:type="fixed"/>
        <w:tblCellMar>
          <w:top w:w="28" w:type="dxa"/>
          <w:left w:w="28" w:type="dxa"/>
          <w:bottom w:w="28" w:type="dxa"/>
          <w:right w:w="28" w:type="dxa"/>
        </w:tblCellMar>
      </w:tblPr>
      <w:tblGrid>
        <w:gridCol w:w="538"/>
        <w:gridCol w:w="472"/>
        <w:gridCol w:w="474"/>
        <w:gridCol w:w="1468"/>
        <w:gridCol w:w="1468"/>
        <w:gridCol w:w="208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991innventure-1q26earning.htm">
              <w:r>
                <w:rPr>
                  <w:rStyle w:val="InternetLink"/>
                  <w:rFonts w:ascii="Times New Roman;serif" w:hAnsi="Times New Roman;serif"/>
                  <w:b w:val="false"/>
                  <w:color w:val="000080"/>
                  <w:sz w:val="20"/>
                </w:rPr>
                <w:t>Press Release by Innventure, Inc. dated</w:t>
              </w:r>
            </w:hyperlink>
            <w:r>
              <w:rPr>
                <w:rFonts w:ascii="Times New Roman;serif" w:hAnsi="Times New Roman;serif"/>
                <w:b w:val="false"/>
                <w:color w:val="000000"/>
                <w:sz w:val="20"/>
              </w:rPr>
              <w:t xml:space="preserve"> May 14, 2026</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141"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355"/>
        <w:gridCol w:w="355"/>
        <w:gridCol w:w="355"/>
        <w:gridCol w:w="587"/>
        <w:gridCol w:w="587"/>
        <w:gridCol w:w="83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8"/>
        </w:rPr>
      </w:pPr>
      <w:r>
        <w:rPr>
          <w:rFonts w:ascii="sans-serif" w:hAnsi="sans-serif"/>
          <w:b/>
          <w:color w:val="000000"/>
          <w:sz w:val="28"/>
        </w:rPr>
        <w:t>Innventure Reports First Quarter 2026 Results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5.14.26</w:t>
      </w:r>
    </w:p>
    <w:p>
      <w:pPr>
        <w:pStyle w:val="TextBody"/>
        <w:bidi w:val="0"/>
        <w:spacing w:before="0" w:after="0"/>
        <w:jc w:val="center"/>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Strong start to 2026 driven by commercial momentum across Innventure’s three operating companies</w:t>
      </w:r>
    </w:p>
    <w:p>
      <w:pPr>
        <w:pStyle w:val="TextBody"/>
        <w:bidi w:val="0"/>
        <w:spacing w:before="0" w:after="0"/>
        <w:jc w:val="center"/>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General and administrative expenses declined 35% year over year, demonstrating continued progress on cost discipline</w:t>
      </w:r>
    </w:p>
    <w:p>
      <w:pPr>
        <w:pStyle w:val="TextBody"/>
        <w:bidi w:val="0"/>
        <w:spacing w:before="0" w:after="0"/>
        <w:jc w:val="center"/>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Execution and financial progress in the quarter reinforce confidence that 2026 represents an inflection year</w:t>
      </w:r>
    </w:p>
    <w:p>
      <w:pPr>
        <w:pStyle w:val="TextBody"/>
        <w:bidi w:val="0"/>
        <w:spacing w:before="0" w:after="0"/>
        <w:jc w:val="center"/>
        <w:rPr/>
      </w:pPr>
      <w:r>
        <w:rPr/>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ORLANDO, Fla., May 14, 2026 (GLOBAL NEWSWIRE) – Innventure, Inc. (NASDAQ: INV) (“Innventure”), an industrial growth conglomerate, today announced financial results for the quarter ended March 31, 2026.</w:t>
      </w:r>
    </w:p>
    <w:p>
      <w:pPr>
        <w:pStyle w:val="TextBody"/>
        <w:bidi w:val="0"/>
        <w:spacing w:lineRule="auto" w:line="288" w:before="120" w:after="120"/>
        <w:jc w:val="both"/>
        <w:rPr>
          <w:color w:val="000000"/>
        </w:rPr>
      </w:pPr>
      <w:r>
        <w:rPr>
          <w:color w:val="000000"/>
        </w:rPr>
        <w:t>“</w:t>
      </w:r>
      <w:r>
        <w:rPr>
          <w:rFonts w:ascii="sans-serif" w:hAnsi="sans-serif"/>
          <w:b w:val="false"/>
          <w:color w:val="000000"/>
          <w:sz w:val="22"/>
        </w:rPr>
        <w:t xml:space="preserve">We entered 2026 with strong momentum, and the first quarter reflects a company that is executing across multiple fronts,” said Bill Haskell, Chief Executive Officer. “Across our operating companies, we are seeing tangible commercial progress, improving financial discipline, and growing validation of our model. This is the result of years of focused work turning innovative technologies into scalable businesses, and we believe we are off to a strong start in 2026 as we continue building long-term value for shareholders. </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Conference Call and Webcast</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A conference call to discuss these results has been scheduled for 5:00 pm ET today, May 14, 2026.</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 event will be webcasted live via our investor relations website https://ir.innventure.com/ or via this link.</w:t>
      </w:r>
    </w:p>
    <w:p>
      <w:pPr>
        <w:pStyle w:val="TextBody"/>
        <w:bidi w:val="0"/>
        <w:spacing w:lineRule="auto" w:line="288" w:before="120" w:after="120"/>
        <w:jc w:val="both"/>
        <w:rPr/>
      </w:pPr>
      <w:r>
        <w:rPr>
          <w:rFonts w:ascii="sans-serif" w:hAnsi="sans-serif"/>
          <w:b w:val="false"/>
          <w:color w:val="000000"/>
          <w:sz w:val="22"/>
        </w:rPr>
        <w:t xml:space="preserve">Innventure has posted a slide presentation to accompany the prepared remarks to its investor relations website </w:t>
      </w:r>
      <w:r>
        <w:rPr>
          <w:rFonts w:ascii="sans-serif" w:hAnsi="sans-serif"/>
          <w:b/>
          <w:color w:val="467886"/>
          <w:sz w:val="22"/>
        </w:rPr>
        <w:t>https://ir.innventure.com/</w:t>
      </w:r>
      <w:r>
        <w:rPr>
          <w:rFonts w:ascii="sans-serif" w:hAnsi="sans-serif"/>
          <w:b w:val="false"/>
          <w:color w:val="000000"/>
          <w:sz w:val="22"/>
        </w:rPr>
        <w:t>.</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In response to recent investor feedback, Innventure has also posted a comprehensive question and answer document to the presentations page of its investor relations website https://ir.innventure.com/news-events/presentations. </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About Innventure</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Non-GAAP Financial Measures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pStyle w:val="TextBody"/>
        <w:bidi w:val="0"/>
        <w:spacing w:before="0" w:after="6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Investors should use caution when comparing our non-GAAP measure to similar metrics used by other companies, as definitions can vary. Adjusted EBITDA should not be considered in isolation or as a substitute for GAAP financial measures. </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pStyle w:val="TextBody"/>
        <w:bidi w:val="0"/>
        <w:spacing w:lineRule="auto" w:line="288" w:before="120" w:after="120"/>
        <w:jc w:val="both"/>
        <w:rPr>
          <w:rFonts w:ascii="sans-serif" w:hAnsi="sans-serif"/>
          <w:b/>
          <w:color w:val="000000"/>
          <w:sz w:val="22"/>
          <w:shd w:fill="FFFFFF" w:val="clear"/>
        </w:rPr>
      </w:pPr>
      <w:r>
        <w:rPr>
          <w:rFonts w:ascii="sans-serif" w:hAnsi="sans-serif"/>
          <w:b/>
          <w:color w:val="000000"/>
          <w:sz w:val="22"/>
          <w:shd w:fill="FFFFFF" w:val="clear"/>
        </w:rPr>
        <w:t xml:space="preserve">Cautionary Statement Regarding Forward-Looking Statements </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These risks and uncertainties include, but are not limited to, those factors described in Innventure’s public filings with the U.S. Securities and Exchange Commission, including but not limited to the following: Innventure’s and its subsidiaries’ ability to execute on their strategies, book sales and achieve future financial performance; developments and projections relating to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changes in economic conditions; competitive pressures; regulatory developments; Innventure’s ability to maintain control over its subsidiaries.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Forward</w:t>
        <w:noBreakHyphen/>
        <w:t>looking statements speak only as of the date of this release, and Innventure undertakes no obligation to update them except as required by law.</w:t>
      </w:r>
    </w:p>
    <w:p>
      <w:pPr>
        <w:pStyle w:val="TextBody"/>
        <w:bidi w:val="0"/>
        <w:spacing w:lineRule="auto" w:line="288" w:before="120" w:after="120"/>
        <w:jc w:val="both"/>
        <w:rPr/>
      </w:pPr>
      <w:r>
        <w:rPr>
          <w:rFonts w:ascii="sans-serif" w:hAnsi="sans-serif"/>
          <w:b/>
          <w:color w:val="000000"/>
          <w:sz w:val="22"/>
        </w:rPr>
        <w:t>Investor Relations Contact:</w:t>
      </w:r>
      <w:r>
        <w:rPr>
          <w:color w:val="000000"/>
        </w:rPr>
        <w:t xml:space="preserve"> </w:t>
      </w:r>
      <w:r>
        <w:rPr>
          <w:rFonts w:ascii="sans-serif" w:hAnsi="sans-serif"/>
          <w:b w:val="false"/>
          <w:color w:val="000000"/>
          <w:sz w:val="22"/>
        </w:rPr>
        <w:t xml:space="preserve">Kyle Nagarkar, Solebury Strategic Communications </w:t>
      </w:r>
    </w:p>
    <w:p>
      <w:pPr>
        <w:pStyle w:val="TextBody"/>
        <w:bidi w:val="0"/>
        <w:spacing w:lineRule="auto" w:line="288" w:before="120" w:after="120"/>
        <w:jc w:val="both"/>
        <w:rPr>
          <w:rFonts w:ascii="sans-serif" w:hAnsi="sans-serif"/>
          <w:b w:val="false"/>
          <w:color w:val="0563C1"/>
          <w:sz w:val="22"/>
        </w:rPr>
      </w:pPr>
      <w:r>
        <w:rPr>
          <w:rFonts w:ascii="sans-serif" w:hAnsi="sans-serif"/>
          <w:b w:val="false"/>
          <w:color w:val="0563C1"/>
          <w:sz w:val="22"/>
        </w:rPr>
        <w:t>investorrelations@innventure.com</w:t>
      </w:r>
    </w:p>
    <w:p>
      <w:pPr>
        <w:pStyle w:val="TextBody"/>
        <w:bidi w:val="0"/>
        <w:spacing w:lineRule="auto" w:line="268" w:before="0" w:after="0"/>
        <w:jc w:val="left"/>
        <w:rPr/>
      </w:pPr>
      <w:r>
        <w:rPr>
          <w:rFonts w:ascii="sans-serif" w:hAnsi="sans-serif"/>
          <w:b/>
          <w:color w:val="000000"/>
          <w:sz w:val="22"/>
        </w:rPr>
        <w:t xml:space="preserve">Media Contact: </w:t>
      </w:r>
      <w:r>
        <w:rPr>
          <w:rFonts w:ascii="sans-serif" w:hAnsi="sans-serif"/>
          <w:b w:val="false"/>
          <w:color w:val="000000"/>
          <w:sz w:val="22"/>
        </w:rPr>
        <w:t xml:space="preserve">Laurie Steinberg, Solebury Strategic Communications </w:t>
      </w:r>
    </w:p>
    <w:p>
      <w:pPr>
        <w:pStyle w:val="TextBody"/>
        <w:bidi w:val="0"/>
        <w:spacing w:lineRule="auto" w:line="268" w:before="0" w:after="0"/>
        <w:jc w:val="left"/>
        <w:rPr>
          <w:rFonts w:ascii="sans-serif" w:hAnsi="sans-serif"/>
          <w:b w:val="false"/>
          <w:color w:val="0563C1"/>
          <w:sz w:val="22"/>
        </w:rPr>
      </w:pPr>
      <w:r>
        <w:rPr>
          <w:rFonts w:ascii="sans-serif" w:hAnsi="sans-serif"/>
          <w:b w:val="false"/>
          <w:color w:val="0563C1"/>
          <w:sz w:val="22"/>
        </w:rPr>
        <w:t>press@innventure.com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Innventure, Inc. and Subsidiaries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Consolidated Balance Sheets</w:t>
      </w:r>
    </w:p>
    <w:p>
      <w:pPr>
        <w:pStyle w:val="TextBody"/>
        <w:bidi w:val="0"/>
        <w:spacing w:lineRule="auto" w:line="288" w:before="0" w:after="60"/>
        <w:jc w:val="center"/>
        <w:rPr>
          <w:rFonts w:ascii="sans-serif" w:hAnsi="sans-serif"/>
          <w:b/>
          <w:color w:val="000000"/>
          <w:sz w:val="22"/>
        </w:rPr>
      </w:pPr>
      <w:r>
        <w:rPr>
          <w:rFonts w:ascii="sans-serif" w:hAnsi="sans-serif"/>
          <w:b/>
          <w:color w:val="000000"/>
          <w:sz w:val="22"/>
        </w:rPr>
        <w:t>(in thousands, except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3"/>
        <w:gridCol w:w="2332"/>
        <w:gridCol w:w="2372"/>
        <w:gridCol w:w="197"/>
        <w:gridCol w:w="758"/>
        <w:gridCol w:w="109"/>
        <w:gridCol w:w="109"/>
        <w:gridCol w:w="109"/>
        <w:gridCol w:w="109"/>
        <w:gridCol w:w="204"/>
        <w:gridCol w:w="784"/>
        <w:gridCol w:w="329"/>
      </w:tblGrid>
      <w:tr>
        <w:trPr/>
        <w:tc>
          <w:tcPr>
            <w:tcW w:w="2793"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7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Assets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Cash and cash equivalents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60,449 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Restricted cash</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5,000 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Accounts receivable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1,094 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Due from related parties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11,840 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Inventories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1,604 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Prepaid expenses and other current assets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3,167 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4"/>
              </w:rPr>
              <w:t>Total Current Assets</w:t>
            </w:r>
            <w:r>
              <w:rPr>
                <w:color w:val="000000"/>
              </w:rPr>
              <w:t xml:space="preserve"> </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81,824 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83,154 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Investments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28,741 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Property, plant and equipment, net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1,941 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Intangible assets, net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155,133 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160,537 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Goodwill</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323,463 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323,463 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assets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1,351 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Assets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591,483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599,187</w:t>
            </w: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Liabilities and Stockholders' Equity</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Accounts payable</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2,551 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Accrued employee benefits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11,343 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Accrued expenses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7,386 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Contract liabilities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947 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Notes payable - current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12,846 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Term convertible note, current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7,890 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Convertible promissory note, current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4,331 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Patent installment payable - current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700 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Obligation to issue equity</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119 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Warrant liability</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27,458 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Income taxes payable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current liabilities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682 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Current Liabilities </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59,847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76,276</w:t>
            </w: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Notes payable, net of current portion</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8,327 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749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Earnout liability</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3,890 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Stock-based compensation liability</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239 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Patent installment payable, net of current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12,375 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Deferred income taxes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10,782 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13,848 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Other liabilities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556 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Total Liabilities </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93,334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115,511</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Commitments and Contingencies (Note 16)</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Stockholders' Equity</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Preferred stock, $0.0001 par value, 25,000,000 shares authorized;</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Series B Preferred Stock, $0.0001 par value, 3,000,000 shares designated, 35,792 and 33,144 shares issued and outstanding as of March 31, 2026 and December 31, 2025, respectively.</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Series C Preferred Stock, $0.0001 par value, 5,000,000 shares designated, 159,270 shares issued and outstanding as of March 31, 2026 and 150,000 shares issued and outstanding as of December 31, 2025.</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4"/>
              </w:rPr>
            </w:pPr>
            <w:r>
              <w:rPr>
                <w:rFonts w:ascii="sans-serif" w:hAnsi="sans-serif"/>
                <w:b w:val="false"/>
                <w:color w:val="000000"/>
                <w:sz w:val="14"/>
              </w:rPr>
              <w:t>Common Stock, $0.0001 par value, 250,000,000 shares authorized, 80,094,894 and 67,743,847 shares issued and outstanding as of March 31, 2026 and December 31, 2025, respectively.</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Additional paid-in capital</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617,017 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577,070 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Accumulated other comprehensive gain (loss)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(1,260)</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Accumulated deficit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(392,408)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(371,603)</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Total Innventure, Inc., Stockholders’ Equity</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223,445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204,214</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Non-controlling interest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279,462 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Total Stockholders' Equity</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498,149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483,676</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4"/>
              </w:rPr>
              <w:t>Total Liabilities and Stockholder’s Equity</w:t>
            </w:r>
            <w:r>
              <w:rPr>
                <w:color w:val="000000"/>
              </w:rPr>
              <w:t xml:space="preserve"> </w:t>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591,483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w:t>
            </w:r>
          </w:p>
        </w:tc>
        <w:tc>
          <w:tcPr>
            <w:tcW w:w="7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599,187</w:t>
            </w:r>
            <w:r>
              <w:rPr>
                <w:color w:val="000000"/>
              </w:rPr>
              <w:t> </w:t>
            </w:r>
          </w:p>
        </w:tc>
        <w:tc>
          <w:tcPr>
            <w:tcW w:w="3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Operations and Comprehensive Income (Loss)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315"/>
        <w:gridCol w:w="1919"/>
        <w:gridCol w:w="1927"/>
        <w:gridCol w:w="423"/>
        <w:gridCol w:w="1192"/>
        <w:gridCol w:w="183"/>
        <w:gridCol w:w="109"/>
        <w:gridCol w:w="109"/>
        <w:gridCol w:w="109"/>
        <w:gridCol w:w="388"/>
        <w:gridCol w:w="918"/>
        <w:gridCol w:w="613"/>
      </w:tblGrid>
      <w:tr>
        <w:trPr/>
        <w:tc>
          <w:tcPr>
            <w:tcW w:w="2315"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March 31, 2025</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Revenue</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1,443</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224</w:t>
            </w:r>
            <w:r>
              <w:rPr>
                <w:color w:val="000000"/>
              </w:rPr>
              <w:t>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Operating Expenses</w:t>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Cost of sales</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General and administrative</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19,676 </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Sales and marketing</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2,096 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Research and development</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6,253 </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Goodwill impairment</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233,213 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Total Operating Expenses </w:t>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28,740</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261,422</w:t>
            </w:r>
            <w:r>
              <w:rPr>
                <w:color w:val="000000"/>
              </w:rPr>
              <w:t>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Loss from Operations </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(27,297)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(261,198)</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Non-operating (Expense) and Income</w:t>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expense, net</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gain (loss) from investments</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fair value of financial liabilities</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16,429 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method investment (loss) income</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(1,516)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(6,756)</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Realized gain on conversion of available for sale investment</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1,507 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debt</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related party debt</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Miscellaneous other expense</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Non-operating Income (Expense)</w:t>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(3,525)</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6,125 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Loss before Income Taxes</w:t>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(30,822)</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(255,073)</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expense (benefit)</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(3,039)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Loss </w:t>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(27,783)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(253,674)</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Less: net loss attributable to</w:t>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Non-redeemable non-controlling interest</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(6,978)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(110,677)</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Loss Attributable to Innventure, Inc. Stockholders / Innventure LLC Unitholders </w:t>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(20,805)</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(142,997)</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 and diluted loss per share</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Basic and diluted weighted average common shares</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77,829,187 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46,252,922 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6161"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33"/>
        <w:gridCol w:w="1852"/>
        <w:gridCol w:w="1856"/>
        <w:gridCol w:w="344"/>
        <w:gridCol w:w="1287"/>
        <w:gridCol w:w="178"/>
        <w:gridCol w:w="203"/>
        <w:gridCol w:w="203"/>
        <w:gridCol w:w="109"/>
        <w:gridCol w:w="271"/>
        <w:gridCol w:w="1148"/>
        <w:gridCol w:w="521"/>
      </w:tblGrid>
      <w:tr>
        <w:trPr/>
        <w:tc>
          <w:tcPr>
            <w:tcW w:w="223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5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March 31, 2026</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March 31, 2025</w:t>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Used in Operating Activities</w:t>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(27,783)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(253,674)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Adjustments to reconcile net loss to net cash used in operating activities:</w:t>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5,841 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income on debt securities - related party</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fair value of financial liabilities</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(16,429)</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Non-cash interest expense on notes payable</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510 </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gain on investments</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unpaid interest on note payable</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Equity method investment loss (income)</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6,756 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Realized gain on conversion of available for sale investments</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(1,507)</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extinguishment of debt</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Deferred income taxes</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(3,067)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(1,899)</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Loss on Disposal of PPE</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5,548 </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Goodwill impairment</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233,213 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costs, net</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61 </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Changes in operating assets and liabilities:</w:t>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Accounts receivable</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46 </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Prepaid expenses and other current assets</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Inventory</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Accounts payable</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1,587 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employee benefits</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(6,863)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1,943 </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Accrued expenses</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(5,503)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565 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liability</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(442)</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taxes payable</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500 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current liabilities</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w:t>
            </w:r>
          </w:p>
        </w:tc>
        <w:tc>
          <w:tcPr>
            <w:tcW w:w="52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Contract liabilities</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Patent installment payable</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Cash Used in Operating Activities </w:t>
            </w:r>
          </w:p>
        </w:tc>
        <w:tc>
          <w:tcPr>
            <w:tcW w:w="1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(34,031)</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(14,696)</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(Used in) Provided by Investing Activities</w:t>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Investment in available-for-sale debt securities - equity method investee</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(2,337)</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Acquisition of property, plant and equipment</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(917)</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Net Cash (Used in) Provided by Investing Activities </w:t>
            </w:r>
          </w:p>
        </w:tc>
        <w:tc>
          <w:tcPr>
            <w:tcW w:w="1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(846)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(3,254)</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Provided by Financing Activities</w:t>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issuance of equity, net of issuance costs</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37,207 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3,675 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Proceeds from the issuance of equity to non-controlling interest, net of issuance costs</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4,907 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Payment of debts</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(300)</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preferred stock</w:t>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Distributions to Stockholders</w:t>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xml:space="preserve">Cash Flows Provided by Financing Activities </w:t>
            </w:r>
          </w:p>
        </w:tc>
        <w:tc>
          <w:tcPr>
            <w:tcW w:w="1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29,795</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8,206</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Decrease in Cash, Cash Equivalents and Restricted Cash</w:t>
            </w:r>
          </w:p>
        </w:tc>
        <w:tc>
          <w:tcPr>
            <w:tcW w:w="1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(5,082)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(9,744)</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Cash Equivalents and Restricted Cash Beginning of period</w:t>
            </w:r>
          </w:p>
        </w:tc>
        <w:tc>
          <w:tcPr>
            <w:tcW w:w="1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65,449 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11,119 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6"/>
              </w:rPr>
              <w:t>Cash, Cash Equivalents and Restricted Cash End of period</w:t>
            </w:r>
            <w:r>
              <w:rPr>
                <w:color w:val="000000"/>
              </w:rPr>
              <w:t xml:space="preserve"> </w:t>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60,367 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1,375 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Innventure, Inc. and Subsidiaries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2071"/>
        <w:gridCol w:w="1744"/>
        <w:gridCol w:w="1750"/>
        <w:gridCol w:w="543"/>
        <w:gridCol w:w="1168"/>
        <w:gridCol w:w="302"/>
        <w:gridCol w:w="109"/>
        <w:gridCol w:w="109"/>
        <w:gridCol w:w="109"/>
        <w:gridCol w:w="390"/>
        <w:gridCol w:w="1108"/>
        <w:gridCol w:w="802"/>
      </w:tblGrid>
      <w:tr>
        <w:trPr/>
        <w:tc>
          <w:tcPr>
            <w:tcW w:w="207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Cash Flow Information</w:t>
            </w:r>
          </w:p>
        </w:tc>
        <w:tc>
          <w:tcPr>
            <w:tcW w:w="2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 of Noncash Financing Information</w:t>
            </w:r>
          </w:p>
        </w:tc>
        <w:tc>
          <w:tcPr>
            <w:tcW w:w="2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Conversion of working capital loans to equity method investee into investments in debt securities - related party</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4,375 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investments in debt Securities - related party through OCI</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Extinguishment of debt with Series C Preferred Stock</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of Series C Preferred Stock to equity method investee</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5,783 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AFX available-for-sale term loan into equity method investments</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8,757 </w:t>
            </w:r>
          </w:p>
        </w:tc>
        <w:tc>
          <w:tcPr>
            <w:tcW w:w="8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as repayment of convertible debt</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vested RSUs</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in exchange for services</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4,002 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reallocation between non-controlling interest and additional paid-in capital</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26,304 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Innventure, Inc. and Subsidiaries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5.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024" w:type="dxa"/>
        <w:jc w:val="center"/>
        <w:tblInd w:w="0" w:type="dxa"/>
        <w:tblLayout w:type="fixed"/>
        <w:tblCellMar>
          <w:top w:w="28" w:type="dxa"/>
          <w:left w:w="28" w:type="dxa"/>
          <w:bottom w:w="28" w:type="dxa"/>
          <w:right w:w="28" w:type="dxa"/>
        </w:tblCellMar>
      </w:tblPr>
      <w:tblGrid>
        <w:gridCol w:w="1709"/>
        <w:gridCol w:w="1493"/>
        <w:gridCol w:w="1522"/>
        <w:gridCol w:w="428"/>
        <w:gridCol w:w="1736"/>
        <w:gridCol w:w="206"/>
        <w:gridCol w:w="203"/>
        <w:gridCol w:w="203"/>
        <w:gridCol w:w="109"/>
        <w:gridCol w:w="706"/>
        <w:gridCol w:w="706"/>
        <w:gridCol w:w="1003"/>
      </w:tblGrid>
      <w:tr>
        <w:trPr/>
        <w:tc>
          <w:tcPr>
            <w:tcW w:w="17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March 31, 2026</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March 31, 2025</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(27,783)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(253,674)</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Interest expense, net</w:t>
            </w:r>
            <w:r>
              <w:rPr>
                <w:rFonts w:ascii="sans-serif" w:hAnsi="sans-serif"/>
                <w:b w:val="false"/>
                <w:color w:val="000000"/>
                <w:sz w:val="13"/>
              </w:rPr>
              <w:t>(1)</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1,538 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 expense</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5,671 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5,548 </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 (benefit)</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(1,399)</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EBITDA</w:t>
            </w:r>
          </w:p>
        </w:tc>
        <w:tc>
          <w:tcPr>
            <w:tcW w:w="2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(24,162)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(247,987)</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Transaction and other related costs</w:t>
            </w:r>
            <w:r>
              <w:rPr>
                <w:rFonts w:ascii="sans-serif" w:hAnsi="sans-serif"/>
                <w:b w:val="false"/>
                <w:color w:val="000000"/>
                <w:sz w:val="13"/>
              </w:rPr>
              <w:t>(2)</w:t>
            </w:r>
          </w:p>
        </w:tc>
        <w:tc>
          <w:tcPr>
            <w:tcW w:w="2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Change in fair value of financial liabilities</w:t>
            </w:r>
            <w:r>
              <w:rPr>
                <w:rFonts w:ascii="sans-serif" w:hAnsi="sans-serif"/>
                <w:b w:val="false"/>
                <w:color w:val="000000"/>
                <w:sz w:val="13"/>
              </w:rPr>
              <w:t>(3)</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(16,429)</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Stock-based compensation</w:t>
            </w:r>
            <w:r>
              <w:rPr>
                <w:rFonts w:ascii="sans-serif" w:hAnsi="sans-serif"/>
                <w:b w:val="false"/>
                <w:color w:val="000000"/>
                <w:sz w:val="13"/>
              </w:rPr>
              <w:t>(4)</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4,832 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5,841 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Goodwill impairment</w:t>
            </w:r>
            <w:r>
              <w:rPr>
                <w:rFonts w:ascii="sans-serif" w:hAnsi="sans-serif"/>
                <w:b w:val="false"/>
                <w:color w:val="000000"/>
                <w:sz w:val="13"/>
              </w:rPr>
              <w:t>(5)</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233,213 </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Loss on extinguishment of debt</w:t>
            </w:r>
            <w:r>
              <w:rPr>
                <w:rFonts w:ascii="sans-serif" w:hAnsi="sans-serif"/>
                <w:b w:val="false"/>
                <w:color w:val="000000"/>
                <w:sz w:val="13"/>
              </w:rPr>
              <w:t>(6)</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Loss on extinguishment of related party debt</w:t>
            </w:r>
            <w:r>
              <w:rPr>
                <w:rFonts w:ascii="sans-serif" w:hAnsi="sans-serif"/>
                <w:b w:val="false"/>
                <w:color w:val="000000"/>
                <w:sz w:val="13"/>
              </w:rPr>
              <w:t>(7)</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3,538 </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conversion of promissory notes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21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(18,416)</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(21,824)</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(1) Interest Expense, net, includes interest incurred on our various borrowing facilities and the amortization of debt issuance costs. </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(2) Change in fair value of financial liabilities – For the three months ended March 31, 2026 and 2025, the change in fair value of financial liabilities primarily consists of the change in fair value of the warrant liability, the earnout liability and the embedded derivatives in various instruments.</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(3) Stock based compensation – For the three months ended March 31, 2026 and 2025, stock based compensation primarily consisted of awards in the 2024 Equity and Incentive Plan. These awards consisted of Stock Options, Restricted Stock Units, and Stock Appreciation Rights. Further, a portion of this expense was related to share-based payment employee incentive plans in existence at subsidiaries. </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(4) Goodwill impairment - For the three months ended March 31, 2025. the Company recognized goodwill impairment due to sustained decreases in the Company’s publicly quoted share price and market capitalization, which were, at least in part, sensitive to the general downward volatility experienced in the stock market from late February 2025.</w:t>
      </w:r>
    </w:p>
    <w:p>
      <w:pPr>
        <w:pStyle w:val="TextBody"/>
        <w:bidi w:val="0"/>
        <w:spacing w:lineRule="auto" w:line="288"/>
        <w:jc w:val="both"/>
        <w:rPr/>
      </w:pPr>
      <w:r>
        <w:rPr>
          <w:rFonts w:ascii="Arial;sans-serif" w:hAnsi="Arial;sans-serif"/>
          <w:b w:val="false"/>
          <w:color w:val="000000"/>
          <w:sz w:val="16"/>
        </w:rPr>
        <w:t xml:space="preserve">(5) Loss on extinguishment of debt - For the three months ended March 31, 2026 the Company repaid the Convertible Debentures resulted in an aggregate of </w:t>
      </w:r>
      <w:r>
        <w:rPr>
          <w:rFonts w:ascii="Times New Roman;serif" w:hAnsi="Times New Roman;serif"/>
          <w:b w:val="false"/>
          <w:color w:val="000000"/>
          <w:sz w:val="16"/>
        </w:rPr>
        <w:t>$1.0 million</w:t>
      </w:r>
      <w:r>
        <w:rPr>
          <w:color w:val="000000"/>
        </w:rPr>
        <w:t xml:space="preserve"> </w:t>
      </w:r>
      <w:r>
        <w:rPr>
          <w:rFonts w:ascii="Arial;sans-serif" w:hAnsi="Arial;sans-serif"/>
          <w:b w:val="false"/>
          <w:color w:val="000000"/>
          <w:sz w:val="16"/>
        </w:rPr>
        <w:t xml:space="preserve">loss on extinguishment of debt. There was no loss on extinguishment of debt for three months ended March 31, 2025. (6) Loss on extinguishment of related party debt - For the three months ended March 31, 2025, the Company extinguished certain related party debts by issuing Series C Preferred Stock. There was no loss on extinguishment of related party debt for the three months ended March 31, 2026. </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2896</Words>
  <Characters>17634</Characters>
  <CharactersWithSpaces>20236</CharactersWithSpaces>
  <Paragraphs>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