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40" w:right="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-228600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4"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-570230</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19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-616585</wp:posOffset>
            </wp:positionV>
            <wp:extent cx="57785" cy="629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730250</wp:posOffset>
            </wp:positionV>
            <wp:extent cx="7047230"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747260"/>
                    </a:xfrm>
                    <a:prstGeom prst="rect">
                      <a:avLst/>
                    </a:prstGeom>
                    <a:noFill/>
                  </pic:spPr>
                </pic:pic>
              </a:graphicData>
            </a:graphic>
          </wp:anchor>
        </w:drawing>
      </w:r>
    </w:p>
    <w:p>
      <w:pPr>
        <w:spacing w:after="0" w:line="1203" w:lineRule="exact"/>
        <w:rPr>
          <w:sz w:val="24"/>
          <w:szCs w:val="24"/>
          <w:color w:val="auto"/>
        </w:rPr>
      </w:pPr>
    </w:p>
    <w:p>
      <w:pPr>
        <w:sectPr>
          <w:pgSz w:w="11900" w:h="16838" w:orient="portrait"/>
          <w:cols w:equalWidth="0" w:num="2">
            <w:col w:w="2280" w:space="340"/>
            <w:col w:w="8460"/>
          </w:cols>
          <w:pgMar w:left="460" w:top="216" w:right="359" w:bottom="1440" w:gutter="0" w:footer="0" w:header="0"/>
        </w:sectPr>
      </w:pPr>
    </w:p>
    <w:p>
      <w:pPr>
        <w:spacing w:after="0" w:line="1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Otworth Michael</w:t>
        </w:r>
      </w:hyperlink>
    </w:p>
    <w:p>
      <w:pPr>
        <w:spacing w:after="0" w:line="29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6900 TAVISTOCK LAKES BLVD, SUITE 400</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Innventure,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INV</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04/02/2026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2" w:right="660" w:firstLine="2"/>
        <w:spacing w:after="0" w:line="251"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0" w:lineRule="exact"/>
        <w:rPr>
          <w:sz w:val="24"/>
          <w:szCs w:val="24"/>
          <w:color w:val="auto"/>
        </w:rPr>
      </w:pPr>
    </w:p>
    <w:p>
      <w:pPr>
        <w:ind w:left="518"/>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6"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18"/>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898"/>
        <w:spacing w:after="0"/>
        <w:rPr>
          <w:sz w:val="20"/>
          <w:szCs w:val="20"/>
          <w:color w:val="auto"/>
        </w:rPr>
      </w:pPr>
      <w:r>
        <w:rPr>
          <w:rFonts w:ascii="Times New Roman" w:cs="Times New Roman" w:eastAsia="Times New Roman" w:hAnsi="Times New Roman"/>
          <w:sz w:val="16"/>
          <w:szCs w:val="16"/>
          <w:color w:val="0000FF"/>
        </w:rPr>
        <w:t>Executive Chairman</w:t>
      </w:r>
    </w:p>
    <w:p>
      <w:pPr>
        <w:spacing w:after="0" w:line="276" w:lineRule="exact"/>
        <w:rPr>
          <w:sz w:val="24"/>
          <w:szCs w:val="24"/>
          <w:color w:val="auto"/>
        </w:rPr>
      </w:pPr>
    </w:p>
    <w:p>
      <w:pPr>
        <w:sectPr>
          <w:pgSz w:w="11900" w:h="16838" w:orient="portrait"/>
          <w:cols w:equalWidth="0" w:num="3">
            <w:col w:w="3280" w:space="640"/>
            <w:col w:w="3102" w:space="720"/>
            <w:col w:w="3338"/>
          </w:cols>
          <w:pgMar w:left="460" w:top="216" w:right="359" w:bottom="1440" w:gutter="0" w:footer="0" w:header="0"/>
          <w:type w:val="continuous"/>
        </w:sectPr>
      </w:pPr>
    </w:p>
    <w:p>
      <w:pPr>
        <w:spacing w:after="0" w:line="12" w:lineRule="exact"/>
        <w:rPr>
          <w:sz w:val="24"/>
          <w:szCs w:val="24"/>
          <w:color w:val="auto"/>
        </w:rPr>
      </w:pPr>
    </w:p>
    <w:tbl>
      <w:tblPr>
        <w:tblLayout w:type="fixed"/>
        <w:tblInd w:w="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shd w:val="clear" w:color="auto" w:fill="9A9A9A"/>
          </w:tcPr>
          <w:p>
            <w:pPr>
              <w:spacing w:after="0"/>
              <w:rPr>
                <w:sz w:val="3"/>
                <w:szCs w:val="3"/>
                <w:color w:val="auto"/>
              </w:rPr>
            </w:pPr>
          </w:p>
        </w:tc>
        <w:tc>
          <w:tcPr>
            <w:tcW w:w="520" w:type="dxa"/>
            <w:vAlign w:val="bottom"/>
            <w:shd w:val="clear" w:color="auto" w:fill="9A9A9A"/>
          </w:tcPr>
          <w:p>
            <w:pPr>
              <w:spacing w:after="0"/>
              <w:rPr>
                <w:sz w:val="3"/>
                <w:szCs w:val="3"/>
                <w:color w:val="auto"/>
              </w:rPr>
            </w:pPr>
          </w:p>
        </w:tc>
        <w:tc>
          <w:tcPr>
            <w:tcW w:w="240" w:type="dxa"/>
            <w:vAlign w:val="bottom"/>
            <w:shd w:val="clear" w:color="auto" w:fill="9A9A9A"/>
          </w:tcPr>
          <w:p>
            <w:pPr>
              <w:spacing w:after="0"/>
              <w:rPr>
                <w:sz w:val="3"/>
                <w:szCs w:val="3"/>
                <w:color w:val="auto"/>
              </w:rPr>
            </w:pPr>
          </w:p>
        </w:tc>
        <w:tc>
          <w:tcPr>
            <w:tcW w:w="900" w:type="dxa"/>
            <w:vAlign w:val="bottom"/>
            <w:shd w:val="clear" w:color="auto" w:fill="9A9A9A"/>
          </w:tcPr>
          <w:p>
            <w:pPr>
              <w:spacing w:after="0"/>
              <w:rPr>
                <w:sz w:val="3"/>
                <w:szCs w:val="3"/>
                <w:color w:val="auto"/>
              </w:rPr>
            </w:pPr>
          </w:p>
        </w:tc>
        <w:tc>
          <w:tcPr>
            <w:tcW w:w="1280" w:type="dxa"/>
            <w:vAlign w:val="bottom"/>
            <w:tcBorders>
              <w:right w:val="single" w:sz="8" w:color="9A9A9A"/>
            </w:tcBorders>
            <w:shd w:val="clear" w:color="auto" w:fill="9A9A9A"/>
          </w:tcPr>
          <w:p>
            <w:pPr>
              <w:spacing w:after="0"/>
              <w:rPr>
                <w:sz w:val="3"/>
                <w:szCs w:val="3"/>
                <w:color w:val="auto"/>
              </w:rPr>
            </w:pPr>
          </w:p>
        </w:tc>
        <w:tc>
          <w:tcPr>
            <w:tcW w:w="3740" w:type="dxa"/>
            <w:vAlign w:val="bottom"/>
            <w:gridSpan w:val="9"/>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580" w:type="dxa"/>
            <w:vAlign w:val="bottom"/>
            <w:gridSpan w:val="10"/>
            <w:vMerge w:val="restart"/>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740" w:type="dxa"/>
            <w:vAlign w:val="bottom"/>
            <w:gridSpan w:val="9"/>
            <w:vMerge w:val="continue"/>
          </w:tcPr>
          <w:p>
            <w:pPr>
              <w:spacing w:after="0"/>
              <w:rPr>
                <w:sz w:val="9"/>
                <w:szCs w:val="9"/>
                <w:color w:val="auto"/>
              </w:rPr>
            </w:pPr>
          </w:p>
        </w:tc>
        <w:tc>
          <w:tcPr>
            <w:tcW w:w="358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gridSpan w:val="2"/>
          </w:tcPr>
          <w:p>
            <w:pPr>
              <w:ind w:left="2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ORLANDO</w:t>
            </w: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0000FF"/>
              </w:rPr>
              <w:t>FL</w:t>
            </w:r>
          </w:p>
        </w:tc>
        <w:tc>
          <w:tcPr>
            <w:tcW w:w="900" w:type="dxa"/>
            <w:vAlign w:val="bottom"/>
          </w:tcPr>
          <w:p>
            <w:pPr>
              <w:spacing w:after="0"/>
              <w:rPr>
                <w:sz w:val="18"/>
                <w:szCs w:val="18"/>
                <w:color w:val="auto"/>
              </w:rPr>
            </w:pPr>
          </w:p>
        </w:tc>
        <w:tc>
          <w:tcPr>
            <w:tcW w:w="128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32827</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520" w:type="dxa"/>
            <w:vAlign w:val="bottom"/>
            <w:tcBorders>
              <w:top w:val="single" w:sz="8" w:color="EEEEEE"/>
            </w:tcBorders>
          </w:tcPr>
          <w:p>
            <w:pPr>
              <w:spacing w:after="0"/>
              <w:rPr>
                <w:sz w:val="15"/>
                <w:szCs w:val="15"/>
                <w:color w:val="auto"/>
              </w:rPr>
            </w:pPr>
          </w:p>
        </w:tc>
        <w:tc>
          <w:tcPr>
            <w:tcW w:w="114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(State)</w:t>
            </w:r>
          </w:p>
        </w:tc>
        <w:tc>
          <w:tcPr>
            <w:tcW w:w="1280" w:type="dxa"/>
            <w:vAlign w:val="bottom"/>
            <w:tcBorders>
              <w:top w:val="single" w:sz="8" w:color="EEEEEE"/>
            </w:tcBorders>
            <w:vMerge w:val="restart"/>
          </w:tcPr>
          <w:p>
            <w:pPr>
              <w:ind w:left="8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640" w:type="dxa"/>
            <w:vAlign w:val="bottom"/>
            <w:tcBorders>
              <w:bottom w:val="single" w:sz="8" w:color="2C2C2C"/>
            </w:tcBorders>
            <w:gridSpan w:val="5"/>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180" w:type="dxa"/>
            <w:vAlign w:val="bottom"/>
            <w:tcBorders>
              <w:top w:val="single" w:sz="8" w:color="2C2C2C"/>
            </w:tcBorders>
            <w:gridSpan w:val="15"/>
          </w:tcPr>
          <w:p>
            <w:pPr>
              <w:ind w:left="78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4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w w:val="98"/>
              </w:rPr>
              <w:t>2A. Deemed</w:t>
            </w:r>
          </w:p>
        </w:tc>
        <w:tc>
          <w:tcPr>
            <w:tcW w:w="300" w:type="dxa"/>
            <w:vAlign w:val="bottom"/>
          </w:tcPr>
          <w:p>
            <w:pPr>
              <w:spacing w:after="0"/>
              <w:rPr>
                <w:sz w:val="14"/>
                <w:szCs w:val="14"/>
                <w:color w:val="auto"/>
              </w:rPr>
            </w:pP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880" w:type="dxa"/>
            <w:vAlign w:val="bottom"/>
            <w:gridSpan w:val="5"/>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80" w:type="dxa"/>
            <w:vAlign w:val="bottom"/>
          </w:tcPr>
          <w:p>
            <w:pPr>
              <w:ind w:left="84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spacing w:after="0"/>
              <w:rPr>
                <w:sz w:val="11"/>
                <w:szCs w:val="11"/>
                <w:color w:val="auto"/>
              </w:rPr>
            </w:pPr>
          </w:p>
        </w:tc>
        <w:tc>
          <w:tcPr>
            <w:tcW w:w="1020" w:type="dxa"/>
            <w:vAlign w:val="bottom"/>
            <w:gridSpan w:val="3"/>
          </w:tcPr>
          <w:p>
            <w:pPr>
              <w:ind w:left="8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880" w:type="dxa"/>
            <w:vAlign w:val="bottom"/>
            <w:gridSpan w:val="5"/>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40" w:type="dxa"/>
            <w:vAlign w:val="bottom"/>
            <w:gridSpan w:val="2"/>
          </w:tcPr>
          <w:p>
            <w:pPr>
              <w:ind w:left="84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gridSpan w:val="3"/>
          </w:tcPr>
          <w:p>
            <w:pPr>
              <w:ind w:left="80"/>
              <w:spacing w:after="0"/>
              <w:rPr>
                <w:sz w:val="20"/>
                <w:szCs w:val="20"/>
                <w:color w:val="auto"/>
              </w:rPr>
            </w:pPr>
            <w:r>
              <w:rPr>
                <w:rFonts w:ascii="Arial" w:cs="Arial" w:eastAsia="Arial" w:hAnsi="Arial"/>
                <w:sz w:val="11"/>
                <w:szCs w:val="11"/>
                <w:b w:val="1"/>
                <w:bCs w:val="1"/>
                <w:color w:val="auto"/>
              </w:rPr>
              <w:t>(Month/Day/Year)</w:t>
            </w: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0"/>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2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940"/>
              <w:spacing w:after="0"/>
              <w:rPr>
                <w:sz w:val="20"/>
                <w:szCs w:val="20"/>
                <w:color w:val="auto"/>
              </w:rPr>
            </w:pPr>
            <w:r>
              <w:rPr>
                <w:rFonts w:ascii="Times New Roman" w:cs="Times New Roman" w:eastAsia="Times New Roman" w:hAnsi="Times New Roman"/>
                <w:sz w:val="16"/>
                <w:szCs w:val="16"/>
                <w:color w:val="0000FF"/>
              </w:rPr>
              <w:t>04/02/2026</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6"/>
                <w:szCs w:val="16"/>
                <w:color w:val="0000FF"/>
                <w:w w:val="99"/>
              </w:rPr>
              <w:t>121,228</w:t>
            </w:r>
            <w:r>
              <w:rPr>
                <w:rFonts w:ascii="Times New Roman" w:cs="Times New Roman" w:eastAsia="Times New Roman" w:hAnsi="Times New Roman"/>
                <w:sz w:val="21"/>
                <w:szCs w:val="21"/>
                <w:color w:val="008000"/>
                <w:w w:val="99"/>
                <w:vertAlign w:val="superscript"/>
              </w:rPr>
              <w:t>(1)</w:t>
            </w:r>
          </w:p>
        </w:tc>
        <w:tc>
          <w:tcPr>
            <w:tcW w:w="5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6"/>
                <w:szCs w:val="16"/>
                <w:color w:val="0000FF"/>
              </w:rPr>
              <w:t>3,395,258</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900" w:type="dxa"/>
            <w:vAlign w:val="bottom"/>
            <w:tcBorders>
              <w:top w:val="single" w:sz="8" w:color="2C2C2C"/>
            </w:tcBorders>
          </w:tcPr>
          <w:p>
            <w:pPr>
              <w:spacing w:after="0"/>
              <w:rPr>
                <w:sz w:val="18"/>
                <w:szCs w:val="18"/>
                <w:color w:val="auto"/>
              </w:rPr>
            </w:pPr>
          </w:p>
        </w:tc>
        <w:tc>
          <w:tcPr>
            <w:tcW w:w="6280" w:type="dxa"/>
            <w:vAlign w:val="bottom"/>
            <w:tcBorders>
              <w:top w:val="single" w:sz="8" w:color="2C2C2C"/>
            </w:tcBorders>
            <w:gridSpan w:val="14"/>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580" w:type="dxa"/>
            <w:vAlign w:val="bottom"/>
            <w:gridSpan w:val="12"/>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240" w:type="dxa"/>
            <w:vAlign w:val="bottom"/>
          </w:tcPr>
          <w:p>
            <w:pPr>
              <w:spacing w:after="0"/>
              <w:rPr>
                <w:sz w:val="14"/>
                <w:szCs w:val="14"/>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280" w:type="dxa"/>
            <w:vAlign w:val="bottom"/>
          </w:tcPr>
          <w:p>
            <w:pPr>
              <w:ind w:left="220"/>
              <w:spacing w:after="0"/>
              <w:rPr>
                <w:sz w:val="20"/>
                <w:szCs w:val="20"/>
                <w:color w:val="auto"/>
              </w:rPr>
            </w:pPr>
            <w:r>
              <w:rPr>
                <w:rFonts w:ascii="Arial" w:cs="Arial" w:eastAsia="Arial" w:hAnsi="Arial"/>
                <w:sz w:val="11"/>
                <w:szCs w:val="11"/>
                <w:b w:val="1"/>
                <w:bCs w:val="1"/>
                <w:color w:val="auto"/>
              </w:rPr>
              <w:t>3A. Deemed</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48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280" w:type="dxa"/>
            <w:vAlign w:val="bottom"/>
          </w:tcPr>
          <w:p>
            <w:pPr>
              <w:ind w:left="22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w:t>
            </w: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300" w:type="dxa"/>
            <w:vAlign w:val="bottom"/>
          </w:tcPr>
          <w:p>
            <w:pPr>
              <w:spacing w:after="0"/>
              <w:rPr>
                <w:sz w:val="11"/>
                <w:szCs w:val="11"/>
                <w:color w:val="auto"/>
              </w:rPr>
            </w:pP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Expiration Date</w:t>
            </w:r>
          </w:p>
        </w:tc>
        <w:tc>
          <w:tcPr>
            <w:tcW w:w="640" w:type="dxa"/>
            <w:vAlign w:val="bottom"/>
          </w:tcPr>
          <w:p>
            <w:pPr>
              <w:spacing w:after="0"/>
              <w:rPr>
                <w:sz w:val="11"/>
                <w:szCs w:val="11"/>
                <w:color w:val="auto"/>
              </w:rPr>
            </w:pPr>
          </w:p>
        </w:tc>
        <w:tc>
          <w:tcPr>
            <w:tcW w:w="1240" w:type="dxa"/>
            <w:vAlign w:val="bottom"/>
            <w:gridSpan w:val="4"/>
          </w:tcPr>
          <w:p>
            <w:pPr>
              <w:ind w:left="8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21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  if any</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(Instr.</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40" w:type="dxa"/>
            <w:vAlign w:val="bottom"/>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80" w:type="dxa"/>
            <w:vAlign w:val="bottom"/>
          </w:tcPr>
          <w:p>
            <w:pPr>
              <w:ind w:left="220"/>
              <w:spacing w:after="0"/>
              <w:rPr>
                <w:sz w:val="20"/>
                <w:szCs w:val="20"/>
                <w:color w:val="auto"/>
              </w:rPr>
            </w:pPr>
            <w:r>
              <w:rPr>
                <w:rFonts w:ascii="Arial" w:cs="Arial" w:eastAsia="Arial" w:hAnsi="Arial"/>
                <w:sz w:val="11"/>
                <w:szCs w:val="11"/>
                <w:b w:val="1"/>
                <w:bCs w:val="1"/>
                <w:color w:val="auto"/>
              </w:rPr>
              <w:t>(Month/Day/Year)</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40" w:type="dxa"/>
            <w:vAlign w:val="bottom"/>
            <w:gridSpan w:val="4"/>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40" w:type="dxa"/>
            <w:vAlign w:val="bottom"/>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9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40" w:type="dxa"/>
            <w:vAlign w:val="bottom"/>
            <w:gridSpan w:val="4"/>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40" w:type="dxa"/>
            <w:vAlign w:val="bottom"/>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Nonqualified</w:t>
            </w: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6</w:t>
            </w:r>
          </w:p>
        </w:tc>
        <w:tc>
          <w:tcPr>
            <w:tcW w:w="240" w:type="dxa"/>
            <w:vAlign w:val="bottom"/>
          </w:tcPr>
          <w:p>
            <w:pPr>
              <w:spacing w:after="0"/>
              <w:rPr>
                <w:sz w:val="17"/>
                <w:szCs w:val="17"/>
                <w:color w:val="auto"/>
              </w:rPr>
            </w:pPr>
          </w:p>
        </w:tc>
        <w:tc>
          <w:tcPr>
            <w:tcW w:w="90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04/02/2026</w:t>
            </w:r>
          </w:p>
        </w:tc>
        <w:tc>
          <w:tcPr>
            <w:tcW w:w="1280" w:type="dxa"/>
            <w:vAlign w:val="bottom"/>
          </w:tcPr>
          <w:p>
            <w:pPr>
              <w:spacing w:after="0"/>
              <w:rPr>
                <w:sz w:val="17"/>
                <w:szCs w:val="17"/>
                <w:color w:val="auto"/>
              </w:rPr>
            </w:pPr>
          </w:p>
        </w:tc>
        <w:tc>
          <w:tcPr>
            <w:tcW w:w="5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7"/>
                <w:szCs w:val="17"/>
                <w:color w:val="auto"/>
              </w:rPr>
            </w:pPr>
          </w:p>
        </w:tc>
        <w:tc>
          <w:tcPr>
            <w:tcW w:w="5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85,795</w:t>
            </w:r>
          </w:p>
        </w:tc>
        <w:tc>
          <w:tcPr>
            <w:tcW w:w="300" w:type="dxa"/>
            <w:vAlign w:val="bottom"/>
          </w:tcPr>
          <w:p>
            <w:pPr>
              <w:spacing w:after="0"/>
              <w:rPr>
                <w:sz w:val="17"/>
                <w:szCs w:val="17"/>
                <w:color w:val="auto"/>
              </w:rPr>
            </w:pPr>
          </w:p>
        </w:tc>
        <w:tc>
          <w:tcPr>
            <w:tcW w:w="840" w:type="dxa"/>
            <w:vAlign w:val="bottom"/>
            <w:gridSpan w:val="2"/>
          </w:tcPr>
          <w:p>
            <w:pPr>
              <w:spacing w:after="0" w:line="203" w:lineRule="exact"/>
              <w:rPr>
                <w:sz w:val="20"/>
                <w:szCs w:val="20"/>
                <w:color w:val="auto"/>
              </w:rPr>
            </w:pPr>
            <w:r>
              <w:rPr>
                <w:rFonts w:ascii="Times New Roman" w:cs="Times New Roman" w:eastAsia="Times New Roman" w:hAnsi="Times New Roman"/>
                <w:sz w:val="13"/>
                <w:szCs w:val="13"/>
                <w:color w:val="0000FF"/>
              </w:rPr>
              <w:t>04/02/2027</w:t>
            </w:r>
            <w:r>
              <w:rPr>
                <w:rFonts w:ascii="Times New Roman" w:cs="Times New Roman" w:eastAsia="Times New Roman" w:hAnsi="Times New Roman"/>
                <w:sz w:val="21"/>
                <w:szCs w:val="21"/>
                <w:color w:val="008000"/>
                <w:vertAlign w:val="superscript"/>
              </w:rPr>
              <w:t>(2)</w:t>
            </w: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0000FF"/>
              </w:rPr>
              <w:t>04/02/2036</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6"/>
                <w:szCs w:val="16"/>
                <w:color w:val="0000FF"/>
              </w:rPr>
              <w:t>85,795</w:t>
            </w:r>
          </w:p>
        </w:tc>
        <w:tc>
          <w:tcPr>
            <w:tcW w:w="40" w:type="dxa"/>
            <w:vAlign w:val="bottom"/>
          </w:tcPr>
          <w:p>
            <w:pPr>
              <w:spacing w:after="0"/>
              <w:rPr>
                <w:sz w:val="17"/>
                <w:szCs w:val="17"/>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85,795</w:t>
            </w:r>
          </w:p>
        </w:tc>
        <w:tc>
          <w:tcPr>
            <w:tcW w:w="6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0" w:type="dxa"/>
            <w:vAlign w:val="bottom"/>
            <w:gridSpan w:val="2"/>
          </w:tcPr>
          <w:p>
            <w:pPr>
              <w:ind w:left="60"/>
              <w:spacing w:after="0" w:line="90" w:lineRule="exact"/>
              <w:rPr>
                <w:sz w:val="20"/>
                <w:szCs w:val="20"/>
                <w:color w:val="auto"/>
              </w:rPr>
            </w:pPr>
            <w:r>
              <w:rPr>
                <w:rFonts w:ascii="Times New Roman" w:cs="Times New Roman" w:eastAsia="Times New Roman" w:hAnsi="Times New Roman"/>
                <w:sz w:val="10"/>
                <w:szCs w:val="10"/>
                <w:color w:val="0000FF"/>
              </w:rPr>
              <w:t>Option (right</w:t>
            </w: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ind w:left="20"/>
              <w:spacing w:after="0" w:line="90"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to 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00"/>
        <w:spacing w:after="0" w:line="249"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were granted to the Reporting Person under the Innventure, Inc. 2024 Equity and Incentive Compensation Plan (the "Plan"), and vest in three equal installments on April 2, 2027, April 2, 2028, and April 2, 2029, subject to the Reporting Person's continuous service to Innventure, Inc. (the Issuer") until the applicable vesting date.</w:t>
      </w:r>
    </w:p>
    <w:p>
      <w:pPr>
        <w:spacing w:after="0" w:line="19" w:lineRule="exact"/>
        <w:rPr>
          <w:rFonts w:ascii="Times New Roman" w:cs="Times New Roman" w:eastAsia="Times New Roman" w:hAnsi="Times New Roman"/>
          <w:sz w:val="13"/>
          <w:szCs w:val="13"/>
          <w:color w:val="008000"/>
        </w:rPr>
      </w:pPr>
    </w:p>
    <w:p>
      <w:pPr>
        <w:ind w:left="40" w:right="200"/>
        <w:spacing w:after="0" w:line="258" w:lineRule="auto"/>
        <w:tabs>
          <w:tab w:leader="none" w:pos="16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nonqualified stock options ("Stock Options"), exercisable solely in the Issuer's common stock, par value $0.0001 per share ("Common Stock") were granted by the Issuer to the Reporting Person on April 2, 2026 pursuant to the Plan. One-third of the shares of Common Stock underlying the Stock Options vest and become exercisable on April 2, 2027 and the remaining two-thirds of the shares of Common Stock underlying the Stock Options vest and become exercisable in eight substantially equal installments on each three-month anniversary thereafter, subject to the Reporting Person's continuous service to the Issuer until the applicable vesting date. The Stock Options were granted as a premium-price stock options. The $6.00 exercise price exceeds the $4.64 closing price of the Issuer's Common Stock on the grant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7"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Suzanne Niemeyer,</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04/06/2026</w:t>
            </w:r>
          </w:p>
        </w:tc>
        <w:tc>
          <w:tcPr>
            <w:tcW w:w="0" w:type="dxa"/>
            <w:vAlign w:val="bottom"/>
          </w:tcPr>
          <w:p>
            <w:pPr>
              <w:spacing w:after="0"/>
              <w:rPr>
                <w:sz w:val="1"/>
                <w:szCs w:val="1"/>
                <w:color w:val="auto"/>
              </w:rPr>
            </w:pPr>
          </w:p>
        </w:tc>
      </w:tr>
      <w:tr>
        <w:trPr>
          <w:trHeight w:val="87"/>
        </w:trPr>
        <w:tc>
          <w:tcPr>
            <w:tcW w:w="112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0000FF"/>
              </w:rPr>
              <w:t>Attorney-In-Fact</w:t>
            </w:r>
          </w:p>
        </w:tc>
        <w:tc>
          <w:tcPr>
            <w:tcW w:w="360" w:type="dxa"/>
            <w:vAlign w:val="bottom"/>
            <w:tcBorders>
              <w:top w:val="single" w:sz="8" w:color="auto"/>
              <w:bottom w:val="single" w:sz="8" w:color="auto"/>
            </w:tcBorders>
            <w:vMerge w:val="restart"/>
          </w:tcPr>
          <w:p>
            <w:pPr>
              <w:spacing w:after="0"/>
              <w:rPr>
                <w:sz w:val="7"/>
                <w:szCs w:val="7"/>
                <w:color w:val="auto"/>
              </w:rPr>
            </w:pPr>
          </w:p>
        </w:tc>
        <w:tc>
          <w:tcPr>
            <w:tcW w:w="72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120" w:type="dxa"/>
            <w:vAlign w:val="bottom"/>
            <w:tcBorders>
              <w:bottom w:val="single" w:sz="8" w:color="auto"/>
            </w:tcBorders>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2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47082" TargetMode="External"/><Relationship Id="rId14" Type="http://schemas.openxmlformats.org/officeDocument/2006/relationships/hyperlink" Target="http://www.sec.gov/cgi-bin/browse-edgar?action=getcompany&amp;CIK=00020015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2026-04-06T18:09:41Z</dcterms:created>
  <dcterms:modified xsi:type="dcterms:W3CDTF">2026-04-06T18:09:41Z</dcterms:modified>
</cp:coreProperties>
</file>