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November 14,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13, 2024, the closing price of our Common Stock was $10.64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20" w:space="720"/>
            <w:col w:w="2800" w:space="720"/>
            <w:col w:w="3080"/>
          </w:cols>
          <w:pgMar w:left="320" w:top="570" w:right="339" w:bottom="1440" w:gutter="0" w:footer="0" w:header="0"/>
          <w:type w:val="continuous"/>
        </w:sectPr>
      </w:pPr>
    </w:p>
    <w:p>
      <w:pPr>
        <w:spacing w:after="0" w:line="14"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6900 Tavistock Lakes Blvd, Suite 400</w:t>
      </w:r>
    </w:p>
    <w:p>
      <w:pPr>
        <w:spacing w:after="0" w:line="43"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0"/>
          <w:szCs w:val="20"/>
          <w:color w:val="auto"/>
        </w:rPr>
      </w:pPr>
    </w:p>
    <w:p>
      <w:pPr>
        <w:sectPr>
          <w:pgSz w:w="11900" w:h="16838" w:orient="portrait"/>
          <w:cols w:equalWidth="0" w:num="2">
            <w:col w:w="7380" w:space="720"/>
            <w:col w:w="3140"/>
          </w:cols>
          <w:pgMar w:left="320" w:top="570"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2" w:name="page3"/>
    <w:bookmarkEnd w:id="2"/>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On November 14, 2024, Innventure, Inc. (the “Company”) issued a press release, attached hereto as Exhibit 99.1 and incorporated herein by reference, announcing the Company’s financial results for the third quarter ended September 30, 2024, and certain other information.</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7.01 concerning the presentation to the Company’s investors is hereby incorporated into this Item 2.02 by reference.</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slide presentation attached hereto as Exhibit 99.2, and incorporated herein by reference, will be presented to certain investors of the Company on November 14, 2024 and may be used by the Company in various other presentations to investors.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660" w:type="dxa"/>
            <w:vAlign w:val="bottom"/>
          </w:tcPr>
          <w:p>
            <w:pPr>
              <w:spacing w:after="0"/>
              <w:rPr>
                <w:sz w:val="24"/>
                <w:szCs w:val="24"/>
                <w:color w:val="auto"/>
              </w:rPr>
            </w:pPr>
          </w:p>
        </w:tc>
      </w:tr>
      <w:tr>
        <w:trPr>
          <w:trHeight w:val="414"/>
        </w:trPr>
        <w:tc>
          <w:tcPr>
            <w:tcW w:w="15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000" w:type="dxa"/>
            <w:vAlign w:val="bottom"/>
            <w:gridSpan w:val="2"/>
          </w:tcPr>
          <w:p>
            <w:pPr>
              <w:jc w:val="center"/>
              <w:ind w:left="610"/>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16"/>
                <w:szCs w:val="16"/>
                <w:color w:val="auto"/>
              </w:rPr>
            </w:pPr>
          </w:p>
        </w:tc>
        <w:tc>
          <w:tcPr>
            <w:tcW w:w="96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Press Release by Innventure, Inc. dated November 14, 2024</w:t>
            </w:r>
          </w:p>
        </w:tc>
      </w:tr>
      <w:tr>
        <w:trPr>
          <w:trHeight w:val="20"/>
        </w:trPr>
        <w:tc>
          <w:tcPr>
            <w:tcW w:w="7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r>
      <w:tr>
        <w:trPr>
          <w:trHeight w:val="196"/>
        </w:trPr>
        <w:tc>
          <w:tcPr>
            <w:tcW w:w="1000" w:type="dxa"/>
            <w:vAlign w:val="bottom"/>
            <w:gridSpan w:val="2"/>
          </w:tcPr>
          <w:p>
            <w:pPr>
              <w:jc w:val="center"/>
              <w:ind w:left="610"/>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580" w:type="dxa"/>
            <w:vAlign w:val="bottom"/>
          </w:tcPr>
          <w:p>
            <w:pPr>
              <w:spacing w:after="0"/>
              <w:rPr>
                <w:sz w:val="17"/>
                <w:szCs w:val="17"/>
                <w:color w:val="auto"/>
              </w:rPr>
            </w:pPr>
          </w:p>
        </w:tc>
        <w:tc>
          <w:tcPr>
            <w:tcW w:w="96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Innventure, Inc. presentation to investors</w:t>
            </w:r>
          </w:p>
        </w:tc>
      </w:tr>
      <w:tr>
        <w:trPr>
          <w:trHeight w:val="237"/>
        </w:trPr>
        <w:tc>
          <w:tcPr>
            <w:tcW w:w="700" w:type="dxa"/>
            <w:vAlign w:val="bottom"/>
          </w:tcPr>
          <w:p>
            <w:pPr>
              <w:spacing w:after="0"/>
              <w:rPr>
                <w:sz w:val="20"/>
                <w:szCs w:val="20"/>
                <w:color w:val="auto"/>
              </w:rPr>
            </w:pPr>
          </w:p>
        </w:tc>
        <w:tc>
          <w:tcPr>
            <w:tcW w:w="30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80" w:type="dxa"/>
            <w:vAlign w:val="bottom"/>
          </w:tcPr>
          <w:p>
            <w:pPr>
              <w:spacing w:after="0"/>
              <w:rPr>
                <w:sz w:val="20"/>
                <w:szCs w:val="20"/>
                <w:color w:val="auto"/>
              </w:rPr>
            </w:pPr>
          </w:p>
        </w:tc>
        <w:tc>
          <w:tcPr>
            <w:tcW w:w="9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3"/>
        </w:trPr>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2024</w:t>
      </w:r>
      <w:r>
        <w:rPr>
          <w:sz w:val="20"/>
          <w:szCs w:val="20"/>
          <w:color w:val="auto"/>
        </w:rPr>
        <w:tab/>
      </w: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Reports Third Quarter 2024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Accelsius delivered first revenue generating system during third quarter</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ORLANDO, Fla. (November 14, 2024) – Innventure, Inc. (NASDAQ: INV) (“Innventure”), a technology commercialization platform, today announced financial results for the quarter ended September 30, 2024.</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incredibly excited about Innventure’s accomplishments during the third quarter, which subsequently culminated in early October with the close of our business combination and first day of trading on the Nasdaq,” said Bill Haskell, Innventure’s Chief Executive Officer. “Our operating companies continue to outperform our expectations, with both AeroFlexx and Accelsius now delivering commercial product to the marketplace.”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Mr. Haskell continued, “We look forward to sharing more as we scale these companies and launch new companies in the future. I’d like to thank the entire Innventure team for their tireless work making our vision an ever expanding reality. Now as a public company, we can accelerate execution against our mission to bring breakthrough technologies to market and deliver long-term value for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A conference call to discuss these results has been scheduled for 8:30 a.m. ET on Thursday, November 14, 2024. Interested parties can join the call via teleconference by registering at this link: </w:t>
      </w:r>
      <w:r>
        <w:rPr>
          <w:rFonts w:ascii="Times New Roman" w:cs="Times New Roman" w:eastAsia="Times New Roman" w:hAnsi="Times New Roman"/>
          <w:sz w:val="18"/>
          <w:szCs w:val="18"/>
          <w:u w:val="single" w:color="auto"/>
          <w:color w:val="auto"/>
        </w:rPr>
        <w:t>https://register.vevent.com/register/BIc433d3bf08f34d37b56270335fc659fe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After registering, you will be provided dial in details and a unique dial-in PIN. Registration is open through the live call, but to ensure you are connected for the full call, we suggest registering in advance. Webcast information and conference call materials will be made available on Innventure’s Investor Relations website here: </w:t>
      </w:r>
      <w:r>
        <w:rPr>
          <w:rFonts w:ascii="Times New Roman" w:cs="Times New Roman" w:eastAsia="Times New Roman" w:hAnsi="Times New Roman"/>
          <w:sz w:val="18"/>
          <w:szCs w:val="18"/>
          <w:u w:val="single" w:color="auto"/>
          <w:color w:val="auto"/>
        </w:rPr>
        <w:t>https://ir.innventure.com/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multinational corporations. As owner-operators,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the Company’s business model and its and its operating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discussed and identified in other public filings made with the Securities and Exchange Commission by the Company and the following: (a) 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 (b) the implementation, market acceptance and success of the Company’s and the Innventure Companies’ business models and growth strategies; (c) the Company’s future capital requirements and sources and uses of cash; (d) the Company’s ability to meet the various conditions, including the available cash and performance targets, and access any of the installments draws under the WTI Line of Credit; (e) 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 (f) that the Company will have sufficient capital following the completion of the Business Combination to operate as anticipated; (g) the Company’s ability to obtain funding for its operations and future growth; (h) developments and projections relating to the Company’s and the Innventure Companies’ competitors and industry; (i) the Innventure Companies’ ability to meet, and to continue to meet, applicable regulatory requirements for the use of their products and the numerous regulatory requirements generally applicable to their products and facilities; (j) the outcome of any legal proceedings that may be instituted against the Company in connection with the completion of the Business Combination; (k) the Company’s ability to find future opportunities to license or acquire breakthrough technology solutions from multinational corporations (“MNCs”) and to satisfy the requirements imposed by or to avoid disagreements with its current and future MNC partners; (l) the risk that the Company may be deemed an investment company under the Investment Company Act, which would impose burdensome compliance requirements and restrictions on its activities; (m) the Company’s ability to sufficiently protect the intellectual property rights of itself and its subsidiaries, and to avoid or resolve in a timely and cost-effective manner any disputes that may arise relating to its use of the intellectual property of third parties; (n) the risk of a cyber-attack or a failure of the Company’s information technology and data security infrastructure; (o) the ability to recognize the anticipated benefits of the Business Combination; (p) unexpected costs related to the Business Combination; (q) geopolitical risk and changes in applicable laws or regulations; (r) potential adverse effects of other economic, business, and/or competitive factors; and (s) operational risks related to the Company and its subsidiaries.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Laurie Steinberg, Solebury Strategic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press@innventure.com</w:t>
      </w:r>
    </w:p>
    <w:p>
      <w:pPr>
        <w:spacing w:after="0" w:line="203" w:lineRule="exact"/>
        <w:rPr>
          <w:sz w:val="20"/>
          <w:szCs w:val="20"/>
          <w:color w:val="auto"/>
        </w:rPr>
      </w:pPr>
    </w:p>
    <w:p>
      <w:pPr>
        <w:ind w:right="5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Sloan Bohlen, Solebury Strategic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21,215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55,731</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future preferred stock issuance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41,601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55,459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29,420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Preferred Units, no par value, 6,722,562 and 4,639,557 units authorized, 5,609,951 and 4,109,961 units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B-1 Preferred Units, no par value, 2,600,000 units authorized, 342,608 units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Units, no par value, 10,975,000 units authorized, 10,875,000 units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 Units, no par value, 1,585,125 units authorized, 1,570,125 units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(90,952)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Unitholders’ Deficit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Unitholders' Deficit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55,731</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2,822</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13,991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36,256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14,601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(5,716)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(35,492)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 income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6,033</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(7,641)</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(5,430)</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Innventure LLC Unitholders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(18,871)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(10,233)</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loss per unit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Class A Units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10,875,000</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10,875,000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10,875,000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10,875,000</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AFS debt securities - related party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(28,854)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(17,951)</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(5,430)</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Comprehensive Loss Attributable to Innventure LLC Unitholders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(4,584)</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(18,871)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Class PCTA</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7,454</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20,370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23,908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(10,149)</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10,690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13,759</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11,853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15,045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11,281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7,173</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18,103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22,580</w:t>
            </w:r>
          </w:p>
        </w:tc>
      </w:tr>
      <w:tr>
        <w:trPr>
          <w:trHeight w:val="27"/>
        </w:trPr>
        <w:tc>
          <w:tcPr>
            <w:tcW w:w="7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Non-</w:t>
            </w:r>
          </w:p>
        </w:tc>
        <w:tc>
          <w:tcPr>
            <w:tcW w:w="2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B-1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Unitholders'</w:t>
            </w:r>
          </w:p>
        </w:tc>
      </w:tr>
      <w:tr>
        <w:trPr>
          <w:trHeight w:val="245"/>
        </w:trPr>
        <w:tc>
          <w:tcPr>
            <w:tcW w:w="2140" w:type="dxa"/>
            <w:vAlign w:val="bottom"/>
          </w:tcPr>
          <w:p>
            <w:pPr>
              <w:spacing w:after="0"/>
              <w:rPr>
                <w:sz w:val="21"/>
                <w:szCs w:val="21"/>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Class C</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1"/>
                <w:szCs w:val="21"/>
                <w:color w:val="auto"/>
              </w:rPr>
            </w:pPr>
          </w:p>
        </w:tc>
        <w:tc>
          <w:tcPr>
            <w:tcW w:w="11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38,122</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844</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1,559</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100" w:type="dxa"/>
            <w:vAlign w:val="bottom"/>
            <w:shd w:val="clear" w:color="auto" w:fill="CCEEFF"/>
          </w:tcPr>
          <w:p>
            <w:pPr>
              <w:spacing w:after="0"/>
              <w:rPr>
                <w:sz w:val="18"/>
                <w:szCs w:val="18"/>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(7,526)</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3,503</w:t>
            </w: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net of issuance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7,566</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7,566</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units to NCI</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exchange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promissory</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8,443</w:t>
            </w: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8,443</w:t>
            </w:r>
          </w:p>
        </w:tc>
      </w:tr>
      <w:tr>
        <w:trPr>
          <w:trHeight w:val="198"/>
        </w:trPr>
        <w:tc>
          <w:tcPr>
            <w:tcW w:w="2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to redemption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(4,415)</w:t>
            </w:r>
          </w:p>
        </w:tc>
      </w:tr>
      <w:tr>
        <w:trPr>
          <w:trHeight w:val="27"/>
        </w:trPr>
        <w:tc>
          <w:tcPr>
            <w:tcW w:w="2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45,688</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(73,918)</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11,543</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(10,519)</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(11,314)</w:t>
            </w: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7,348</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7,348</w:t>
            </w:r>
          </w:p>
        </w:tc>
      </w:tr>
      <w:tr>
        <w:trPr>
          <w:trHeight w:val="198"/>
        </w:trPr>
        <w:tc>
          <w:tcPr>
            <w:tcW w:w="2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net of issuance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2,852</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w:t>
            </w: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198"/>
        </w:trPr>
        <w:tc>
          <w:tcPr>
            <w:tcW w:w="2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to redemption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2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48,540</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(81,568)</w:t>
            </w:r>
          </w:p>
        </w:tc>
        <w:tc>
          <w:tcPr>
            <w:tcW w:w="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15,113</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(11,702)</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(7,641)</w:t>
            </w: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net of taxes</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(2,373)</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3,071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net of issuance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3,143</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to redemption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(7,173)</w:t>
            </w:r>
          </w:p>
        </w:tc>
      </w:tr>
      <w:tr>
        <w:trPr>
          <w:trHeight w:val="223"/>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51,683</w:t>
            </w:r>
          </w:p>
        </w:tc>
        <w:tc>
          <w:tcPr>
            <w:tcW w:w="3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981</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(90,952)</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(2,373)</w:t>
            </w:r>
          </w:p>
        </w:tc>
        <w:tc>
          <w:tcPr>
            <w:tcW w:w="2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13,080</w:t>
            </w:r>
          </w:p>
        </w:tc>
        <w:tc>
          <w:tcPr>
            <w:tcW w:w="2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99"/>
        </w:trPr>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Non-</w:t>
            </w:r>
          </w:p>
        </w:tc>
        <w:tc>
          <w:tcPr>
            <w:tcW w:w="2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B-1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Unitholders'</w:t>
            </w:r>
          </w:p>
        </w:tc>
      </w:tr>
      <w:tr>
        <w:trPr>
          <w:trHeight w:val="245"/>
        </w:trPr>
        <w:tc>
          <w:tcPr>
            <w:tcW w:w="2140" w:type="dxa"/>
            <w:vAlign w:val="bottom"/>
          </w:tcPr>
          <w:p>
            <w:pPr>
              <w:spacing w:after="0"/>
              <w:rPr>
                <w:sz w:val="21"/>
                <w:szCs w:val="21"/>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2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Class C</w:t>
            </w:r>
          </w:p>
        </w:tc>
        <w:tc>
          <w:tcPr>
            <w:tcW w:w="2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1"/>
                <w:szCs w:val="21"/>
                <w:color w:val="auto"/>
              </w:rPr>
            </w:pPr>
          </w:p>
        </w:tc>
        <w:tc>
          <w:tcPr>
            <w:tcW w:w="10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20,803</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639</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656</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100" w:type="dxa"/>
            <w:vAlign w:val="bottom"/>
            <w:shd w:val="clear" w:color="auto" w:fill="CCEEFF"/>
          </w:tcPr>
          <w:p>
            <w:pPr>
              <w:spacing w:after="0"/>
              <w:rPr>
                <w:sz w:val="18"/>
                <w:szCs w:val="18"/>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(3,596)</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net of issuance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0"/>
                <w:szCs w:val="20"/>
                <w:color w:val="auto"/>
              </w:rPr>
            </w:pP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to redemption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00" w:type="dxa"/>
            <w:vAlign w:val="bottom"/>
          </w:tcPr>
          <w:p>
            <w:pPr>
              <w:spacing w:after="0"/>
              <w:rPr>
                <w:sz w:val="20"/>
                <w:szCs w:val="20"/>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21,515</w:t>
            </w: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689</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(42,595)</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840</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(14,278)</w:t>
            </w:r>
          </w:p>
        </w:tc>
        <w:tc>
          <w:tcPr>
            <w:tcW w:w="100" w:type="dxa"/>
            <w:vAlign w:val="bottom"/>
            <w:shd w:val="clear" w:color="auto" w:fill="CCEEFF"/>
          </w:tcPr>
          <w:p>
            <w:pPr>
              <w:spacing w:after="0"/>
              <w:rPr>
                <w:sz w:val="18"/>
                <w:szCs w:val="18"/>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4,594</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8"/>
                <w:szCs w:val="18"/>
                <w:color w:val="auto"/>
              </w:rPr>
            </w:pPr>
          </w:p>
        </w:tc>
      </w:tr>
      <w:tr>
        <w:trPr>
          <w:trHeight w:val="198"/>
        </w:trPr>
        <w:tc>
          <w:tcPr>
            <w:tcW w:w="2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net of issuance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2,599</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20"/>
                <w:szCs w:val="20"/>
                <w:color w:val="auto"/>
              </w:rPr>
            </w:pP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198"/>
        </w:trPr>
        <w:tc>
          <w:tcPr>
            <w:tcW w:w="2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to redemption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(7,454)</w:t>
            </w:r>
          </w:p>
        </w:tc>
      </w:tr>
      <w:tr>
        <w:trPr>
          <w:trHeight w:val="27"/>
        </w:trPr>
        <w:tc>
          <w:tcPr>
            <w:tcW w:w="2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24,114</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(45,455)</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940</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(14,387)</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(18,916)</w:t>
            </w:r>
          </w:p>
        </w:tc>
      </w:tr>
      <w:tr>
        <w:trPr>
          <w:trHeight w:val="216"/>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issued to NCI</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198"/>
        </w:trPr>
        <w:tc>
          <w:tcPr>
            <w:tcW w:w="21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preferred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net of issuance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5,038</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20"/>
                <w:szCs w:val="20"/>
                <w:color w:val="auto"/>
              </w:rPr>
            </w:pP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Tax advanced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members</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tcPr>
          <w:p>
            <w:pPr>
              <w:spacing w:after="0"/>
              <w:rPr>
                <w:sz w:val="20"/>
                <w:szCs w:val="20"/>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8"/>
                <w:szCs w:val="18"/>
                <w:color w:val="auto"/>
              </w:rPr>
            </w:pPr>
          </w:p>
        </w:tc>
      </w:tr>
      <w:tr>
        <w:trPr>
          <w:trHeight w:val="198"/>
        </w:trPr>
        <w:tc>
          <w:tcPr>
            <w:tcW w:w="21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units to redemption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10,149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Pr>
          <w:p>
            <w:pPr>
              <w:spacing w:after="0"/>
              <w:rPr>
                <w:sz w:val="20"/>
                <w:szCs w:val="20"/>
                <w:color w:val="auto"/>
              </w:rPr>
            </w:pPr>
          </w:p>
        </w:tc>
      </w:tr>
      <w:tr>
        <w:trPr>
          <w:trHeight w:val="223"/>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29,152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792</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(54,420)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1,240</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(17,951)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and cash equivalents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on debt securities - related party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unpaid interest on note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payables due to related parties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on notes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loss on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 loss (gain)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rent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 - related party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Liability for future preferred stock issuance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shares in equity method investees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to equity method investees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debt securities - related party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received related to PCT stock sale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capital, net of issuance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units to NCI</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 of Capital from Class I Unitholder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advance distribution to Members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of related party notes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99"/>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discount and embedded derivative upon issuance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Class Preferred B Units to extinguish convertible notes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Class B Preferred Units in exchange for Innventus ESG Fund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NCI in exchange for interest in Innventus ESG Fund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payable on issuance of Class B Preferred Units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 payable on issuance of NCI</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Class B Preferred Units to extinguish consulting fees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units to NCI in exchange of convertible promissory notes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working capital loans to equity method investees into investments in debt securities - related party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investments in debt Securities - related party through OCI</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right of use asset and corresponding lease liability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9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4140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49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40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40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31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13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208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208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2024-11-14T15:43:57Z</dcterms:created>
  <dcterms:modified xsi:type="dcterms:W3CDTF">2024-11-14T15:43:57Z</dcterms:modified>
</cp:coreProperties>
</file>