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-608330</wp:posOffset>
            </wp:positionV>
            <wp:extent cx="5715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639445</wp:posOffset>
            </wp:positionV>
            <wp:extent cx="7048500" cy="4572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572635"/>
                    </a:xfrm>
                    <a:prstGeom prst="rect">
                      <a:avLst/>
                    </a:prstGeom>
                    <a:noFill/>
                  </pic:spPr>
                </pic:pic>
              </a:graphicData>
            </a:graphic>
          </wp:anchor>
        </w:drawing>
      </w:r>
    </w:p>
    <w:p>
      <w:pPr>
        <w:spacing w:after="0" w:line="1022"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Niemeyer Suzanne</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Innventure,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INV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top w:val="single" w:sz="8" w:color="0000EE"/>
            </w:tcBorders>
          </w:tcPr>
          <w:p>
            <w:pPr>
              <w:spacing w:after="0"/>
              <w:rPr>
                <w:sz w:val="4"/>
                <w:szCs w:val="4"/>
                <w:color w:val="auto"/>
              </w:rPr>
            </w:pPr>
          </w:p>
        </w:tc>
        <w:tc>
          <w:tcPr>
            <w:tcW w:w="250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line="145"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3840" w:type="dxa"/>
            <w:vAlign w:val="bottom"/>
            <w:gridSpan w:val="3"/>
            <w:vMerge w:val="continue"/>
          </w:tcPr>
          <w:p>
            <w:pPr>
              <w:spacing w:after="0"/>
              <w:rPr>
                <w:sz w:val="10"/>
                <w:szCs w:val="10"/>
                <w:color w:val="auto"/>
              </w:rPr>
            </w:pPr>
          </w:p>
        </w:tc>
        <w:tc>
          <w:tcPr>
            <w:tcW w:w="1820" w:type="dxa"/>
            <w:vAlign w:val="bottom"/>
          </w:tcPr>
          <w:p>
            <w:pPr>
              <w:ind w:left="580"/>
              <w:spacing w:after="0" w:line="125"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12/09/2024</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6900 TAVISTOCK LAKES BLVD,</w:t>
            </w:r>
          </w:p>
        </w:tc>
        <w:tc>
          <w:tcPr>
            <w:tcW w:w="12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SUITE 400</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4" w:right="359" w:bottom="1440" w:gutter="0" w:footer="0" w:header="0"/>
          <w:type w:val="continuous"/>
        </w:sectPr>
      </w:pPr>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32827</w:t>
            </w:r>
          </w:p>
        </w:tc>
      </w:tr>
      <w:tr>
        <w:trPr>
          <w:trHeight w:val="145"/>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color w:val="auto"/>
        </w:rPr>
        <w:t>Form filed by More than One Reporting</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4" w:lineRule="exact"/>
        <w:rPr>
          <w:sz w:val="20"/>
          <w:szCs w:val="20"/>
          <w:color w:val="auto"/>
        </w:rPr>
      </w:pPr>
    </w:p>
    <w:p>
      <w:pPr>
        <w:sectPr>
          <w:pgSz w:w="11900" w:h="16838" w:orient="portrait"/>
          <w:cols w:equalWidth="0" w:num="2">
            <w:col w:w="7560" w:space="720"/>
            <w:col w:w="280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0" w:type="dxa"/>
            <w:vAlign w:val="bottom"/>
            <w:gridSpan w:val="2"/>
          </w:tcPr>
          <w:p>
            <w:pPr>
              <w:ind w:left="7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8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16"/>
                <w:szCs w:val="16"/>
                <w:color w:val="0000FF"/>
              </w:rPr>
              <w:t>12/09/2024</w:t>
            </w:r>
          </w:p>
        </w:tc>
        <w:tc>
          <w:tcPr>
            <w:tcW w:w="6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7"/>
              </w:rPr>
              <w:t>336,066</w:t>
            </w:r>
            <w:r>
              <w:rPr>
                <w:rFonts w:ascii="Times New Roman" w:cs="Times New Roman" w:eastAsia="Times New Roman" w:hAnsi="Times New Roman"/>
                <w:sz w:val="20"/>
                <w:szCs w:val="20"/>
                <w:color w:val="008000"/>
                <w:w w:val="97"/>
                <w:vertAlign w:val="superscript"/>
              </w:rPr>
              <w:t>(1)</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336,066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w w:val="99"/>
              </w:rPr>
              <w:t>Expiration Date</w:t>
            </w:r>
          </w:p>
        </w:tc>
        <w:tc>
          <w:tcPr>
            <w:tcW w:w="640" w:type="dxa"/>
            <w:vAlign w:val="bottom"/>
          </w:tcPr>
          <w:p>
            <w:pPr>
              <w:spacing w:after="0"/>
              <w:rPr>
                <w:sz w:val="10"/>
                <w:szCs w:val="10"/>
                <w:color w:val="auto"/>
              </w:rPr>
            </w:pPr>
          </w:p>
        </w:tc>
        <w:tc>
          <w:tcPr>
            <w:tcW w:w="13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12.2</w:t>
            </w:r>
          </w:p>
        </w:tc>
        <w:tc>
          <w:tcPr>
            <w:tcW w:w="1040" w:type="dxa"/>
            <w:vAlign w:val="bottom"/>
          </w:tcPr>
          <w:p>
            <w:pPr>
              <w:jc w:val="right"/>
              <w:ind w:right="162"/>
              <w:spacing w:after="0"/>
              <w:rPr>
                <w:sz w:val="20"/>
                <w:szCs w:val="20"/>
                <w:color w:val="auto"/>
              </w:rPr>
            </w:pPr>
            <w:r>
              <w:rPr>
                <w:rFonts w:ascii="Times New Roman" w:cs="Times New Roman" w:eastAsia="Times New Roman" w:hAnsi="Times New Roman"/>
                <w:sz w:val="13"/>
                <w:szCs w:val="13"/>
                <w:color w:val="0000FF"/>
              </w:rPr>
              <w:t>12/09/2024</w:t>
            </w:r>
          </w:p>
        </w:tc>
        <w:tc>
          <w:tcPr>
            <w:tcW w:w="108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163,934</w:t>
            </w:r>
          </w:p>
        </w:tc>
        <w:tc>
          <w:tcPr>
            <w:tcW w:w="280" w:type="dxa"/>
            <w:vAlign w:val="bottom"/>
          </w:tcPr>
          <w:p>
            <w:pPr>
              <w:spacing w:after="0"/>
              <w:rPr>
                <w:sz w:val="17"/>
                <w:szCs w:val="17"/>
                <w:color w:val="auto"/>
              </w:rPr>
            </w:pPr>
          </w:p>
        </w:tc>
        <w:tc>
          <w:tcPr>
            <w:tcW w:w="8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3"/>
                <w:szCs w:val="13"/>
                <w:color w:val="0000FF"/>
              </w:rPr>
              <w:t>10/02/2025</w:t>
            </w:r>
            <w:r>
              <w:rPr>
                <w:rFonts w:ascii="Times New Roman" w:cs="Times New Roman" w:eastAsia="Times New Roman" w:hAnsi="Times New Roman"/>
                <w:sz w:val="20"/>
                <w:szCs w:val="20"/>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12/09/2034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163,934</w:t>
            </w:r>
          </w:p>
        </w:tc>
        <w:tc>
          <w:tcPr>
            <w:tcW w:w="60" w:type="dxa"/>
            <w:vAlign w:val="bottom"/>
          </w:tcPr>
          <w:p>
            <w:pPr>
              <w:spacing w:after="0"/>
              <w:rPr>
                <w:sz w:val="17"/>
                <w:szCs w:val="17"/>
                <w:color w:val="auto"/>
              </w:rPr>
            </w:pPr>
          </w:p>
        </w:tc>
        <w:tc>
          <w:tcPr>
            <w:tcW w:w="680" w:type="dxa"/>
            <w:vAlign w:val="bottom"/>
          </w:tcPr>
          <w:p>
            <w:pPr>
              <w:jc w:val="right"/>
              <w:ind w:right="28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163,934</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Option (right</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ind w:left="20"/>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22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in three equal installments on May 1, 2025, May 1, 2026, and May 1, 2027, subject to the Reporting Person's continuous service to the Issuer until the applicable vesting date.</w:t>
      </w:r>
    </w:p>
    <w:p>
      <w:pPr>
        <w:spacing w:after="0" w:line="22" w:lineRule="exact"/>
        <w:rPr>
          <w:rFonts w:ascii="Times New Roman" w:cs="Times New Roman" w:eastAsia="Times New Roman" w:hAnsi="Times New Roman"/>
          <w:sz w:val="13"/>
          <w:szCs w:val="13"/>
          <w:color w:val="008000"/>
        </w:rPr>
      </w:pPr>
    </w:p>
    <w:p>
      <w:pPr>
        <w:ind w:left="40" w:right="300" w:hanging="2"/>
        <w:spacing w:after="0" w:line="296" w:lineRule="auto"/>
        <w:tabs>
          <w:tab w:leader="none" w:pos="165"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nonqualified stock options ("Stock Options"), exercisable solely in the Issuer's Common Stock granted by the Issuer to the Reporting Person on December 9, 2024 pursuant to the Innventure, Inc. 2024 Equity and Incentive Compensation Plan, vest and become exercisable with respect to (i) 25% of the shares of Common Stock underlying the Stock Options on May 1, 2025 and (ii) 75% of the shares of Common Stock underlying the Stock Options in eight substantially equal installments on each three-month anniversary thereafter, subject to the Reporting Person's continuous service to the Issuer until the applicable vesting date.</w:t>
      </w:r>
    </w:p>
    <w:p>
      <w:pPr>
        <w:spacing w:after="0" w:line="12"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Suzanne Niemeyer</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12/11/2024</w:t>
            </w:r>
          </w:p>
        </w:tc>
      </w:tr>
      <w:tr>
        <w:trPr>
          <w:trHeight w:val="20"/>
        </w:trPr>
        <w:tc>
          <w:tcPr>
            <w:tcW w:w="1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6"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0863"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2024-12-11T17:46:14Z</dcterms:created>
  <dcterms:modified xsi:type="dcterms:W3CDTF">2024-12-11T17:46:14Z</dcterms:modified>
</cp:coreProperties>
</file>