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</w:rPr>
              <w:t>SEC Form 3</w:t>
            </w: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160" w:type="dxa"/>
            <w:vAlign w:val="bottom"/>
          </w:tcPr>
          <w:p>
            <w:pPr>
              <w:ind w:left="760"/>
              <w:spacing w:after="0" w:line="2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b w:val="1"/>
                <w:bCs w:val="1"/>
                <w:color w:val="auto"/>
              </w:rPr>
              <w:t>FORM 3</w:t>
            </w:r>
          </w:p>
        </w:tc>
        <w:tc>
          <w:tcPr>
            <w:tcW w:w="6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INITIAL STATEMENT OF BENEFICIAL OWNERSHIP OF SECURITIES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6930390</wp:posOffset>
            </wp:positionH>
            <wp:positionV relativeFrom="paragraph">
              <wp:posOffset>-505460</wp:posOffset>
            </wp:positionV>
            <wp:extent cx="51435" cy="51879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5614670</wp:posOffset>
            </wp:positionH>
            <wp:positionV relativeFrom="paragraph">
              <wp:posOffset>-505460</wp:posOffset>
            </wp:positionV>
            <wp:extent cx="51435" cy="518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-10160</wp:posOffset>
            </wp:positionH>
            <wp:positionV relativeFrom="paragraph">
              <wp:posOffset>19685</wp:posOffset>
            </wp:positionV>
            <wp:extent cx="7019290" cy="27298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2729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</w:sectPr>
      </w:pPr>
    </w:p>
    <w:p>
      <w:pPr>
        <w:spacing w:after="0" w:line="42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2. Date of Event Requiring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  <w:w w:val="95"/>
              </w:rPr>
            </w:pPr>
            <w:hyperlink r:id="rId11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  <w:w w:val="95"/>
                </w:rPr>
                <w:t>Fallon Catriona M</w:t>
              </w:r>
            </w:hyperlink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Statement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2"/>
            <w:vMerge w:val="restart"/>
          </w:tcPr>
          <w:p>
            <w:pPr>
              <w:ind w:left="1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06/17/2026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2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3. Issuer Name </w:t>
      </w: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17"/>
          <w:szCs w:val="17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17"/>
            <w:szCs w:val="17"/>
            <w:u w:val="single" w:color="auto"/>
            <w:color w:val="0000EE"/>
          </w:rPr>
          <w:t>Innventure, Inc.</w:t>
        </w:r>
        <w:r>
          <w:rPr>
            <w:rFonts w:ascii="Times New Roman" w:cs="Times New Roman" w:eastAsia="Times New Roman" w:hAnsi="Times New Roman"/>
            <w:sz w:val="17"/>
            <w:szCs w:val="17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17"/>
          <w:szCs w:val="17"/>
          <w:color w:val="000000"/>
        </w:rPr>
        <w:t>[</w:t>
      </w:r>
      <w:r>
        <w:rPr>
          <w:rFonts w:ascii="Times New Roman" w:cs="Times New Roman" w:eastAsia="Times New Roman" w:hAnsi="Times New Roman"/>
          <w:sz w:val="17"/>
          <w:szCs w:val="17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INV</w:t>
      </w:r>
      <w:r>
        <w:rPr>
          <w:rFonts w:ascii="Times New Roman" w:cs="Times New Roman" w:eastAsia="Times New Roman" w:hAnsi="Times New Roman"/>
          <w:sz w:val="17"/>
          <w:szCs w:val="17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00"/>
        </w:rPr>
        <w:t>]</w:t>
      </w:r>
    </w:p>
    <w:p>
      <w:pPr>
        <w:spacing w:after="0" w:line="38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660" w:space="340"/>
            <w:col w:w="6020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83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4"/>
        </w:trPr>
        <w:tc>
          <w:tcPr>
            <w:tcW w:w="2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6900 TAVISTOCK LAKES BLVD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07"/>
        </w:trPr>
        <w:tc>
          <w:tcPr>
            <w:tcW w:w="9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SUITE 400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344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84"/>
        </w:trPr>
        <w:tc>
          <w:tcPr>
            <w:tcW w:w="9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ORLANDO</w:t>
            </w:r>
          </w:p>
        </w:tc>
        <w:tc>
          <w:tcPr>
            <w:tcW w:w="11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FL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32827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7" w:right="880" w:firstLine="7"/>
        <w:spacing w:after="0" w:line="260" w:lineRule="auto"/>
        <w:tabs>
          <w:tab w:leader="none" w:pos="108" w:val="left"/>
        </w:tabs>
        <w:numPr>
          <w:ilvl w:val="0"/>
          <w:numId w:val="1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Relationship of Reporting Person(s) to Issuer (Check all applicable)</w:t>
      </w:r>
    </w:p>
    <w:p>
      <w:pPr>
        <w:spacing w:after="0" w:line="21" w:lineRule="exact"/>
        <w:rPr>
          <w:sz w:val="24"/>
          <w:szCs w:val="24"/>
          <w:color w:val="auto"/>
        </w:rPr>
      </w:pPr>
    </w:p>
    <w:tbl>
      <w:tblPr>
        <w:tblLayout w:type="fixed"/>
        <w:tblInd w:w="51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3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99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118" w:hanging="118"/>
        <w:spacing w:after="0"/>
        <w:tabs>
          <w:tab w:leader="none" w:pos="118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If Amendment, Date of Original Filed (Month/Day/Year)</w:t>
      </w:r>
    </w:p>
    <w:p>
      <w:pPr>
        <w:spacing w:after="0" w:line="268" w:lineRule="exact"/>
        <w:rPr>
          <w:rFonts w:ascii="Arial" w:cs="Arial" w:eastAsia="Arial" w:hAnsi="Arial"/>
          <w:sz w:val="10"/>
          <w:szCs w:val="10"/>
          <w:color w:val="auto"/>
        </w:rPr>
      </w:pPr>
    </w:p>
    <w:p>
      <w:pPr>
        <w:ind w:left="118" w:hanging="118"/>
        <w:spacing w:after="0"/>
        <w:tabs>
          <w:tab w:leader="none" w:pos="118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Individual or Joint/Group Filing (Check Applicable Line)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3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One Reporting Person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43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More than One Reporting Person</w:t>
      </w:r>
    </w:p>
    <w:p>
      <w:pPr>
        <w:spacing w:after="0" w:line="35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87" w:space="720"/>
            <w:col w:w="3073" w:space="222"/>
            <w:col w:w="2718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(Zip)</w:t>
      </w:r>
    </w:p>
    <w:p>
      <w:pPr>
        <w:spacing w:after="0" w:line="153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 - Non-Derivative Securities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Amount of Securities Beneficially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Ownership Form:</w:t>
            </w:r>
          </w:p>
        </w:tc>
        <w:tc>
          <w:tcPr>
            <w:tcW w:w="2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 Nature of Indirect Beneficial Ownership (Instr. 5)</w:t>
            </w: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Owned (Instr. 4)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Direct (D) or Indirect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II - Derivative Securities Beneficially Owned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3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Title and Amount of Securities Underlying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5. Ownership</w:t>
            </w:r>
          </w:p>
        </w:tc>
        <w:tc>
          <w:tcPr>
            <w:tcW w:w="1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6. Nature of 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620" w:type="dxa"/>
            <w:vAlign w:val="bottom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 Security (Instr. 4)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580" w:type="dxa"/>
            <w:vAlign w:val="bottom"/>
          </w:tcPr>
          <w:p>
            <w:pPr>
              <w:ind w:left="2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60" w:type="dxa"/>
            <w:vAlign w:val="bottom"/>
            <w:gridSpan w:val="3"/>
            <w:vMerge w:val="restart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Title</w:t>
            </w: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3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3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3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Remarks: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3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Exhibit 24.1 - Power of Attorney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3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/s/ Suzanne Niemeyer, Attorney-in-Fact 06/22/2026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Reminder: Report on a separate line for each class of securities beneficially owned directly or indirectly.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5 (b)(v).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both"/>
        <w:ind w:left="40" w:right="5000" w:hanging="6"/>
        <w:spacing w:after="0" w:line="324" w:lineRule="auto"/>
        <w:tabs>
          <w:tab w:leader="none" w:pos="149" w:val="left"/>
        </w:tabs>
        <w:numPr>
          <w:ilvl w:val="0"/>
          <w:numId w:val="3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154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1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3" Type="http://schemas.openxmlformats.org/officeDocument/2006/relationships/image" Target="media/image4.png"/><Relationship Id="rId11" Type="http://schemas.openxmlformats.org/officeDocument/2006/relationships/hyperlink" Target="http://www.sec.gov/cgi-bin/browse-edgar?action=getcompany&amp;CIK=0001649289" TargetMode="External"/><Relationship Id="rId12" Type="http://schemas.openxmlformats.org/officeDocument/2006/relationships/hyperlink" Target="http://www.sec.gov/cgi-bin/browse-edgar?action=getcompany&amp;CIK=000200155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2026-06-22T16:46:38Z</dcterms:created>
  <dcterms:modified xsi:type="dcterms:W3CDTF">2026-06-22T16:46:38Z</dcterms:modified>
</cp:coreProperties>
</file>