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45784M108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Ascent Capital Partners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16427 N Scottsdale Rd, Ste 410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Scottsdale, AZ, 85255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928-503-2437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5,282,828.00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Jonathan Loeffler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5,282,828.00</w:t>
            </w: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5,282,828.00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5,282,828.00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45784M108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Mark A Pomeroy Jr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5,282,828.00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5,282,828.00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3" w:name="page4"/>
    <w:bookmarkEnd w:id="3"/>
    <w:p>
      <w:pPr>
        <w:spacing w:after="0" w:line="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Ascent Capital Partners LLC ("Ascent Capital")</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16427 N Scottsdale Rd, Ste 410, Scottsdale, AZ 85255</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of Ascent Capital is providing investment advisory services to private funds ("Funds") and</w:t>
      </w:r>
    </w:p>
    <w:p>
      <w:pPr>
        <w:spacing w:after="0" w:line="14" w:lineRule="exact"/>
        <w:rPr>
          <w:rFonts w:ascii="Times New Roman" w:cs="Times New Roman" w:eastAsia="Times New Roman" w:hAnsi="Times New Roman"/>
          <w:sz w:val="22"/>
          <w:szCs w:val="22"/>
          <w:color w:val="auto"/>
        </w:rPr>
      </w:pPr>
    </w:p>
    <w:p>
      <w:pPr>
        <w:ind w:left="940" w:right="6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other investors, including through separately managed accounts ("SMAs"). Ascent Capital clients generally pay an asset-based management fee and a performance fee, some of which may be based on the net profits, if any, relating to Issuer securities.</w:t>
      </w:r>
    </w:p>
    <w:p>
      <w:pPr>
        <w:spacing w:after="0" w:line="18" w:lineRule="exact"/>
        <w:rPr>
          <w:rFonts w:ascii="Times New Roman" w:cs="Times New Roman" w:eastAsia="Times New Roman" w:hAnsi="Times New Roman"/>
          <w:sz w:val="42"/>
          <w:szCs w:val="42"/>
          <w:color w:val="auto"/>
          <w:vertAlign w:val="subscript"/>
        </w:rPr>
      </w:pPr>
    </w:p>
    <w:p>
      <w:pPr>
        <w:ind w:left="940" w:right="68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years,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40" w:right="2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The Reporting Person is an Arizona limited liability company. Jonathan Loeffler and Mark A. Pomeroy Jr, each a</w:t>
      </w:r>
    </w:p>
    <w:p>
      <w:pPr>
        <w:spacing w:after="0" w:line="14" w:lineRule="exact"/>
        <w:rPr>
          <w:rFonts w:ascii="Times New Roman" w:cs="Times New Roman" w:eastAsia="Times New Roman" w:hAnsi="Times New Roman"/>
          <w:sz w:val="42"/>
          <w:szCs w:val="42"/>
          <w:color w:val="auto"/>
          <w:vertAlign w:val="subscript"/>
        </w:rPr>
      </w:pPr>
    </w:p>
    <w:p>
      <w:pPr>
        <w:ind w:left="940" w:right="8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 of the United States of America, are all the members and managers of the Reporting Person and their business address is 16472 N. Scottsdale Rd, Ste. 410, Scottsdale, Arizona 85255.</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20"/>
        <w:spacing w:after="0" w:line="244" w:lineRule="auto"/>
        <w:rPr>
          <w:sz w:val="20"/>
          <w:szCs w:val="20"/>
          <w:color w:val="auto"/>
        </w:rPr>
      </w:pPr>
      <w:r>
        <w:rPr>
          <w:rFonts w:ascii="Times New Roman" w:cs="Times New Roman" w:eastAsia="Times New Roman" w:hAnsi="Times New Roman"/>
          <w:sz w:val="22"/>
          <w:szCs w:val="22"/>
          <w:color w:val="auto"/>
        </w:rPr>
        <w:t>Ascent Capital acquired beneficial ownership of the securities reported herein at a cost of approximately $18,591,403. The source of funds used to acquire such position was from working capital of private funds and SMAs managed by Ascent Capital.</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Reporting Persons acquired the securities reported herein for investment purposes and intend to review their investments in the Issuer on a continuing basis. Subject to various factors, including but not limited to the Issuer's financial position and strategic direction, price levels of the Class A Common Stock, conditions in the securities markets, various laws and regulations applicable to the Issuer and companies in its industry and the Reporting Persons' ownership in the Issuer, and general economic and industry conditions, the Reporting Persons may in the future take actions with respect to their investment in the Issuer as they deem appropriate, including changing their current intentions, with respect to any or all matters required to be disclosed in this Schedule 13D. The Reporting Persons may, from time to time, acquire, or cause affiliates to acquire, additional shares of Class A Common Stock or other securities of the Issuer (including any combination or derivative thereof), dispose, or cause affiliates to dispose, of some or all of their Class A Common Stock or other securities of the Issuer or continue to hold, or cause affiliates to hold, Class A Common Stock or other securities of the Issuer (or any combination or derivative thereof). In addition, the Reporting Persons have engaged and intend to continue to engage, in discussions with management or the board of directors of the Issuer (the "Board") about its business, operations, strategy, and prospects and governance matters or otherwise work with management and the Board with a view to maximizing stockholder value. On February 18, 2026, Ascent Capital delivered a letter to the Board of Directors of the Issuer (the ?Board Letter?) with respect to the Issuer?s performance, corporate governance, strategic direction and certain actions that the Ascent Capital believes the Issuer should take, namely: (1) reduce corporate overhead immediately and materially (2) cease all parent-level funding of ventures beyond Accelsius until stabilization (3) deploy excess capital available into Accelsius equity and (4) reconstitute the Board of Directors with genuine independence. A copy of the Board Letter is</w:t>
      </w:r>
    </w:p>
    <w:p>
      <w:pPr>
        <w:sectPr>
          <w:pgSz w:w="11900" w:h="16906" w:orient="portrait"/>
          <w:cols w:equalWidth="0" w:num="1">
            <w:col w:w="11160"/>
          </w:cols>
          <w:pgMar w:left="360" w:top="612" w:right="379" w:bottom="0" w:gutter="0" w:footer="0" w:header="0"/>
        </w:sectPr>
      </w:pPr>
    </w:p>
    <w:bookmarkStart w:id="4" w:name="page5"/>
    <w:bookmarkEnd w:id="4"/>
    <w:p>
      <w:pPr>
        <w:ind w:left="940" w:right="200"/>
        <w:spacing w:after="0" w:line="238" w:lineRule="auto"/>
        <w:rPr>
          <w:sz w:val="20"/>
          <w:szCs w:val="20"/>
          <w:color w:val="auto"/>
        </w:rPr>
      </w:pPr>
      <w:r>
        <w:rPr>
          <w:rFonts w:ascii="Times New Roman" w:cs="Times New Roman" w:eastAsia="Times New Roman" w:hAnsi="Times New Roman"/>
          <w:sz w:val="22"/>
          <w:szCs w:val="22"/>
          <w:color w:val="auto"/>
        </w:rPr>
        <w:t>attached as an Exhibit to this Schedule 13D and incorporated by reference in this Item 4. Except as described in this Schedule 13D, the Reporting Person does not have any present plans that relate to or would result in any of the actions described in Item 4 of paragraph (a) through (j), although, the Reporting Person, at any time, may review, reconsider and change their position and/or purpose and/or develop such plans and may from time to time consider pursuing or proposing such matters with advisors, the Issuer or other persons.</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9" w:lineRule="auto"/>
        <w:rPr>
          <w:sz w:val="20"/>
          <w:szCs w:val="20"/>
          <w:color w:val="auto"/>
        </w:rPr>
      </w:pPr>
      <w:r>
        <w:rPr>
          <w:rFonts w:ascii="Times New Roman" w:cs="Times New Roman" w:eastAsia="Times New Roman" w:hAnsi="Times New Roman"/>
          <w:sz w:val="21"/>
          <w:szCs w:val="21"/>
          <w:color w:val="auto"/>
        </w:rPr>
        <w:t>The information set forth in the cover pages of this Schedule 13D is hereby incorporated by reference into this Item 5. As of the date hereof the Reporting Person may be deemed to beneficially own an aggregate of 5,282,828 shares of the Issuer's Class A Common Stock, representing 6.7% of the outstanding shares of Class A Common Stock, based on</w:t>
      </w:r>
    </w:p>
    <w:p>
      <w:pPr>
        <w:spacing w:after="0" w:line="1" w:lineRule="exact"/>
        <w:rPr>
          <w:sz w:val="20"/>
          <w:szCs w:val="20"/>
          <w:color w:val="auto"/>
        </w:rPr>
      </w:pPr>
    </w:p>
    <w:p>
      <w:pPr>
        <w:ind w:left="940" w:right="380" w:hanging="932"/>
        <w:spacing w:after="0" w:line="196"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79,174,919 shares of Class A Common Stock of the Issuer outstanding as of January 14, 2026, which is the total number of Shares outstanding following the closing of the Issuer's public offering as disclosed in the Issuer's Prospectus Supplement on Form 424B5 filed with the Securities and Exchange Commission on January 14, 2026. The beneficial ownership reported herein consists of 3,541,685 shares and 76,000 warrants held by Funds and 1,741,143 shares held by SMAs managed by Ascent Capital.</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40" w:right="26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on Schedule A attached hereto, the Reporting Person has not effected any transaction in Class A Common Stock in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To the best knowledge of the Reporting Person, no one other than the Reporting Person, or the partners, members,</w:t>
      </w:r>
    </w:p>
    <w:p>
      <w:pPr>
        <w:spacing w:after="0" w:line="14" w:lineRule="exact"/>
        <w:rPr>
          <w:rFonts w:ascii="Times New Roman" w:cs="Times New Roman" w:eastAsia="Times New Roman" w:hAnsi="Times New Roman"/>
          <w:sz w:val="39"/>
          <w:szCs w:val="39"/>
          <w:color w:val="auto"/>
          <w:vertAlign w:val="subscript"/>
        </w:rPr>
      </w:pPr>
    </w:p>
    <w:p>
      <w:pPr>
        <w:ind w:left="940" w:right="32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affiliates or shareholders of the Reporting Person or the private funds and/or SMAs it manages, has the right to receive or the power to direct the receipt of dividends from, or the proceeds from the sale of, the Class A Common Stock reported herein as beneficially owned by the Reporting Person.</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Items 2 and 5 of the Schedule 13D is incorporated herein by reference.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60"/>
        <w:spacing w:after="0" w:line="282" w:lineRule="auto"/>
        <w:rPr>
          <w:sz w:val="20"/>
          <w:szCs w:val="20"/>
          <w:color w:val="auto"/>
        </w:rPr>
      </w:pPr>
      <w:r>
        <w:rPr>
          <w:rFonts w:ascii="Times New Roman" w:cs="Times New Roman" w:eastAsia="Times New Roman" w:hAnsi="Times New Roman"/>
          <w:sz w:val="21"/>
          <w:szCs w:val="21"/>
          <w:color w:val="auto"/>
        </w:rPr>
        <w:t>The information set forth in Items 2 and 5 of the Schedule 13D is incorporated herein by reference. For the avoidance of doubt, Ascent Capital also owns securities in private companies in which the Issuer also has ownership.</w:t>
      </w:r>
    </w:p>
    <w:p>
      <w:pPr>
        <w:spacing w:after="0" w:line="2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Ascent Capital Partners LLC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Joanthan Loeffler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 Pomeroy Jr</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Jonathan Loeffler</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Loeffler</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Mark A Pomeroy Jr</w:t>
      </w:r>
    </w:p>
    <w:p>
      <w:pPr>
        <w:spacing w:after="0" w:line="152"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Mark A. Pomeroy Jr</w:t>
      </w:r>
    </w:p>
    <w:p>
      <w:pPr>
        <w:spacing w:after="0" w:line="4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3060"/>
        <w:spacing w:after="0"/>
        <w:tabs>
          <w:tab w:leader="none" w:pos="4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02/18/2026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Comments accompanying signature: </w:t>
      </w:r>
      <w:r>
        <w:rPr>
          <w:rFonts w:ascii="Times New Roman" w:cs="Times New Roman" w:eastAsia="Times New Roman" w:hAnsi="Times New Roman"/>
          <w:sz w:val="21"/>
          <w:szCs w:val="21"/>
          <w:color w:val="auto"/>
        </w:rPr>
        <w:t>n/a</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3"/>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2026-02-18T21:01:21Z</dcterms:created>
  <dcterms:modified xsi:type="dcterms:W3CDTF">2026-02-18T21:01:21Z</dcterms:modified>
</cp:coreProperties>
</file>