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165100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7500" w:type="dxa"/>
            <w:vAlign w:val="bottom"/>
            <w:gridSpan w:val="4"/>
          </w:tcPr>
          <w:p>
            <w:pPr>
              <w:jc w:val="center"/>
              <w:ind w:left="30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203"/>
        </w:trPr>
        <w:tc>
          <w:tcPr>
            <w:tcW w:w="36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14"/>
        </w:trPr>
        <w:tc>
          <w:tcPr>
            <w:tcW w:w="41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001-42303</w:t>
            </w:r>
          </w:p>
        </w:tc>
        <w:tc>
          <w:tcPr>
            <w:tcW w:w="460" w:type="dxa"/>
            <w:vAlign w:val="bottom"/>
          </w:tcPr>
          <w:p>
            <w:pPr>
              <w:spacing w:after="0"/>
              <w:rPr>
                <w:sz w:val="24"/>
                <w:szCs w:val="24"/>
                <w:color w:val="auto"/>
              </w:rPr>
            </w:pPr>
          </w:p>
        </w:tc>
        <w:tc>
          <w:tcPr>
            <w:tcW w:w="28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34"/>
        </w:trPr>
        <w:tc>
          <w:tcPr>
            <w:tcW w:w="41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4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4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Orlando, Florida</w:t>
            </w:r>
          </w:p>
        </w:tc>
        <w:tc>
          <w:tcPr>
            <w:tcW w:w="2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34"/>
        </w:trPr>
        <w:tc>
          <w:tcPr>
            <w:tcW w:w="4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20" w:firstLine="494"/>
        <w:spacing w:after="0" w:line="500"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Title of each class</w:t>
            </w:r>
          </w:p>
        </w:tc>
        <w:tc>
          <w:tcPr>
            <w:tcW w:w="24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Trading Symbol(s)</w:t>
            </w:r>
          </w:p>
        </w:tc>
        <w:tc>
          <w:tcPr>
            <w:tcW w:w="4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INV</w:t>
            </w:r>
          </w:p>
        </w:tc>
        <w:tc>
          <w:tcPr>
            <w:tcW w:w="4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November 13, 2024, Innventure, Inc.’s majority-owned subsidiary Accelsius Holdings LLC (“Accelsius”) issued a press release, attached hereto as Exhibit 99.1 and incorporated herein by reference, announcing certain updates pertaining to Accelsius.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1380" w:type="dxa"/>
            <w:vAlign w:val="bottom"/>
          </w:tcPr>
          <w:p>
            <w:pPr>
              <w:spacing w:after="0"/>
              <w:rPr>
                <w:sz w:val="24"/>
                <w:szCs w:val="24"/>
                <w:color w:val="auto"/>
              </w:rPr>
            </w:pPr>
          </w:p>
        </w:tc>
        <w:tc>
          <w:tcPr>
            <w:tcW w:w="12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Press Release by Accelsius Holdings LLC dated November 13, 2024</w:t>
            </w:r>
          </w:p>
        </w:tc>
      </w:tr>
      <w:tr>
        <w:trPr>
          <w:trHeight w:val="237"/>
        </w:trPr>
        <w:tc>
          <w:tcPr>
            <w:tcW w:w="138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Accelsius Secures $24M in Series A Funding to Efficiently Cool AI Data Centers</w:t>
      </w:r>
    </w:p>
    <w:p>
      <w:pPr>
        <w:spacing w:after="0" w:line="219" w:lineRule="exact"/>
        <w:rPr>
          <w:sz w:val="20"/>
          <w:szCs w:val="20"/>
          <w:color w:val="auto"/>
        </w:rPr>
      </w:pPr>
    </w:p>
    <w:p>
      <w:pPr>
        <w:ind w:left="800" w:right="420"/>
        <w:spacing w:after="0" w:line="261" w:lineRule="auto"/>
        <w:rPr>
          <w:sz w:val="20"/>
          <w:szCs w:val="20"/>
          <w:color w:val="auto"/>
        </w:rPr>
      </w:pPr>
      <w:r>
        <w:rPr>
          <w:rFonts w:ascii="Times New Roman" w:cs="Times New Roman" w:eastAsia="Times New Roman" w:hAnsi="Times New Roman"/>
          <w:sz w:val="18"/>
          <w:szCs w:val="18"/>
          <w:color w:val="auto"/>
        </w:rPr>
        <w:t>Funding will help enable Accelsius to keep up with increasing demand for its proprietary NeuCool two-phase, direct-to-chip liquid cooling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-161925</wp:posOffset>
            </wp:positionV>
            <wp:extent cx="4318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800" w:right="360"/>
        <w:spacing w:after="0" w:line="250" w:lineRule="auto"/>
        <w:rPr>
          <w:sz w:val="20"/>
          <w:szCs w:val="20"/>
          <w:color w:val="auto"/>
        </w:rPr>
      </w:pPr>
      <w:r>
        <w:rPr>
          <w:rFonts w:ascii="Times New Roman" w:cs="Times New Roman" w:eastAsia="Times New Roman" w:hAnsi="Times New Roman"/>
          <w:sz w:val="18"/>
          <w:szCs w:val="18"/>
          <w:color w:val="auto"/>
        </w:rPr>
        <w:t>NeuCool enables over 10 times today’s rack power densities with an estimated 40%-50% savings in data center cooling energy compared to conventional cooling methods, with zero water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-161925</wp:posOffset>
            </wp:positionV>
            <wp:extent cx="4318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800" w:right="820"/>
        <w:spacing w:after="0" w:line="260" w:lineRule="auto"/>
        <w:rPr>
          <w:sz w:val="20"/>
          <w:szCs w:val="20"/>
          <w:color w:val="auto"/>
        </w:rPr>
      </w:pPr>
      <w:r>
        <w:rPr>
          <w:rFonts w:ascii="Times New Roman" w:cs="Times New Roman" w:eastAsia="Times New Roman" w:hAnsi="Times New Roman"/>
          <w:sz w:val="18"/>
          <w:szCs w:val="18"/>
          <w:color w:val="auto"/>
        </w:rPr>
        <w:t>Plans include international expansion, new innovative liquid cooling solutions and accelerated hiring across engineering, R&amp;D, sales, marketing, manufacturing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-172720</wp:posOffset>
            </wp:positionV>
            <wp:extent cx="4318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AUSTIN, Texas--(</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Accelsius</w:t>
      </w:r>
      <w:r>
        <w:rPr>
          <w:rFonts w:ascii="Times New Roman" w:cs="Times New Roman" w:eastAsia="Times New Roman" w:hAnsi="Times New Roman"/>
          <w:sz w:val="18"/>
          <w:szCs w:val="18"/>
          <w:color w:val="auto"/>
        </w:rPr>
        <w:t>™, whose proprietary two-phase, direct-to-chip liquid cooling systems enable high-performance computing and rack density for data center and edge operators, announced today the successful raise of $24 million pursuant to a Series A funding round. The Series A funding round started in early 2024.</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investment is a testament to our team’s intense focus on operational innovation and technological ingenuity,” said Josh Claman, Accelsius’ CEO. “We believe that with AI’s rapid growth, we all must aim to make the surrounding infrastructure as efficient as possible. Liquid cooling is the future of data center cooling, and Accelsius is positioned to lead that future.”</w:t>
      </w:r>
    </w:p>
    <w:p>
      <w:pPr>
        <w:spacing w:after="0" w:line="17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Accelsius will use the funds to accelerate its plans for an international presence, continue to grow shipments and revenue in the U.S., and expand its professional teams across engineering, R&amp;D, sales, marketing, manufacturing and operations. The company, recently selected as one of Austin Business Journal’s 2024 Best Places to Work, already employs some of the industry’s brightest and best thermal scientists and enterprise-grade system engineers.</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Funding for this round has been provided from and privately raised by Innventure, Inc. (NASDAQ:INV), who founded Accelsius in June 2022. Innventure is a technology commercialization platform that founds, funds and supports the launch and scale of its companies with a focus on transformative technology solutions.</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“From its beginning, Accelsius has exhibited all the qualities of a market disruptor,” said Bill Haskell, CEO of Innventure. “We are proud to see all the great progress that Josh and his team have made to produce critical infrastructure required to support the massive growth in data centers and related markets. To go from founding to revenue generation in less than three years is truly impressive, and we couldn’t be more excited for Accelsius’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Addressing Rising Energy Costs with Unmatched Thermal Performance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worldwide AI boom has changed the equation for data center operators. For years, data centers remained relatively stable in their power consumption. But a ChatGPT query requires nearly 10 times as much electricity as a Google search, forcing operators to reckon with rapidly rising demand. </w:t>
      </w:r>
      <w:r>
        <w:rPr>
          <w:rFonts w:ascii="Times New Roman" w:cs="Times New Roman" w:eastAsia="Times New Roman" w:hAnsi="Times New Roman"/>
          <w:sz w:val="18"/>
          <w:szCs w:val="18"/>
          <w:u w:val="single" w:color="auto"/>
          <w:color w:val="auto"/>
        </w:rPr>
        <w:t>Goldman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Sachs Research</w:t>
      </w:r>
      <w:r>
        <w:rPr>
          <w:rFonts w:ascii="Times New Roman" w:cs="Times New Roman" w:eastAsia="Times New Roman" w:hAnsi="Times New Roman"/>
          <w:sz w:val="18"/>
          <w:szCs w:val="18"/>
          <w:color w:val="auto"/>
        </w:rPr>
        <w:t xml:space="preserve"> estimates that data center power demand will grow 160% by 2030.</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Accelsius’ NeuCool system addresses the cooling challenges of modern data centers by delivering substantial gains in efficiency and sustainability. Compared to conventional cooling methods, NeuCool offers an estimated 50% reduction in energy use and a remarkable 10 times rack power density improvement, all while eliminating water consumption. Tested to handle thermal loads exceeding 2,200 watts per server chip (CPU, GPU), NeuCool is optimally suited for the high-powered servers that drive AI, machine learning, high-performance computing and other computationally intensive workloads prevalent in today’s data centers.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Accelsius’ NeuCool two-phase direct-to-chip in-rack liquid cooling solution, email </w:t>
      </w:r>
      <w:r>
        <w:rPr>
          <w:rFonts w:ascii="Times New Roman" w:cs="Times New Roman" w:eastAsia="Times New Roman" w:hAnsi="Times New Roman"/>
          <w:sz w:val="18"/>
          <w:szCs w:val="18"/>
          <w:u w:val="single" w:color="auto"/>
          <w:color w:val="auto"/>
        </w:rPr>
        <w:t>info@accelsius.com</w:t>
      </w:r>
      <w:r>
        <w:rPr>
          <w:rFonts w:ascii="Times New Roman" w:cs="Times New Roman" w:eastAsia="Times New Roman" w:hAnsi="Times New Roman"/>
          <w:sz w:val="18"/>
          <w:szCs w:val="18"/>
          <w:color w:val="auto"/>
        </w:rPr>
        <w:t xml:space="preserve"> or visit </w:t>
      </w:r>
      <w:r>
        <w:rPr>
          <w:rFonts w:ascii="Times New Roman" w:cs="Times New Roman" w:eastAsia="Times New Roman" w:hAnsi="Times New Roman"/>
          <w:sz w:val="18"/>
          <w:szCs w:val="18"/>
          <w:u w:val="single" w:color="auto"/>
          <w:color w:val="auto"/>
        </w:rPr>
        <w:t>accelsius.com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Accelsius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Accelsius, founded by Innventure, Inc., empowers data center and edge operators to meet their business, financial and sustainability goals through next-generation cooling systems. The Accelsius NeuCool Platform delivers proprietary two-phase, direct-to-chip liquid cooling systems with best-in-class thermal efficiencies. NeuCool uses a sustainable, safe dielectric fluid and intelligent monitoring to provide a risk-free technology that scales from a single rack to an entire data center. NeuCool technology combined with Accelsius’ US-based manufacturing and robust professional services program gives data center operators the confidence to evolve cooling approaches while ensuring performance improvements and continued uptime. For more information, visit </w:t>
      </w:r>
      <w:r>
        <w:rPr>
          <w:rFonts w:ascii="Times New Roman" w:cs="Times New Roman" w:eastAsia="Times New Roman" w:hAnsi="Times New Roman"/>
          <w:sz w:val="18"/>
          <w:szCs w:val="18"/>
          <w:u w:val="single" w:color="auto"/>
          <w:color w:val="auto"/>
        </w:rPr>
        <w:t>www.accelsius.com</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LinkedIn: </w:t>
      </w:r>
      <w:r>
        <w:rPr>
          <w:rFonts w:ascii="Times New Roman" w:cs="Times New Roman" w:eastAsia="Times New Roman" w:hAnsi="Times New Roman"/>
          <w:sz w:val="18"/>
          <w:szCs w:val="18"/>
          <w:u w:val="single" w:color="auto"/>
          <w:color w:val="auto"/>
        </w:rPr>
        <w:t>https://www.linkedin.com/company/accelsius/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Innventure (NASDAQ:INV) founds, funds, and operates companies with a focus on transformative, sustainable technology solutions acquired or licensed from multinational corporations.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are all statements other than those of historical fact, and include statements regarding the management team’s expectations, hopes, beliefs, intentions, plans, prospects or strategies regarding the future, including revenue growth, product expansion and services, the results of operations and prospects of Accelsius.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and beliefs of the management of Accelsius in light of its experience and its perception of historical trends, current conditions and expected future developments and their potential effects on Accelsius, as well as other factors it believes are appropriate in the circumstances. There can be no assurance that future developments affecting Accelsius will be those that we have anticipated. These forward-looking statements involve a number of risks, uncertainties (some of which are beyond the control of Accelsius) or other assumptions that may cause actual results or performance to be materially different from those expressed or implied by these forward-looking statements, including those discussed and identified in the public statements made by Accelsius, and the following: (i) expectations regarding Accelsius’ strategies and future financial performance, including its future business plans, expansion and acquisition plans or objectives, prospective performance and opportunities and competitors, revenues, products and services, pricing, operating expenses, market trends, liquidity, cash flows and uses of cash, capital expenditures, and Accelsius’ ability to invest in growth initiatives; (ii) the implementation, market acceptance and success of Accelsius’ business model and growth strategy; (iii) Accelsius’ future capital requirements and sources and uses of cash; (iv) Accelsius’ ability to obtain funding for its operations and future growth; (v) developments and projections relating to Accelsius’ competitors and industry; (vi) Accelsius’ ability to meet, and to continue to meet, applicable regulatory requirements for the use of its products and the numerous regulatory requirements generally applicable to its products and facilities;</w:t>
      </w:r>
    </w:p>
    <w:p>
      <w:pPr>
        <w:spacing w:after="0" w:line="2" w:lineRule="exact"/>
        <w:rPr>
          <w:sz w:val="20"/>
          <w:szCs w:val="20"/>
          <w:color w:val="auto"/>
        </w:rPr>
      </w:pPr>
    </w:p>
    <w:p>
      <w:pPr>
        <w:ind w:right="80" w:firstLine="8"/>
        <w:spacing w:after="0" w:line="252" w:lineRule="auto"/>
        <w:tabs>
          <w:tab w:leader="none" w:pos="3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Accelsius to scale its operations; (viii) the market’s adoption, including customers and potential investors, of the viability and benefits of Accelsius’ cooling products; (ix) potential regulatory scrutiny of Accelsius’ cooling due to its use of working fluid refrigerants that contain fluorine; (x) Accelsius’ ability to sufficiently protect its intellectual property rights, and to avoid or resolve in a timely and cost-effective manner any disputes that may arise relating to its use of the intellectual property of third parties; (xi) the risk of a cyber-attack or a failure of Accelsius’ information technology and data security infrastructure; (xii) geopolitical risk and changes in applicable laws or regulations; (xiii) potential adverse effects of other economic, business, and/or competitive factors; and (xiii) operational risks.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press release are made as of the date hereof, based on information available to Accelsius as of the date hereof, and Accelsius assumes no obligation to update any forward-looking statement, whether as a result of new information, future events or otherwise, except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8460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Contacts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McKenzie Covell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accelsius@treblepr.com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Accelsius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2024-11-13T07:31:53Z</dcterms:created>
  <dcterms:modified xsi:type="dcterms:W3CDTF">2024-11-13T07:31:53Z</dcterms:modified>
</cp:coreProperties>
</file>