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11, 2025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Innventure, Inc.</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sectPr>
      </w:pPr>
    </w:p>
    <w:p>
      <w:pPr>
        <w:spacing w:after="0" w:line="24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001-42303</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93-4440048</w:t>
      </w:r>
    </w:p>
    <w:p>
      <w:pPr>
        <w:spacing w:after="0" w:line="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19" w:lineRule="exact"/>
        <w:rPr>
          <w:sz w:val="24"/>
          <w:szCs w:val="24"/>
          <w:color w:val="auto"/>
        </w:rPr>
      </w:pPr>
    </w:p>
    <w:p>
      <w:pPr>
        <w:sectPr>
          <w:pgSz w:w="11900" w:h="16838" w:orient="portrait"/>
          <w:cols w:equalWidth="0" w:num="3">
            <w:col w:w="4100" w:space="720"/>
            <w:col w:w="2640" w:space="720"/>
            <w:col w:w="3100"/>
          </w:cols>
          <w:pgMar w:left="300" w:top="1009" w:right="31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6900 Tavistock Lakes Blvd, Suite 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Orlando, Florida 32827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(321) 209-6787</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1"/>
        </w:trPr>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5"/>
                <w:szCs w:val="15"/>
                <w:color w:val="auto"/>
              </w:rPr>
            </w:pPr>
          </w:p>
        </w:tc>
        <w:tc>
          <w:tcPr>
            <w:tcW w:w="27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24"/>
        </w:trPr>
        <w:tc>
          <w:tcPr>
            <w:tcW w:w="3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160" w:type="dxa"/>
            <w:vAlign w:val="bottom"/>
          </w:tcPr>
          <w:p>
            <w:pPr>
              <w:spacing w:after="0"/>
              <w:rPr>
                <w:sz w:val="19"/>
                <w:szCs w:val="19"/>
                <w:color w:val="auto"/>
              </w:rPr>
            </w:pPr>
          </w:p>
        </w:tc>
        <w:tc>
          <w:tcPr>
            <w:tcW w:w="28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INV</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an emerging growth company as defined in Rule 12b-2 of the Exchange Act.</w:t>
      </w:r>
    </w:p>
    <w:p>
      <w:pPr>
        <w:spacing w:after="0" w:line="70" w:lineRule="exact"/>
        <w:rPr>
          <w:sz w:val="24"/>
          <w:szCs w:val="24"/>
          <w:color w:val="auto"/>
        </w:rPr>
      </w:pPr>
    </w:p>
    <w:p>
      <w:pPr>
        <w:spacing w:after="0" w:line="161" w:lineRule="exact"/>
        <w:tabs>
          <w:tab w:leader="none" w:pos="1780" w:val="left"/>
        </w:tabs>
        <w:rPr>
          <w:sz w:val="20"/>
          <w:szCs w:val="20"/>
          <w:color w:val="auto"/>
        </w:rPr>
      </w:pPr>
      <w:r>
        <w:rPr>
          <w:rFonts w:ascii="Times New Roman" w:cs="Times New Roman" w:eastAsia="Times New Roman" w:hAnsi="Times New Roman"/>
          <w:sz w:val="14"/>
          <w:szCs w:val="14"/>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 Regulation FD Disclosure</w:t>
      </w:r>
    </w:p>
    <w:p>
      <w:pPr>
        <w:spacing w:after="0" w:line="1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On March 11, 2025, Innventure, Inc. issued a press release, attached hereto as Exhibit 99.1 and incorporated herein by reference, announcing certain key developments for its majority-owned subsidiary, Accelsius.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r>
        <w:rPr>
          <w:rFonts w:ascii="Times New Roman" w:cs="Times New Roman" w:eastAsia="Times New Roman" w:hAnsi="Times New Roman"/>
          <w:sz w:val="14"/>
          <w:szCs w:val="14"/>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ectPr>
          <w:pgSz w:w="11900" w:h="16838" w:orient="portrait"/>
          <w:cols w:equalWidth="0" w:num="1">
            <w:col w:w="11280"/>
          </w:cols>
          <w:pgMar w:left="300" w:top="893" w:right="319" w:bottom="1440" w:gutter="0" w:footer="0" w:header="0"/>
        </w:sect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Exhibit Number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16"/>
          <w:szCs w:val="16"/>
          <w:b w:val="1"/>
          <w:bCs w:val="1"/>
          <w:color w:val="auto"/>
        </w:rPr>
        <w:t>Description of Exhibit</w:t>
      </w:r>
    </w:p>
    <w:p>
      <w:pPr>
        <w:spacing w:after="0" w:line="55" w:lineRule="exact"/>
        <w:rPr>
          <w:sz w:val="20"/>
          <w:szCs w:val="20"/>
          <w:color w:val="auto"/>
        </w:rPr>
      </w:pPr>
    </w:p>
    <w:p>
      <w:pPr>
        <w:sectPr>
          <w:pgSz w:w="11900" w:h="16838" w:orient="portrait"/>
          <w:cols w:equalWidth="0" w:num="2">
            <w:col w:w="4800" w:space="720"/>
            <w:col w:w="5760"/>
          </w:cols>
          <w:pgMar w:left="300" w:top="893" w:right="319" w:bottom="1440" w:gutter="0" w:footer="0" w:header="0"/>
          <w:type w:val="continuous"/>
        </w:sectPr>
      </w:pPr>
    </w:p>
    <w:p>
      <w:pPr>
        <w:ind w:left="640"/>
        <w:spacing w:after="0"/>
        <w:tabs>
          <w:tab w:leader="none" w:pos="15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color w:val="auto"/>
        </w:rPr>
        <w:t>Press Release by Innventure, Inc. dated March 11, 2025</w:t>
      </w:r>
    </w:p>
    <w:p>
      <w:pPr>
        <w:sectPr>
          <w:pgSz w:w="11900" w:h="16838" w:orient="portrait"/>
          <w:cols w:equalWidth="0" w:num="1">
            <w:col w:w="11280"/>
          </w:cols>
          <w:pgMar w:left="300" w:top="893" w:right="319" w:bottom="1440" w:gutter="0" w:footer="0" w:header="0"/>
          <w:type w:val="continuous"/>
        </w:sectPr>
      </w:pPr>
    </w:p>
    <w:p>
      <w:pPr>
        <w:spacing w:after="0" w:line="47" w:lineRule="exact"/>
        <w:rPr>
          <w:sz w:val="20"/>
          <w:szCs w:val="20"/>
          <w:color w:val="auto"/>
        </w:rPr>
      </w:pPr>
    </w:p>
    <w:p>
      <w:pPr>
        <w:ind w:left="1580" w:hanging="912"/>
        <w:spacing w:after="0"/>
        <w:tabs>
          <w:tab w:leader="none" w:pos="15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1143635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INNVENTURE, INC.</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Date: March 11, 2025</w:t>
            </w:r>
          </w:p>
        </w:tc>
        <w:tc>
          <w:tcPr>
            <w:tcW w:w="314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Yablunosky</w:t>
            </w: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31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color w:val="auto"/>
              </w:rPr>
              <w:t>Name:</w:t>
            </w: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140" w:type="dxa"/>
            <w:vAlign w:val="bottom"/>
            <w:vMerge w:val="continue"/>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Yablunosky</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314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88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2025-03-11T16:38:09Z</dcterms:created>
  <dcterms:modified xsi:type="dcterms:W3CDTF">2025-03-11T16:38:09Z</dcterms:modified>
</cp:coreProperties>
</file>