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333-291034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November 12,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INNVENTURE,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This prospectus supplement updates, amends and supplements the prospectus dated November 12, 2025 (the “Prospectus”), which forms a part of our Registration Statement on Form S-1 (Registration No. 333-291034) and is being filed </w:t>
      </w:r>
      <w:r>
        <w:rPr>
          <w:rFonts w:ascii="Times New Roman;serif" w:hAnsi="Times New Roman;serif"/>
          <w:b w:val="false"/>
          <w:color w:val="000000"/>
          <w:sz w:val="20"/>
          <w:shd w:fill="FFFFFF" w:val="clear"/>
        </w:rPr>
        <w:t>to update, amend and supplement the information included in the Prospectus with information contained in (i) our Current Report on Form 8-K filed with the Securities and Exchange Commission (the “SEC”) on January 14, 2026 and (ii) our Current Report on Form 8-K filed with the SEC on January 20, 2026 (collectively, the “Current Reports”). Accordingly, we have attached the Current Reports to this prospectus supplement.</w:t>
      </w:r>
      <w:r>
        <w:rPr>
          <w:color w:val="000000"/>
        </w:rPr>
        <w:t xml:space="preserve"> </w:t>
      </w:r>
      <w:r>
        <w:rPr>
          <w:rFonts w:ascii="Times New Roman;serif" w:hAnsi="Times New Roman;serif"/>
          <w:b w:val="false"/>
          <w:color w:val="000000"/>
          <w:sz w:val="20"/>
        </w:rPr>
        <w:t>Capitalized terms used in this prospectus supplement and not otherwise defined herein have the meanings specified in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of our common stock, par value $0.0001 per share (our “Common Stock”), are listed on The Nasdaq Stock Market, LLC under the symbol “INV.” On January 16, 2026, the closing price of our Common Stock was $3.75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Investing in our securities </w:t>
      </w:r>
      <w:r>
        <w:rPr>
          <w:rFonts w:ascii="Times New Roman;serif" w:hAnsi="Times New Roman;serif"/>
          <w:b/>
          <w:color w:val="000000"/>
          <w:sz w:val="20"/>
          <w:shd w:fill="FFFFFF" w:val="clear"/>
        </w:rPr>
        <w:t>involves risks that are described in the “Ri</w:t>
      </w:r>
      <w:r>
        <w:rPr>
          <w:rFonts w:ascii="Times New Roman;serif" w:hAnsi="Times New Roman;serif"/>
          <w:b/>
          <w:color w:val="000000"/>
          <w:sz w:val="20"/>
        </w:rPr>
        <w:t>sk Factors” section of the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supplement is January 20,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6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January 12, 2026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Innventure,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001-42303</w:t>
            </w:r>
          </w:p>
        </w:tc>
        <w:tc>
          <w:tcPr>
            <w:tcW w:w="28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6900 Tavistock Lakes Blvd, Suite 400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Orlando, Florida 32827</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4"/>
        </w:rPr>
        <w:t>(321) 209-6787</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822" w:type="dxa"/>
        <w:jc w:val="left"/>
        <w:tblInd w:w="0" w:type="dxa"/>
        <w:tblLayout w:type="fixed"/>
        <w:tblCellMar>
          <w:top w:w="28" w:type="dxa"/>
          <w:left w:w="28" w:type="dxa"/>
          <w:bottom w:w="28" w:type="dxa"/>
          <w:right w:w="28" w:type="dxa"/>
        </w:tblCellMar>
      </w:tblPr>
      <w:tblGrid>
        <w:gridCol w:w="124"/>
        <w:gridCol w:w="109"/>
        <w:gridCol w:w="109"/>
        <w:gridCol w:w="2777"/>
        <w:gridCol w:w="2777"/>
        <w:gridCol w:w="2782"/>
        <w:gridCol w:w="123"/>
        <w:gridCol w:w="123"/>
        <w:gridCol w:w="123"/>
        <w:gridCol w:w="123"/>
        <w:gridCol w:w="123"/>
        <w:gridCol w:w="123"/>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11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70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7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480"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074"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18"/>
        </w:rPr>
        <w:t>Item 1.01</w:t>
      </w:r>
      <w:r>
        <w:rPr>
          <w:color w:val="000000"/>
        </w:rPr>
        <w:t xml:space="preserve"> </w:t>
      </w:r>
      <w:r>
        <w:rPr>
          <w:rFonts w:ascii="Times New Roman;serif" w:hAnsi="Times New Roman;serif"/>
          <w:b/>
          <w:color w:val="000000"/>
          <w:sz w:val="18"/>
        </w:rPr>
        <w:t>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Securities Purchase Agreement</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18"/>
        </w:rPr>
      </w:pPr>
      <w:r>
        <w:rPr>
          <w:rFonts w:ascii="Times New Roman;serif" w:hAnsi="Times New Roman;serif"/>
          <w:b w:val="false"/>
          <w:color w:val="000000"/>
          <w:sz w:val="18"/>
        </w:rPr>
        <w:t>In connection with an SEC-registered public offering (the “Offering”) of 11,428,572 shares (the “Shares”) of the common stock, $0.0001 par value per share (the “Common Stock”), of Innventure, Inc. (the “Company”), on January 12, 2026, the Company entered into a Securities Purchase Agreement (the “Purchase Agreement”) with the purchasers party thereto (the “Purchasers”).</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18"/>
        </w:rPr>
      </w:pPr>
      <w:r>
        <w:rPr>
          <w:rFonts w:ascii="Times New Roman;serif" w:hAnsi="Times New Roman;serif"/>
          <w:b w:val="false"/>
          <w:color w:val="000000"/>
          <w:sz w:val="18"/>
        </w:rPr>
        <w:t>The Purchase Agreement contains customary representations and warranties and agreements of the Company and the Purchasers and customary indemnification rights and obligations of the parties. Pursuant to the Purchase Agreement, and subject to certain exceptions, the Company has agreed to certain restrictions on the issuance and sale of the Common Stock or Common Stock Equivalents (as defined in the Purchase Agreement) during the 30-day period following the closing of the Offering. In addition, the Company’s executive officers and directors entered into lock-up agreements in substantially the form included as an exhibit to the Purchase Agreement, providing for a 30-day “lock-up” period with respect to sales of Common Stock and Common Stock Equivalents, subject to certain exceptions.</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The Offering was made pursuant to the Company’s effective registration statement on Form S-3 (File No. 333-292427) (the “Registration Statement”), which was filed with the Securities and Exchange Commission (the “SEC”) on December 23, 2025 and declared effective by the SEC on January 9, 2026, as supplemented by a prospectus supplement, dated January 12, 2026, filed with the SEC on January 14,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Placement Agency Agreement</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On January 12, 2026, the Company entered into a placement agency agreement (the “Placement Agency Agreement”) with Titan Partners Group LLC, a division of American Capital Partners, LLC (the “Placement Agent”), as the sole placement agent in connection with the Offering. The Offering was conducted on a reasonable "best efforts" basis and closed on January 14, 2026.</w:t>
      </w:r>
    </w:p>
    <w:p>
      <w:pPr>
        <w:pStyle w:val="TextBody"/>
        <w:bidi w:val="0"/>
        <w:spacing w:before="0" w:after="0"/>
        <w:jc w:val="left"/>
        <w:rPr/>
      </w:pPr>
      <w:r>
        <w:rPr/>
      </w:r>
    </w:p>
    <w:p>
      <w:pPr>
        <w:pStyle w:val="TextBody"/>
        <w:bidi w:val="0"/>
        <w:spacing w:lineRule="auto" w:line="254"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agreed to pay the Placement Agent a fee in cash equal to 7.0% of the aggregate proceeds from the sale of the Shares to the Purchasers. The Company also agreed to reimburse the Placement Agent for all reasonable and documented out-of-pocket expenses, including the accountable fees of counsel, not to exceed $100,000. The Placement Agency Agreement contains customary representations, warranties, indemnification and other provisions customary for transactions of this nature. Pursuant to the Purchase Agreement and subject to certain exceptions, the Company has agreed to certain restrictions on the issuance and sale of the Common Stock or Common Stock Equivalents (as defined in the Purchase Agreement) during the 30-day period following the closing of the Offering.</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The foregoing descriptions of the Placement Agency Agreement and the Purchase Agreement are qualified in their entirety by reference to the full text of the Placement Agency Agreement and the Purchase Agreement, copies of which are filed as Exhibits 1.01 and 10.1, respectively, to this Current Report on Form 8-K and are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 copy of the opinion of Jones Day relating to the validity of the Shares is attached as Exhibit 5.1 hereto.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18"/>
        </w:rPr>
        <w:t>Item 7.01</w:t>
      </w:r>
      <w:r>
        <w:rPr>
          <w:color w:val="000000"/>
        </w:rPr>
        <w:t xml:space="preserve"> </w:t>
      </w:r>
      <w:r>
        <w:rPr>
          <w:rFonts w:ascii="Times New Roman;serif" w:hAnsi="Times New Roman;serif"/>
          <w:b/>
          <w:color w:val="000000"/>
          <w:sz w:val="18"/>
        </w:rPr>
        <w:t>Regulation FD Disclosure.</w:t>
      </w:r>
    </w:p>
    <w:p>
      <w:pPr>
        <w:pStyle w:val="TextBody"/>
        <w:bidi w:val="0"/>
        <w:spacing w:before="0" w:after="0"/>
        <w:jc w:val="left"/>
        <w:rPr/>
      </w:pPr>
      <w:r>
        <w:rPr/>
      </w:r>
    </w:p>
    <w:p>
      <w:pPr>
        <w:pStyle w:val="TextBody"/>
        <w:bidi w:val="0"/>
        <w:spacing w:lineRule="auto" w:line="280" w:before="0" w:after="0"/>
        <w:jc w:val="both"/>
        <w:rPr>
          <w:rFonts w:ascii="Times New Roman;serif" w:hAnsi="Times New Roman;serif"/>
          <w:b w:val="false"/>
          <w:color w:val="000000"/>
          <w:sz w:val="18"/>
        </w:rPr>
      </w:pPr>
      <w:r>
        <w:rPr>
          <w:rFonts w:ascii="Times New Roman;serif" w:hAnsi="Times New Roman;serif"/>
          <w:b w:val="false"/>
          <w:color w:val="000000"/>
          <w:sz w:val="18"/>
        </w:rPr>
        <w:t>On January 12, 2026, the Company issued a press release announcing the pricing of the Offering. A copy of the press release is attached hereto as Exhibit 99.1 and is incorporated by reference herein.</w:t>
      </w:r>
    </w:p>
    <w:p>
      <w:pPr>
        <w:pStyle w:val="TextBody"/>
        <w:bidi w:val="0"/>
        <w:spacing w:before="0" w:after="0"/>
        <w:jc w:val="left"/>
        <w:rPr/>
      </w:pPr>
      <w:r>
        <w:rPr/>
      </w:r>
    </w:p>
    <w:p>
      <w:pPr>
        <w:pStyle w:val="TextBody"/>
        <w:bidi w:val="0"/>
        <w:spacing w:lineRule="auto" w:line="280" w:before="0" w:after="0"/>
        <w:jc w:val="both"/>
        <w:rPr>
          <w:rFonts w:ascii="Times New Roman;serif" w:hAnsi="Times New Roman;serif"/>
          <w:b w:val="false"/>
          <w:color w:val="000000"/>
          <w:sz w:val="18"/>
        </w:rPr>
      </w:pPr>
      <w:r>
        <w:rPr>
          <w:rFonts w:ascii="Times New Roman;serif" w:hAnsi="Times New Roman;serif"/>
          <w:b w:val="false"/>
          <w:color w:val="000000"/>
          <w:sz w:val="18"/>
        </w:rPr>
        <w:t>On January 14, 2026, the Company issued a press release announcing the closing of the Offering. A copy of the press release is attached hereto as Exhibit 99.2 and is incorporated by reference herein.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18"/>
        </w:rPr>
        <w:t>Item 9.01</w:t>
      </w:r>
      <w:r>
        <w:rPr>
          <w:color w:val="000000"/>
        </w:rPr>
        <w:t xml:space="preserve"> </w:t>
      </w:r>
      <w:r>
        <w:rPr>
          <w:rFonts w:ascii="Times New Roman;serif" w:hAnsi="Times New Roman;serif"/>
          <w:b/>
          <w:color w:val="000000"/>
          <w:sz w:val="17"/>
        </w:rPr>
        <w:t>Financial Statements and Exhibits.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 Exhibits</w:t>
      </w:r>
    </w:p>
    <w:tbl>
      <w:tblPr>
        <w:tblW w:w="10205" w:type="dxa"/>
        <w:jc w:val="left"/>
        <w:tblInd w:w="0" w:type="dxa"/>
        <w:tblLayout w:type="fixed"/>
        <w:tblCellMar>
          <w:top w:w="28" w:type="dxa"/>
          <w:left w:w="28" w:type="dxa"/>
          <w:bottom w:w="28" w:type="dxa"/>
          <w:right w:w="28" w:type="dxa"/>
        </w:tblCellMar>
      </w:tblPr>
      <w:tblGrid>
        <w:gridCol w:w="328"/>
        <w:gridCol w:w="289"/>
        <w:gridCol w:w="290"/>
        <w:gridCol w:w="2718"/>
        <w:gridCol w:w="2718"/>
        <w:gridCol w:w="3862"/>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62"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Exhibit</w:t>
            </w:r>
          </w:p>
          <w:p>
            <w:pPr>
              <w:pStyle w:val="TableContents"/>
              <w:bidi w:val="0"/>
              <w:spacing w:lineRule="auto" w:line="268" w:before="0" w:after="0"/>
              <w:ind w:left="0" w:right="0" w:firstLine="160"/>
              <w:jc w:val="center"/>
              <w:rPr/>
            </w:pPr>
            <w:r>
              <w:rPr>
                <w:rFonts w:ascii="Times New Roman;serif" w:hAnsi="Times New Roman;serif"/>
                <w:b w:val="false"/>
                <w:color w:val="000000"/>
                <w:sz w:val="16"/>
                <w:u w:val="single"/>
              </w:rPr>
              <w:t>Number</w:t>
            </w:r>
            <w:r>
              <w:rPr>
                <w:color w:val="000000"/>
              </w:rPr>
              <w:t xml:space="preserve"> </w:t>
            </w:r>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Description</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16"/>
                  <w:u w:val="single"/>
                </w:rPr>
                <w:t>1.1</w:t>
              </w:r>
            </w:hyperlink>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Placement Agency Agreement, dated as of January 12, 2026, by and between Innventure, Inc. and Titan Partners Group LLC</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16"/>
                  <w:u w:val="single"/>
                </w:rPr>
                <w:t>5.1</w:t>
              </w:r>
            </w:hyperlink>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Opinion of Jones Day</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6"/>
                  <w:u w:val="single"/>
                </w:rPr>
                <w:t>10.1</w:t>
              </w:r>
            </w:hyperlink>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Securities Purchase Agreement, dated as of January 12, 2026, by and among Innventure, Inc. and the purchasers party thereto</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6"/>
                  <w:u w:val="single"/>
                </w:rPr>
                <w:t>23.1</w:t>
              </w:r>
            </w:hyperlink>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Consent of Jones Day (included in Exhibit 5.1)</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16"/>
                  <w:u w:val="single"/>
                </w:rPr>
                <w:t>99.1</w:t>
              </w:r>
            </w:hyperlink>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Press Release, dated January 12, 2026</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6"/>
                  <w:u w:val="single"/>
                </w:rPr>
                <w:t>99.2</w:t>
              </w:r>
            </w:hyperlink>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Press Release, dated January 14, 2026</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(embedded within the Inline XBRL document)</w:t>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280" w:before="0" w:after="0"/>
        <w:ind w:left="0" w:right="0" w:firstLine="648"/>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5002" w:type="dxa"/>
        <w:jc w:val="left"/>
        <w:tblInd w:w="0" w:type="dxa"/>
        <w:tblLayout w:type="fixed"/>
        <w:tblCellMar>
          <w:top w:w="28" w:type="dxa"/>
          <w:left w:w="28" w:type="dxa"/>
          <w:bottom w:w="28" w:type="dxa"/>
          <w:right w:w="28" w:type="dxa"/>
        </w:tblCellMar>
      </w:tblPr>
      <w:tblGrid>
        <w:gridCol w:w="759"/>
        <w:gridCol w:w="667"/>
        <w:gridCol w:w="673"/>
        <w:gridCol w:w="298"/>
        <w:gridCol w:w="298"/>
        <w:gridCol w:w="298"/>
        <w:gridCol w:w="584"/>
        <w:gridCol w:w="584"/>
        <w:gridCol w:w="841"/>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Dated: January 14, 2026</w:t>
            </w:r>
          </w:p>
        </w:tc>
        <w:tc>
          <w:tcPr>
            <w:tcW w:w="2903"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56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6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January 16, 2026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Innventure,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left"/>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001-42303</w:t>
            </w:r>
          </w:p>
        </w:tc>
        <w:tc>
          <w:tcPr>
            <w:tcW w:w="28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93-4440048</w:t>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6900 Tavistock Lakes Blvd, Suite 400 </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Orlando, Florida 32827</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4"/>
        </w:rPr>
        <w:t>(321) 209-6787</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822" w:type="dxa"/>
        <w:jc w:val="left"/>
        <w:tblInd w:w="0" w:type="dxa"/>
        <w:tblLayout w:type="fixed"/>
        <w:tblCellMar>
          <w:top w:w="28" w:type="dxa"/>
          <w:left w:w="28" w:type="dxa"/>
          <w:bottom w:w="28" w:type="dxa"/>
          <w:right w:w="28" w:type="dxa"/>
        </w:tblCellMar>
      </w:tblPr>
      <w:tblGrid>
        <w:gridCol w:w="124"/>
        <w:gridCol w:w="109"/>
        <w:gridCol w:w="109"/>
        <w:gridCol w:w="2777"/>
        <w:gridCol w:w="2777"/>
        <w:gridCol w:w="2782"/>
        <w:gridCol w:w="123"/>
        <w:gridCol w:w="123"/>
        <w:gridCol w:w="123"/>
        <w:gridCol w:w="123"/>
        <w:gridCol w:w="123"/>
        <w:gridCol w:w="123"/>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11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70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7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480"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074"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INV</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15, 2026, Joshua Claman, Chief Executive Officer of Accelsius Holdings LLC (“Accelsius”), a subsidiary of Innventure, Inc. (the “Company”), participated in a live audio interview via Twitter Spaces hosted by Greg Reyes. A copy of the transcript (edited for clarification and readability, the “Transcript”) of the interview is furnished as Exhibit 99.1 and is hereby incorporated by reference. The Transcript will also be available on the “News &amp; Events: Presentations” page of Innventure’s website: https://ir.innventure.com/news-events/presentations.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Cautionary Statement Regarding 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statements in the Transcript are “forward-looking statements” within the meaning of the federal securities laws, including Section 27A of the Securities Act of 1933, as amended, and Section 21E of the Securities Exchange Act of 1934, as amended. Forward-looking statements may include, but are not limited to, statements about the Company’s business model, the financial condition, results of operations, earnings outlook and the prospects for AeroFlexx, LLC (“AeroFlexx” or “AFX”), Accelsius and Refinity Olefins, LLC (“Refinity” and, together with AeroFlexx and Accelsius, the “Innventure Companies” and, together with those subsidiary companies that the Company may found, fund, and operate going forward, the “Operating Companies”).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forward-looking statements are based on the current assumptions and expectations of future events that are inherently subject to uncertainties and changes in circumstances and their potential effects and speak only as of the date of the Transcript.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(b) the Company’s and its subsidiaries’ ability to invest in growth initiatives; (c) the implementation, market acceptance and success of the Company’s and its subsidiaries’ business models and growth strategies; (d) the Company’s and its subsidiaries’ future capital requirements and sources and uses of cash; (e) the Company’s ability to maintain control over its subsidiaries, (f) the Company’s access to funds under a Standby Equity Purchase Agreement due to certain conditions, restrictions and limitations set forth therein and in other agreements; (g) certain restrictions and limitations set forth in the Company’s debt instruments, which may impair the Company’s financial and operating flexibility; (h) the Company’s and its subsidiaries’ ability to generate liquidity and maintain sufficient capital to operate as anticipated; (i) the Company’s and its subsidiaries’ ability to obtain funding for their operations and future growth and to continue as going concerns; (j) the risk that the technology solutions that the Company and its subsidiaries license or acquire from third parties or develop internally may not function as anticipated or provide the benefits anticipated; (k) developments and projections relating to the Company’s and its subsidiaries’ competitors and industry; (l) the ability of the Company and its subsidiaries to scale the operations of their respective businesses; (m) the ability of the Company and its subsidiaries to establish substantial commercial sales of their products; (n) the ability of the Company and its subsidiaries to compete against companies with greater capital and other resources or superior technology or products; (o) the Company and its subsidiaries’ ability to meet, and to continue to meet, applicable regulatory requirements for the use of their respective products and the numerous regulatory requirements generally applicable to their businesses; (p) the outcome of any legal proceedings against the Company or its subsidiaries; (q)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(r) the risk that the launch of new companies distracts the Company’s management from its and its other subsidiaries’ operations; (s) the risk that the Company may be deemed an investment company under the Investment Company Act, which would impose burdensome compliance requirements and restrictions on its activities; (t) the ability of the Company and its subsidiaries to sufficiently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protect their intellectual property rights and to avoid or resolve in a timely and cost-effective manner any disputes that may arise relating to its use of the intellectual property of third parties; (u) the risk of a cyber-attack or a failure of the Company’s or its subsidiaries’ information technology and data security infrastructure; (v) geopolitical risk and changes in applicable laws or regulations; (w) potential adverse effects of other economic, business, and/or competitive factors; (x) operational risks related to the Company and its subsidiaries that have limited or no operating history; and (y) limited liquidity and trading of the Company’s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Except to the extent required by applicable law or regulation, the Company undertakes no obligation to update statements to reflect events or circumstances after the date of the Transcript or to reflect the occurrence of unanticipated events. </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tbl>
      <w:tblPr>
        <w:tblW w:w="7410" w:type="dxa"/>
        <w:jc w:val="left"/>
        <w:tblInd w:w="0" w:type="dxa"/>
        <w:tblLayout w:type="fixed"/>
        <w:tblCellMar>
          <w:top w:w="28" w:type="dxa"/>
          <w:left w:w="28" w:type="dxa"/>
          <w:bottom w:w="28" w:type="dxa"/>
          <w:right w:w="28" w:type="dxa"/>
        </w:tblCellMar>
      </w:tblPr>
      <w:tblGrid>
        <w:gridCol w:w="277"/>
        <w:gridCol w:w="244"/>
        <w:gridCol w:w="245"/>
        <w:gridCol w:w="1946"/>
        <w:gridCol w:w="1946"/>
        <w:gridCol w:w="275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p>
            <w:pPr>
              <w:pStyle w:val="TableContents"/>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80"/>
              <w:jc w:val="right"/>
              <w:rPr/>
            </w:pPr>
            <w:hyperlink r:id="rId8">
              <w:r>
                <w:rPr>
                  <w:rStyle w:val="InternetLink"/>
                  <w:rFonts w:ascii="Times New Roman;serif" w:hAnsi="Times New Roman;serif"/>
                  <w:b w:val="false"/>
                  <w:strike w:val="false"/>
                  <w:dstrike w:val="false"/>
                  <w:color w:val="0000FF"/>
                  <w:sz w:val="20"/>
                  <w:u w:val="none"/>
                  <w:effect w:val="none"/>
                </w:rPr>
                <w:t>99.1</w:t>
              </w:r>
            </w:hyperlink>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Transcript of live audio interview given by Joshua Claman on January 15, 2026.</w:t>
            </w:r>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tbl>
      <w:tblPr>
        <w:tblW w:w="5002" w:type="dxa"/>
        <w:jc w:val="left"/>
        <w:tblInd w:w="0" w:type="dxa"/>
        <w:tblLayout w:type="fixed"/>
        <w:tblCellMar>
          <w:top w:w="28" w:type="dxa"/>
          <w:left w:w="28" w:type="dxa"/>
          <w:bottom w:w="28" w:type="dxa"/>
          <w:right w:w="28" w:type="dxa"/>
        </w:tblCellMar>
      </w:tblPr>
      <w:tblGrid>
        <w:gridCol w:w="759"/>
        <w:gridCol w:w="667"/>
        <w:gridCol w:w="673"/>
        <w:gridCol w:w="298"/>
        <w:gridCol w:w="298"/>
        <w:gridCol w:w="298"/>
        <w:gridCol w:w="584"/>
        <w:gridCol w:w="584"/>
        <w:gridCol w:w="841"/>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Dated: January 16, 2026</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INNVENTURE,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1557/000114036126001214/ef20063014_ex1-1.htm" TargetMode="External"/><Relationship Id="rId3" Type="http://schemas.openxmlformats.org/officeDocument/2006/relationships/hyperlink" Target="https://www.sec.gov/Archives/edgar/data/2001557/000114036126001214/ef20063014_ex5-1.htm" TargetMode="External"/><Relationship Id="rId4" Type="http://schemas.openxmlformats.org/officeDocument/2006/relationships/hyperlink" Target="https://www.sec.gov/Archives/edgar/data/2001557/000114036126001214/ef20063014_ex10-1.htm" TargetMode="External"/><Relationship Id="rId5" Type="http://schemas.openxmlformats.org/officeDocument/2006/relationships/hyperlink" Target="https://www.sec.gov/Archives/edgar/data/2001557/000114036126001214/ef20063014_ex5-1.htm" TargetMode="External"/><Relationship Id="rId6" Type="http://schemas.openxmlformats.org/officeDocument/2006/relationships/hyperlink" Target="https://www.sec.gov/Archives/edgar/data/2001557/000114036126001214/ef20063014_ex99-1.htm" TargetMode="External"/><Relationship Id="rId7" Type="http://schemas.openxmlformats.org/officeDocument/2006/relationships/hyperlink" Target="https://www.sec.gov/Archives/edgar/data/2001557/000114036126001214/ef20063014_ex99-2.htm" TargetMode="External"/><Relationship Id="rId8" Type="http://schemas.openxmlformats.org/officeDocument/2006/relationships/hyperlink" Target="https://www.sec.gov/Archives/edgar/data/2001557/000114036126001545/ef20063380_ex99-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2742</Words>
  <Characters>15592</Characters>
  <CharactersWithSpaces>18195</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