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333-286558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9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April 23,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This prospectus supplement updates, amends and supplements the prospectus dated April 23, 2025 (the “Prospectus”), which forms a part of our Registration Statement on Form S-1 (Registration No. 333-286558) and is being filed </w:t>
      </w:r>
      <w:r>
        <w:rPr>
          <w:rFonts w:ascii="Times New Roman;serif" w:hAnsi="Times New Roman;serif"/>
          <w:b w:val="false"/>
          <w:color w:val="000000"/>
          <w:sz w:val="20"/>
          <w:shd w:fill="FFFFFF" w:val="clear"/>
        </w:rPr>
        <w:t>to update, amend and supplement the information included in the Prospectus with information contained in our Quarterly Report on Form 10-Q, which was filed with the Securities and Exchange Commission (the “SEC”) on November 13, 2025 (the “Quarterly Report”), and our Current Report on Form 8-K, which was filed with the SEC on November 12, 2025 (the “Current Report”). Accordingly, we have attached each of the Quarterly Report and the Current Report to this prospectus supplement.</w:t>
      </w:r>
      <w:r>
        <w:rPr>
          <w:color w:val="000000"/>
        </w:rPr>
        <w:t xml:space="preserve"> </w:t>
      </w:r>
      <w:r>
        <w:rPr>
          <w:rFonts w:ascii="Times New Roman;serif" w:hAnsi="Times New Roman;serif"/>
          <w:b w:val="false"/>
          <w:color w:val="000000"/>
          <w:sz w:val="20"/>
        </w:rPr>
        <w:t>Capitalized terms used in this prospectus supplement and not otherwise defined herein have the meanings specified in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of our common stock, par value $0.0001 per share (our “Common Stock”), are listed on The Nasdaq Stock Market, LLC under the symbol “INV.” On November 13, 2025, the closing price of our Common Stock was $3.69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Investing in our securities </w:t>
      </w:r>
      <w:r>
        <w:rPr>
          <w:rFonts w:ascii="Times New Roman;serif" w:hAnsi="Times New Roman;serif"/>
          <w:b/>
          <w:color w:val="000000"/>
          <w:sz w:val="20"/>
          <w:shd w:fill="FFFFFF" w:val="clear"/>
        </w:rPr>
        <w:t>involves risks that are described in the “Ri</w:t>
      </w:r>
      <w:r>
        <w:rPr>
          <w:rFonts w:ascii="Times New Roman;serif" w:hAnsi="Times New Roman;serif"/>
          <w:b/>
          <w:color w:val="000000"/>
          <w:sz w:val="20"/>
        </w:rPr>
        <w:t>sk Factors” section of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November 14,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November 12, 2025, the registrant had 62,471,971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53" w:type="dxa"/>
        <w:jc w:val="left"/>
        <w:tblInd w:w="0" w:type="dxa"/>
        <w:tblLayout w:type="fixed"/>
        <w:tblCellMar>
          <w:top w:w="28" w:type="dxa"/>
          <w:left w:w="28" w:type="dxa"/>
          <w:bottom w:w="28" w:type="dxa"/>
          <w:right w:w="28" w:type="dxa"/>
        </w:tblCellMar>
      </w:tblPr>
      <w:tblGrid>
        <w:gridCol w:w="500"/>
        <w:gridCol w:w="439"/>
        <w:gridCol w:w="439"/>
        <w:gridCol w:w="2447"/>
        <w:gridCol w:w="2447"/>
        <w:gridCol w:w="2471"/>
        <w:gridCol w:w="236"/>
        <w:gridCol w:w="236"/>
        <w:gridCol w:w="33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6">
              <w:r>
                <w:rPr>
                  <w:rStyle w:val="InternetLink"/>
                  <w:rFonts w:ascii="Times New Roman;serif" w:hAnsi="Times New Roman;serif"/>
                  <w:b w:val="false"/>
                  <w:strike w:val="false"/>
                  <w:dstrike w:val="false"/>
                  <w:color w:val="000000"/>
                  <w:sz w:val="20"/>
                  <w:u w:val="none"/>
                  <w:effect w:val="none"/>
                </w:rPr>
                <w:t>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88">
              <w:r>
                <w:rPr>
                  <w:rStyle w:val="InternetLink"/>
                  <w:rFonts w:ascii="Times New Roman;serif" w:hAnsi="Times New Roman;serif"/>
                  <w:b w:val="false"/>
                  <w:strike w:val="false"/>
                  <w:dstrike w:val="false"/>
                  <w:color w:val="000000"/>
                  <w:sz w:val="20"/>
                  <w:u w:val="none"/>
                  <w:effect w:val="none"/>
                </w:rPr>
                <w:t>40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09">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2">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Other Information</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24">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1</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8">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1">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88">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2</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4">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7">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0">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3">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6</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00"/>
                  <w:sz w:val="20"/>
                  <w:u w:val="none"/>
                  <w:effect w:val="none"/>
                </w:rPr>
                <w:t>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9">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42">
              <w:r>
                <w:rPr>
                  <w:rStyle w:val="InternetLink"/>
                  <w:rFonts w:ascii="Times New Roman;serif" w:hAnsi="Times New Roman;serif"/>
                  <w:b w:val="false"/>
                  <w:strike w:val="false"/>
                  <w:dstrike w:val="false"/>
                  <w:color w:val="000000"/>
                  <w:sz w:val="20"/>
                  <w:u w:val="none"/>
                  <w:effect w:val="none"/>
                </w:rPr>
                <w:t>Signatures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42">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on Form 10-Q (“Form 10-Q”) to “Innventure,” the “Company,” “we,” “our” or “us” refer to Innventure, Inc. and its consolidated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implementation, market acceptance and success of Innventure’s and the Innventure Companies’ business models and growth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sustained unfavorable economic or other conditions which could cause the need for Innventure to evaluate and potentially record additional impairment charges for all, or a portion of, its goodwill and other intangible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Innventure’s future capital requirements and sources and uses of cash, including: (i) Innventure’s ability to obtain funding for its operations and future growth; and (ii) Innventure’s ability to continue as a going concern;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meet the various conditions imposed by, and to satisfy its obligations to, the WTI Lenders (as defined below), under the WTI Facility (as defined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Innventure’s access to funds under the Standby Equity Purchase Agreement (the “SEPA”) with YA II PN, Ltd. (“Yorkville”), including ownership limitations, issuances and subscriptions based on trading volumes, </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Innventure’s ability to continue to access the funds available under the SEPA due to certain conditions, restrictions and limitations set forth therein and in the Existing Purchase Agreement (as defined below) and the Securities Purchase Agreement (together, the “Purchase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restrictions and limitations set forth in Innventure’s debt instruments, which may impair Innventure’s financial and operating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generate liquidity and maintain sufficient capital to operate as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obtain funding for their operations, future growth and to continue as going concerns;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and projections relating to Innventure’s and the Innventure Companies’ competitors and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launch of new companies distracts Innventure’s management from its subsidiaries and their respective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sufficiently protect the intellectual property (“IP”) rights of itself and its Operating Companies, and to avoid or resolve in a timely and cost-effective manner any disputes that may arise relating to its use of the IP of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limited liquidity and trading of Innventure’s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21"/>
        <w:gridCol w:w="2218"/>
        <w:gridCol w:w="2246"/>
        <w:gridCol w:w="305"/>
        <w:gridCol w:w="1090"/>
        <w:gridCol w:w="183"/>
        <w:gridCol w:w="109"/>
        <w:gridCol w:w="109"/>
        <w:gridCol w:w="109"/>
        <w:gridCol w:w="192"/>
        <w:gridCol w:w="687"/>
        <w:gridCol w:w="336"/>
      </w:tblGrid>
      <w:tr>
        <w:trPr/>
        <w:tc>
          <w:tcPr>
            <w:tcW w:w="262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4,536 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32,250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24,286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28,734 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165,941 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182,153 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667,936 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notes payable - current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Embedded derivative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34,023 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82,477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69,347</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13,654 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notes,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14,752 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149,936</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138,996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16)</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33,144 and 1,102,000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150,000 and — shares issued and outstanding as of September 30, 2025 and December 31, 2024, respectively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56,220,158 and 44,597,154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525,615 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502,865 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Accumulated other comprehensive (loss) gain </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(333,844)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190,769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425,516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215,810 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406,579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766,293</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and Stockholders' Equity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157"/>
        <w:gridCol w:w="765"/>
        <w:gridCol w:w="779"/>
        <w:gridCol w:w="337"/>
        <w:gridCol w:w="904"/>
        <w:gridCol w:w="143"/>
        <w:gridCol w:w="109"/>
        <w:gridCol w:w="109"/>
        <w:gridCol w:w="109"/>
        <w:gridCol w:w="109"/>
        <w:gridCol w:w="109"/>
        <w:gridCol w:w="109"/>
        <w:gridCol w:w="361"/>
        <w:gridCol w:w="903"/>
        <w:gridCol w:w="173"/>
        <w:gridCol w:w="109"/>
        <w:gridCol w:w="109"/>
        <w:gridCol w:w="109"/>
        <w:gridCol w:w="260"/>
        <w:gridCol w:w="986"/>
        <w:gridCol w:w="138"/>
        <w:gridCol w:w="109"/>
        <w:gridCol w:w="109"/>
        <w:gridCol w:w="109"/>
        <w:gridCol w:w="109"/>
        <w:gridCol w:w="109"/>
        <w:gridCol w:w="109"/>
        <w:gridCol w:w="320"/>
        <w:gridCol w:w="842"/>
        <w:gridCol w:w="502"/>
      </w:tblGrid>
      <w:tr>
        <w:trPr/>
        <w:tc>
          <w:tcPr>
            <w:tcW w:w="11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764</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25,323 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5,978 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29,739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13,991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434,211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36,256</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(29,205)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(13,674)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(432,977)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(35,492)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investments – due to related parties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conversion of promissory notes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Non-operating (Expense) Income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(9,133)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6,033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9,011</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(38,338)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(436,906)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(34,735)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(429,684)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Attributable to Innventure, Inc. Stockholders / Innventure LLC Unitholders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(28,332)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(2,211)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(255,556)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(14,719)</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55,846,721 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51,583,853 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 for sale debt securities - related party</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realized gain on conversion of available for sale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(34,454)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(10,014)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(431,601)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(28,854)</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Innventure, Inc. Stockholders / Innventure LLC Unitholders</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(28,051)</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(4,584)</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(257,473)</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(17,092)</w:t>
            </w:r>
          </w:p>
        </w:tc>
        <w:tc>
          <w:tcPr>
            <w:tcW w:w="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Unitholders' Deficit (Predecessor)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1056" w:type="dxa"/>
        <w:jc w:val="left"/>
        <w:tblInd w:w="0" w:type="dxa"/>
        <w:tblLayout w:type="fixed"/>
        <w:tblCellMar>
          <w:top w:w="28" w:type="dxa"/>
          <w:left w:w="28" w:type="dxa"/>
          <w:bottom w:w="28" w:type="dxa"/>
          <w:right w:w="28" w:type="dxa"/>
        </w:tblCellMar>
      </w:tblPr>
      <w:tblGrid>
        <w:gridCol w:w="564"/>
        <w:gridCol w:w="383"/>
        <w:gridCol w:w="26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213"/>
        <w:gridCol w:w="719"/>
        <w:gridCol w:w="119"/>
        <w:gridCol w:w="109"/>
        <w:gridCol w:w="109"/>
        <w:gridCol w:w="109"/>
        <w:gridCol w:w="235"/>
        <w:gridCol w:w="685"/>
        <w:gridCol w:w="131"/>
        <w:gridCol w:w="264"/>
        <w:gridCol w:w="893"/>
        <w:gridCol w:w="149"/>
        <w:gridCol w:w="109"/>
        <w:gridCol w:w="109"/>
        <w:gridCol w:w="109"/>
        <w:gridCol w:w="196"/>
        <w:gridCol w:w="66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B-1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OCI</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(Deficit)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December 31, 2023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(64,284)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1,559</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45,688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(73,918)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11,543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(10,519)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(81,568)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15,113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51,683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981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(90,952)</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13,080</w:t>
            </w:r>
            <w:r>
              <w:rPr>
                <w:color w:val="000000"/>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(22,308)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 (Deficit) (Successor)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5192" w:type="dxa"/>
        <w:jc w:val="left"/>
        <w:tblInd w:w="0" w:type="dxa"/>
        <w:tblLayout w:type="fixed"/>
        <w:tblCellMar>
          <w:top w:w="28" w:type="dxa"/>
          <w:left w:w="28" w:type="dxa"/>
          <w:bottom w:w="28" w:type="dxa"/>
          <w:right w:w="28" w:type="dxa"/>
        </w:tblCellMar>
      </w:tblPr>
      <w:tblGrid>
        <w:gridCol w:w="470"/>
        <w:gridCol w:w="215"/>
        <w:gridCol w:w="216"/>
        <w:gridCol w:w="323"/>
        <w:gridCol w:w="323"/>
        <w:gridCol w:w="151"/>
        <w:gridCol w:w="109"/>
        <w:gridCol w:w="109"/>
        <w:gridCol w:w="109"/>
        <w:gridCol w:w="166"/>
        <w:gridCol w:w="406"/>
        <w:gridCol w:w="109"/>
        <w:gridCol w:w="109"/>
        <w:gridCol w:w="109"/>
        <w:gridCol w:w="109"/>
        <w:gridCol w:w="278"/>
        <w:gridCol w:w="278"/>
        <w:gridCol w:w="151"/>
        <w:gridCol w:w="109"/>
        <w:gridCol w:w="109"/>
        <w:gridCol w:w="109"/>
        <w:gridCol w:w="166"/>
        <w:gridCol w:w="406"/>
        <w:gridCol w:w="109"/>
        <w:gridCol w:w="109"/>
        <w:gridCol w:w="109"/>
        <w:gridCol w:w="109"/>
        <w:gridCol w:w="353"/>
        <w:gridCol w:w="353"/>
        <w:gridCol w:w="151"/>
        <w:gridCol w:w="109"/>
        <w:gridCol w:w="109"/>
        <w:gridCol w:w="109"/>
        <w:gridCol w:w="174"/>
        <w:gridCol w:w="237"/>
        <w:gridCol w:w="115"/>
        <w:gridCol w:w="109"/>
        <w:gridCol w:w="109"/>
        <w:gridCol w:w="109"/>
        <w:gridCol w:w="166"/>
        <w:gridCol w:w="556"/>
        <w:gridCol w:w="109"/>
        <w:gridCol w:w="109"/>
        <w:gridCol w:w="109"/>
        <w:gridCol w:w="109"/>
        <w:gridCol w:w="166"/>
        <w:gridCol w:w="541"/>
        <w:gridCol w:w="109"/>
        <w:gridCol w:w="109"/>
        <w:gridCol w:w="109"/>
        <w:gridCol w:w="109"/>
        <w:gridCol w:w="189"/>
        <w:gridCol w:w="481"/>
        <w:gridCol w:w="126"/>
        <w:gridCol w:w="109"/>
        <w:gridCol w:w="109"/>
        <w:gridCol w:w="109"/>
        <w:gridCol w:w="188"/>
        <w:gridCol w:w="632"/>
        <w:gridCol w:w="126"/>
        <w:gridCol w:w="109"/>
        <w:gridCol w:w="109"/>
        <w:gridCol w:w="109"/>
        <w:gridCol w:w="166"/>
        <w:gridCol w:w="556"/>
        <w:gridCol w:w="109"/>
        <w:gridCol w:w="327"/>
        <w:gridCol w:w="327"/>
        <w:gridCol w:w="186"/>
        <w:gridCol w:w="460"/>
        <w:gridCol w:w="109"/>
        <w:gridCol w:w="327"/>
        <w:gridCol w:w="166"/>
        <w:gridCol w:w="496"/>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Mezzanine Equity</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B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C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1,102,000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44,597,154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340,777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766,293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(110,677)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buyback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issued for paid-in-kind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161,964 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Vesting of earnout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2,344,682 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related party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Series C Preferred Stock,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1,118,808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47,103,800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484,256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(221,285)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264,247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2,885,848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28,728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(57,048)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481,325 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to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(1,085,664)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7,636,369 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(2,735,848)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Transfer of Series C Preferred Stock from Mezzanine equity to Stockholders' equity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55,221,494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(305,512)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(1,289)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207,509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426,060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998,664 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11,957 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September 30, 2025</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56,220,158</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525,615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(333,844)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(1,008)</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215,810</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406,579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9653" w:type="dxa"/>
        <w:jc w:val="left"/>
        <w:tblInd w:w="0" w:type="dxa"/>
        <w:tblLayout w:type="fixed"/>
        <w:tblCellMar>
          <w:top w:w="28" w:type="dxa"/>
          <w:left w:w="28" w:type="dxa"/>
          <w:bottom w:w="28" w:type="dxa"/>
          <w:right w:w="28" w:type="dxa"/>
        </w:tblCellMar>
      </w:tblPr>
      <w:tblGrid>
        <w:gridCol w:w="1700"/>
        <w:gridCol w:w="1490"/>
        <w:gridCol w:w="1505"/>
        <w:gridCol w:w="410"/>
        <w:gridCol w:w="1450"/>
        <w:gridCol w:w="269"/>
        <w:gridCol w:w="109"/>
        <w:gridCol w:w="109"/>
        <w:gridCol w:w="109"/>
        <w:gridCol w:w="109"/>
        <w:gridCol w:w="109"/>
        <w:gridCol w:w="109"/>
        <w:gridCol w:w="265"/>
        <w:gridCol w:w="839"/>
        <w:gridCol w:w="1071"/>
      </w:tblGrid>
      <w:tr>
        <w:trPr/>
        <w:tc>
          <w:tcPr>
            <w:tcW w:w="170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Operating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(429,684)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(26,481)</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Adjustments to reconcile net loss to net cash and cash equivalents used in operating activities: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22,972 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income on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payables due to related parties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Non-cash interest expense on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5,142 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unpaid interest on note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(gain)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income taxes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16,821 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Changes in operating assets and liabilities: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current assets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(6,461)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(1,605)</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(2,824)</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(2,448)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4,863 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employee benefits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3,838 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674 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liability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(923)</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Liability for future stock issuance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2,158 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10,870 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(147)</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assets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patent installment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liabilities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Operating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(56,328)</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(18,647)</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Investing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available-for-sale debt securities - equity method investee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(2,708)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(7,400)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property, plant and equipment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(1,371)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(736)</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received related to PCT stock sale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2,314 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Investing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(4,079)</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(5,822)</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Provided by Financing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equity,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3,675 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13,122 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equity to non-controlling interest, net of issuance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13,859 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related party convertible promissory notes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term convertible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14,950 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debt securities,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36,000 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debts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(3,877)</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(790)</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of related party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12,000 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 and other</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Flows Provided by Financing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63,349</w:t>
            </w:r>
            <w:r>
              <w:rPr>
                <w:color w:val="000000"/>
              </w:rPr>
              <w:t>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38,191</w:t>
            </w:r>
            <w:r>
              <w:rPr>
                <w:color w:val="000000"/>
              </w:rPr>
              <w:t>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Increase in Cash, Cash Equivalents and Restricted Cash</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2,942</w:t>
            </w: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13,722</w:t>
            </w:r>
            <w:r>
              <w:rPr>
                <w:color w:val="000000"/>
              </w:rPr>
              <w:t> </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Beginning of period</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11,119 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2,575 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Cash, Cash Equivalents and Restricted Cash End of period </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4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14,061</w:t>
            </w:r>
            <w:r>
              <w:rPr>
                <w:color w:val="000000"/>
              </w:rPr>
              <w:t>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16,297</w:t>
            </w:r>
            <w:r>
              <w:rPr>
                <w:color w:val="000000"/>
              </w:rPr>
              <w:t> </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941"/>
        <w:gridCol w:w="1626"/>
        <w:gridCol w:w="1629"/>
        <w:gridCol w:w="478"/>
        <w:gridCol w:w="1359"/>
        <w:gridCol w:w="268"/>
        <w:gridCol w:w="109"/>
        <w:gridCol w:w="109"/>
        <w:gridCol w:w="109"/>
        <w:gridCol w:w="109"/>
        <w:gridCol w:w="109"/>
        <w:gridCol w:w="109"/>
        <w:gridCol w:w="382"/>
        <w:gridCol w:w="1084"/>
        <w:gridCol w:w="784"/>
      </w:tblGrid>
      <w:tr>
        <w:trPr/>
        <w:tc>
          <w:tcPr>
            <w:tcW w:w="194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Predecessor</w:t>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Information</w:t>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7,324 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working capital loans to equity method investee into investments in debt securities - related party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in debt Securities - related party through OCI</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right of use asset and corresponding lease liability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as repayment of convertible debt</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exchange for services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preferred stock into common stock</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Series C Preferred Stock from Mezzanine to Stockholders' equity</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in association with Convertible Debentures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non-controlling interest and additional paid-in capital</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liability derecognition</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the Closing. All balance sheet amounts presented are for Successor periods.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the same accounting policies in preparing quarterly and annual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and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immaterial out of period adjustment of $16,916 to correct an understatement of Non-controlling interest. The impact of the adjustments are not material to the condensed consolidated financial statements for any interim or annual periods prior to September 30, 2025 nor the current financial period. The out of period adjustment to Additional paid-in capital is included in Non-controlling interest issued and related transfers within the condensed consolidated statements of changes in mezzanine and stockholders' equity (deficit) and the adjustment related to Net loss attributable to Innventure, Inc. within Comprehensive loss attributable to non-controlling interest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 cash balance of $9,061, a restricted cash balance of $5,000, accumulated deficit of $333,844 and a working capital deficit of $50,227. During the three and nine months ended September 30, 2025 (Successor), the Company incurred a net loss of $34,735 and $429,684, respectively. We have experienced recurring losses from operations and negative cash flows from operating activities. In addition, we continue to have an ongoing need to raise significant additional cash from outside sources to sustain our operations and fund our growth plans. Refer to Note 18. Subsequent Events for details of equity raised after the quarter end.</w:t>
      </w:r>
    </w:p>
    <w:p>
      <w:pPr>
        <w:pStyle w:val="TextBody"/>
        <w:bidi w:val="0"/>
        <w:spacing w:lineRule="auto" w:line="288" w:before="0" w:after="180"/>
        <w:jc w:val="both"/>
        <w:rPr/>
      </w:pPr>
      <w:r>
        <w:rPr>
          <w:rFonts w:ascii="Times New Roman;serif" w:hAnsi="Times New Roman;serif"/>
          <w:b w:val="false"/>
          <w:color w:val="000000"/>
          <w:sz w:val="20"/>
        </w:rPr>
        <w:t xml:space="preserve">In connection with our assessment of going concern considerations in accordance with Financial Accounting Standard Board’s (“FASB”) Accounting Standards Update (“ASU”) 2014-15, </w:t>
      </w:r>
      <w:r>
        <w:rPr>
          <w:color w:val="000000"/>
        </w:rPr>
        <w:t>“</w:t>
      </w:r>
      <w:r>
        <w:rPr>
          <w:rFonts w:ascii="Times New Roman;serif" w:hAnsi="Times New Roman;serif"/>
          <w:b w:val="false"/>
          <w:i/>
          <w:color w:val="000000"/>
          <w:sz w:val="20"/>
        </w:rPr>
        <w:t>Disclosures of Uncertainties about an Entity’s Ability to Continue as a Going Concern,”</w:t>
      </w:r>
      <w:r>
        <w:rPr>
          <w:color w:val="000000"/>
        </w:rPr>
        <w:t xml:space="preserve"> </w:t>
      </w:r>
      <w:r>
        <w:rPr>
          <w:rFonts w:ascii="Times New Roman;serif" w:hAnsi="Times New Roman;serif"/>
          <w:b w:val="false"/>
          <w:color w:val="000000"/>
          <w:sz w:val="20"/>
        </w:rPr>
        <w:t xml:space="preserve">management has determined that these conditions raise substantial doubt about our ability to continue as a going concern within one year after the filing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pStyle w:val="TextBody"/>
        <w:bidi w:val="0"/>
        <w:spacing w:before="0" w:after="180"/>
        <w:jc w:val="both"/>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consolidated financial statements.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increases the operability of the recognition guidance considering different methods of software 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is 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804" w:type="dxa"/>
        <w:jc w:val="left"/>
        <w:tblInd w:w="0" w:type="dxa"/>
        <w:tblLayout w:type="fixed"/>
        <w:tblCellMar>
          <w:top w:w="28" w:type="dxa"/>
          <w:left w:w="28" w:type="dxa"/>
          <w:bottom w:w="28" w:type="dxa"/>
          <w:right w:w="28" w:type="dxa"/>
        </w:tblCellMar>
      </w:tblPr>
      <w:tblGrid>
        <w:gridCol w:w="1064"/>
        <w:gridCol w:w="935"/>
        <w:gridCol w:w="940"/>
        <w:gridCol w:w="353"/>
        <w:gridCol w:w="1234"/>
        <w:gridCol w:w="182"/>
        <w:gridCol w:w="109"/>
        <w:gridCol w:w="109"/>
        <w:gridCol w:w="109"/>
        <w:gridCol w:w="339"/>
        <w:gridCol w:w="1183"/>
        <w:gridCol w:w="247"/>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31,207</w:t>
            </w:r>
            <w:r>
              <w:rPr>
                <w:color w:val="000000"/>
              </w:rPr>
              <w:t>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28,734</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a 37% and 34% equity method investment interest in AeroFlexx as of September 30, 2025 and December 31,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 in debt securities - Available for Sale (“AFS”)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$10,000 to AeroFlexx.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nine months ended September 30, 2025 (Successor) and is included in non-operating income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September 30, 2025 was $10,000. During the nine months ended September 30, 2025 (Successor), $4,375 was reclassified from Due from related parties under the term loan and $2,708 was drawn down by AeroFlexx under the term loan.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loans as an investment in debt securities and classified them as available for sale (“AFS”)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non-current line item Investments of the condensed consolidated balance sheets. The increase of $281 and decrease of $410 in fair value of this investment in debt securities for the three and nine months ended September 30, 2025 (Successor), respectively, is included as Unrealized gain (loss) on available for sale debt securities - related party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AeroFlexx advances and other receivables were $7,071 and $4,472 as of September 30, 2025 and December 31, 2024, included in Due from related parties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assets and liabilities measured at fair value on a recurring basis as of September 30, 2025 and December 31, 2024: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474"/>
        <w:gridCol w:w="1276"/>
        <w:gridCol w:w="1280"/>
        <w:gridCol w:w="390"/>
        <w:gridCol w:w="753"/>
        <w:gridCol w:w="204"/>
        <w:gridCol w:w="109"/>
        <w:gridCol w:w="109"/>
        <w:gridCol w:w="109"/>
        <w:gridCol w:w="460"/>
        <w:gridCol w:w="887"/>
        <w:gridCol w:w="238"/>
        <w:gridCol w:w="109"/>
        <w:gridCol w:w="109"/>
        <w:gridCol w:w="109"/>
        <w:gridCol w:w="287"/>
        <w:gridCol w:w="839"/>
        <w:gridCol w:w="150"/>
        <w:gridCol w:w="109"/>
        <w:gridCol w:w="109"/>
        <w:gridCol w:w="109"/>
        <w:gridCol w:w="211"/>
        <w:gridCol w:w="616"/>
        <w:gridCol w:w="159"/>
      </w:tblGrid>
      <w:tr>
        <w:trPr/>
        <w:tc>
          <w:tcPr>
            <w:tcW w:w="147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 - Convertible Debentures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 - August 2025 Notes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569"/>
        <w:gridCol w:w="1095"/>
        <w:gridCol w:w="295"/>
        <w:gridCol w:w="109"/>
        <w:gridCol w:w="109"/>
        <w:gridCol w:w="109"/>
        <w:gridCol w:w="393"/>
        <w:gridCol w:w="1346"/>
        <w:gridCol w:w="205"/>
        <w:gridCol w:w="109"/>
        <w:gridCol w:w="109"/>
        <w:gridCol w:w="109"/>
        <w:gridCol w:w="211"/>
        <w:gridCol w:w="721"/>
        <w:gridCol w:w="160"/>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for the nine months ended September 30, 2025 (Successor) and the nine months ended September 30, 2024 (Predecessor), respectively, are as follows: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638"/>
        <w:gridCol w:w="451"/>
        <w:gridCol w:w="453"/>
        <w:gridCol w:w="325"/>
        <w:gridCol w:w="976"/>
        <w:gridCol w:w="171"/>
        <w:gridCol w:w="277"/>
        <w:gridCol w:w="831"/>
        <w:gridCol w:w="144"/>
        <w:gridCol w:w="239"/>
        <w:gridCol w:w="836"/>
        <w:gridCol w:w="123"/>
        <w:gridCol w:w="217"/>
        <w:gridCol w:w="760"/>
        <w:gridCol w:w="112"/>
        <w:gridCol w:w="232"/>
        <w:gridCol w:w="810"/>
        <w:gridCol w:w="119"/>
        <w:gridCol w:w="236"/>
        <w:gridCol w:w="706"/>
        <w:gridCol w:w="122"/>
        <w:gridCol w:w="352"/>
        <w:gridCol w:w="804"/>
        <w:gridCol w:w="271"/>
      </w:tblGrid>
      <w:tr>
        <w:trPr/>
        <w:tc>
          <w:tcPr>
            <w:tcW w:w="6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convertible promissory notes</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liability</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(asset) - Convertible Debentures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Balance as of January 1, 2024 (Predecessor)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 (Predecessor)</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 (Successor)</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derecognitions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 (Successor)</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9,402</w:t>
            </w:r>
            <w:r>
              <w:rPr>
                <w:color w:val="000000"/>
              </w:rPr>
              <w:t>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5,460</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12,720</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3,630</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levels during the three and nine months ended September 30, 2025 (Successor) nor for the three and nine months ended September 30, 2024 (Predecessor). </w:t>
      </w:r>
    </w:p>
    <w:p>
      <w:pPr>
        <w:pStyle w:val="TextBody"/>
        <w:bidi w:val="0"/>
        <w:jc w:val="both"/>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(Level 3):</w:t>
      </w:r>
    </w:p>
    <w:tbl>
      <w:tblPr>
        <w:tblW w:w="9265" w:type="dxa"/>
        <w:jc w:val="left"/>
        <w:tblInd w:w="0" w:type="dxa"/>
        <w:tblLayout w:type="fixed"/>
        <w:tblCellMar>
          <w:top w:w="28" w:type="dxa"/>
          <w:left w:w="28" w:type="dxa"/>
          <w:bottom w:w="28" w:type="dxa"/>
          <w:right w:w="28" w:type="dxa"/>
        </w:tblCellMar>
      </w:tblPr>
      <w:tblGrid>
        <w:gridCol w:w="124"/>
        <w:gridCol w:w="109"/>
        <w:gridCol w:w="109"/>
        <w:gridCol w:w="814"/>
        <w:gridCol w:w="814"/>
        <w:gridCol w:w="816"/>
        <w:gridCol w:w="979"/>
        <w:gridCol w:w="979"/>
        <w:gridCol w:w="982"/>
        <w:gridCol w:w="340"/>
        <w:gridCol w:w="993"/>
        <w:gridCol w:w="437"/>
        <w:gridCol w:w="326"/>
        <w:gridCol w:w="954"/>
        <w:gridCol w:w="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Valuation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Techniques</w:t>
            </w:r>
          </w:p>
        </w:tc>
        <w:tc>
          <w:tcPr>
            <w:tcW w:w="2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Inputs</w:t>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Investment in debt securities - AFS: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Earnout Shares: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asset - Convertible Debentures: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Binomial Lattice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spread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4.25 years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Accelsius Series B-1 issuance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and defined in Note 5. Borrowings, the Company issued Convertible Debentures (as defined below) which contain certain features which qualify as embedded derivates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time of issuance of the August 2025 Notes, the related embedded derivative liability had a de minimis fair value. As of September 30, 2025, the Company recognized $1,677 for the embedded derivative liability related to the contingent exchange feature. The fair value was determined using a Black-Scholes valuation model, utilizing inputs related to the risk-free rate, volatility, time to liquidity, and the Accelsius Series B-1 issuance price, as further defined in Note 18. Subsequent Events. Specifically, the September 30, 2025 valuation considered a risk-free rate of 3.66%, volatility of 70.00%, time to liquidity of 4.25 years, and an Accelsius Series B-1 unit issuance price of $36.49.</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(as defined below), 2024 WTI Warrants (as defined below), and 2025 WTI Warrants, refer to Note 9. Earnout Shares and Note 10.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30"/>
        <w:gridCol w:w="1076"/>
        <w:gridCol w:w="1079"/>
        <w:gridCol w:w="353"/>
        <w:gridCol w:w="353"/>
        <w:gridCol w:w="355"/>
        <w:gridCol w:w="309"/>
        <w:gridCol w:w="1082"/>
        <w:gridCol w:w="159"/>
        <w:gridCol w:w="367"/>
        <w:gridCol w:w="367"/>
        <w:gridCol w:w="369"/>
        <w:gridCol w:w="109"/>
        <w:gridCol w:w="109"/>
        <w:gridCol w:w="109"/>
        <w:gridCol w:w="303"/>
        <w:gridCol w:w="1060"/>
        <w:gridCol w:w="157"/>
        <w:gridCol w:w="336"/>
        <w:gridCol w:w="336"/>
        <w:gridCol w:w="487"/>
      </w:tblGrid>
      <w:tr>
        <w:trPr/>
        <w:tc>
          <w:tcPr>
            <w:tcW w:w="133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Maturities</w:t>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2024 - 2025</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- 15.99%</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- 15%</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3.94%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2025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34,725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29,514</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13,654</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notes payable, excluding debt issuance costs, mature as follows:</w:t>
      </w:r>
    </w:p>
    <w:tbl>
      <w:tblPr>
        <w:tblW w:w="3501" w:type="dxa"/>
        <w:jc w:val="left"/>
        <w:tblInd w:w="0" w:type="dxa"/>
        <w:tblLayout w:type="fixed"/>
        <w:tblCellMar>
          <w:top w:w="28" w:type="dxa"/>
          <w:left w:w="28" w:type="dxa"/>
          <w:bottom w:w="28" w:type="dxa"/>
          <w:right w:w="28" w:type="dxa"/>
        </w:tblCellMar>
      </w:tblPr>
      <w:tblGrid>
        <w:gridCol w:w="868"/>
        <w:gridCol w:w="765"/>
        <w:gridCol w:w="767"/>
        <w:gridCol w:w="211"/>
        <w:gridCol w:w="73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3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Debt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w:t>
      </w:r>
    </w:p>
    <w:tbl>
      <w:tblPr>
        <w:tblW w:w="10205" w:type="dxa"/>
        <w:jc w:val="left"/>
        <w:tblInd w:w="0" w:type="dxa"/>
        <w:tblLayout w:type="fixed"/>
        <w:tblCellMar>
          <w:top w:w="28" w:type="dxa"/>
          <w:left w:w="28" w:type="dxa"/>
          <w:bottom w:w="28" w:type="dxa"/>
          <w:right w:w="28" w:type="dxa"/>
        </w:tblCellMar>
      </w:tblPr>
      <w:tblGrid>
        <w:gridCol w:w="634"/>
        <w:gridCol w:w="557"/>
        <w:gridCol w:w="558"/>
        <w:gridCol w:w="281"/>
        <w:gridCol w:w="281"/>
        <w:gridCol w:w="282"/>
        <w:gridCol w:w="403"/>
        <w:gridCol w:w="776"/>
        <w:gridCol w:w="210"/>
        <w:gridCol w:w="109"/>
        <w:gridCol w:w="109"/>
        <w:gridCol w:w="109"/>
        <w:gridCol w:w="109"/>
        <w:gridCol w:w="109"/>
        <w:gridCol w:w="109"/>
        <w:gridCol w:w="456"/>
        <w:gridCol w:w="879"/>
        <w:gridCol w:w="237"/>
        <w:gridCol w:w="109"/>
        <w:gridCol w:w="109"/>
        <w:gridCol w:w="109"/>
        <w:gridCol w:w="373"/>
        <w:gridCol w:w="823"/>
        <w:gridCol w:w="193"/>
        <w:gridCol w:w="109"/>
        <w:gridCol w:w="109"/>
        <w:gridCol w:w="109"/>
        <w:gridCol w:w="109"/>
        <w:gridCol w:w="109"/>
        <w:gridCol w:w="109"/>
        <w:gridCol w:w="410"/>
        <w:gridCol w:w="907"/>
        <w:gridCol w:w="310"/>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1st extension promissory notes</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w:t>
      </w:r>
    </w:p>
    <w:tbl>
      <w:tblPr>
        <w:tblW w:w="10205" w:type="dxa"/>
        <w:jc w:val="left"/>
        <w:tblInd w:w="0" w:type="dxa"/>
        <w:tblLayout w:type="fixed"/>
        <w:tblCellMar>
          <w:top w:w="28" w:type="dxa"/>
          <w:left w:w="28" w:type="dxa"/>
          <w:bottom w:w="28" w:type="dxa"/>
          <w:right w:w="28" w:type="dxa"/>
        </w:tblCellMar>
      </w:tblPr>
      <w:tblGrid>
        <w:gridCol w:w="674"/>
        <w:gridCol w:w="592"/>
        <w:gridCol w:w="595"/>
        <w:gridCol w:w="486"/>
        <w:gridCol w:w="833"/>
        <w:gridCol w:w="253"/>
        <w:gridCol w:w="109"/>
        <w:gridCol w:w="109"/>
        <w:gridCol w:w="109"/>
        <w:gridCol w:w="109"/>
        <w:gridCol w:w="109"/>
        <w:gridCol w:w="109"/>
        <w:gridCol w:w="544"/>
        <w:gridCol w:w="931"/>
        <w:gridCol w:w="283"/>
        <w:gridCol w:w="109"/>
        <w:gridCol w:w="109"/>
        <w:gridCol w:w="109"/>
        <w:gridCol w:w="486"/>
        <w:gridCol w:w="833"/>
        <w:gridCol w:w="253"/>
        <w:gridCol w:w="109"/>
        <w:gridCol w:w="109"/>
        <w:gridCol w:w="109"/>
        <w:gridCol w:w="109"/>
        <w:gridCol w:w="109"/>
        <w:gridCol w:w="109"/>
        <w:gridCol w:w="456"/>
        <w:gridCol w:w="1011"/>
        <w:gridCol w:w="3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Related Party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first party, the maturity date was extended to the earlier of (i) January 31, 2025 or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second party, the maturity date was extended to January 31, 2025 and the interest rate was increased to 13.50% per annum. Additionally, $1,000 of the principal amount became due on or around the amendment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related party notes was as follows:</w:t>
      </w:r>
    </w:p>
    <w:tbl>
      <w:tblPr>
        <w:tblW w:w="10205" w:type="dxa"/>
        <w:jc w:val="left"/>
        <w:tblInd w:w="0" w:type="dxa"/>
        <w:tblLayout w:type="fixed"/>
        <w:tblCellMar>
          <w:top w:w="28" w:type="dxa"/>
          <w:left w:w="28" w:type="dxa"/>
          <w:bottom w:w="28" w:type="dxa"/>
          <w:right w:w="28" w:type="dxa"/>
        </w:tblCellMar>
      </w:tblPr>
      <w:tblGrid>
        <w:gridCol w:w="450"/>
        <w:gridCol w:w="394"/>
        <w:gridCol w:w="398"/>
        <w:gridCol w:w="501"/>
        <w:gridCol w:w="965"/>
        <w:gridCol w:w="260"/>
        <w:gridCol w:w="109"/>
        <w:gridCol w:w="109"/>
        <w:gridCol w:w="109"/>
        <w:gridCol w:w="109"/>
        <w:gridCol w:w="109"/>
        <w:gridCol w:w="109"/>
        <w:gridCol w:w="554"/>
        <w:gridCol w:w="1069"/>
        <w:gridCol w:w="288"/>
        <w:gridCol w:w="109"/>
        <w:gridCol w:w="109"/>
        <w:gridCol w:w="109"/>
        <w:gridCol w:w="463"/>
        <w:gridCol w:w="1023"/>
        <w:gridCol w:w="240"/>
        <w:gridCol w:w="109"/>
        <w:gridCol w:w="109"/>
        <w:gridCol w:w="109"/>
        <w:gridCol w:w="109"/>
        <w:gridCol w:w="109"/>
        <w:gridCol w:w="109"/>
        <w:gridCol w:w="534"/>
        <w:gridCol w:w="1030"/>
        <w:gridCol w:w="401"/>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nine months ended September 30, 2025 (Successor),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nine months ended September 30, 2025 (Successor) was 13.50%.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2024 WTI Warrants are classified as a liability in accordance with ASC 480, as they represent an instrument that is not an outstanding share and may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require the issuer to settle the obligation by transferring assets, specifically cash. The Company is amortizing the discount over the term of the WTI Facility using the straight-line method.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$3,462 recorded on the condensed consolidated statements of operations and comprehensive income (loss) for the three and nine months ended September 30, 2025 (Successor). The legal requirement to maintain at least $5,000 of cash on deposit is presented as Restricted cash on the 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on this facility was as follows:</w:t>
      </w:r>
    </w:p>
    <w:tbl>
      <w:tblPr>
        <w:tblW w:w="10205" w:type="dxa"/>
        <w:jc w:val="left"/>
        <w:tblInd w:w="0" w:type="dxa"/>
        <w:tblLayout w:type="fixed"/>
        <w:tblCellMar>
          <w:top w:w="28" w:type="dxa"/>
          <w:left w:w="28" w:type="dxa"/>
          <w:bottom w:w="28" w:type="dxa"/>
          <w:right w:w="28" w:type="dxa"/>
        </w:tblCellMar>
      </w:tblPr>
      <w:tblGrid>
        <w:gridCol w:w="877"/>
        <w:gridCol w:w="711"/>
        <w:gridCol w:w="715"/>
        <w:gridCol w:w="324"/>
        <w:gridCol w:w="970"/>
        <w:gridCol w:w="168"/>
        <w:gridCol w:w="109"/>
        <w:gridCol w:w="109"/>
        <w:gridCol w:w="109"/>
        <w:gridCol w:w="109"/>
        <w:gridCol w:w="109"/>
        <w:gridCol w:w="109"/>
        <w:gridCol w:w="477"/>
        <w:gridCol w:w="920"/>
        <w:gridCol w:w="248"/>
        <w:gridCol w:w="109"/>
        <w:gridCol w:w="109"/>
        <w:gridCol w:w="109"/>
        <w:gridCol w:w="324"/>
        <w:gridCol w:w="970"/>
        <w:gridCol w:w="168"/>
        <w:gridCol w:w="109"/>
        <w:gridCol w:w="109"/>
        <w:gridCol w:w="109"/>
        <w:gridCol w:w="109"/>
        <w:gridCol w:w="109"/>
        <w:gridCol w:w="109"/>
        <w:gridCol w:w="461"/>
        <w:gridCol w:w="890"/>
        <w:gridCol w:w="347"/>
      </w:tblGrid>
      <w:tr>
        <w:trPr/>
        <w:tc>
          <w:tcPr>
            <w:tcW w:w="87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1,291</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3,505</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$30,000. The Existing Convertible Debentures are convertible into shares of Common Stock and contain certain features that represent embedded derivatives, which are bifurcated and included within Prepaid expenses and other current assets on the condensed consolidated balance sheets. The Company issued the aggregate principal amount of the Existing Convertible Debentures in two tranches tied to separate reporting and filing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first tranche of the Existing Convertible Debentures with a principal amount of $20,000, resulting in cash proceeds to the Company of $18,000,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September 30, 2025 (subject to future adjustments to the number and type of shares pursuant to the 2025 WTI Warrants), to the WTI Holders. Each of the 2025 WTI Warrants is exercisable through March 31, 2035. For further information on the 2025 WTI Warrants, refer to Note 10.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2025, the Company issued the second tranche of the Existing Convertible Debentures with a principal amount of $10,000, resulting in cash proceeds to the Company of $9,000, representing an original issue discount of 10%. The second tranche was scheduled to be repaid in eleven monthly payments with a 5% payment premium due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lender with each payment. There is no contractual interest associated with amounts outstanding for the Existing Convertible Debentures for the three and nine months ended September 30, 2025 (Successor).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$2,000.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 securities purchase agreement (the “Securities Purchase Agreement”) with Yorkville for up to $15,000 in convertible debentures (“New Convertible Debentures”), issuable in two tranches. The first tranche of $10,000 was issued with a 10% original issue discount, yielding $9,000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As of September 30, 2025, the second tranche of $5,000 had not been issued due to unmet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No gain or loss was recognized under the troubled debt restructuring accounting.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(Successor), the Company issued 523,748 and 997,573 shares, respectively, of its Common Stock pursuant to the SEPA in payment of $2,602 and $4,937 of principal, respectively, and $130 and $247 of payment premium, respectively, for the Convertible Debentures. Also, the Company issued 140,168 shares of Common Stock due to the exercise of conversion option by Yorkville for a principal amount of $776 of the Convertible Debentures. For further information on this conversion, see Note 11. Stockholders' Equity. During the three months ended September 30, 2025 (Successor) and nine months ended September 30, 2025 (Successor), the Company made cash payments toward the Convertible Debentures totaling $552 and $1,386 of principal and $28 and $69 of payment premium,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w:t>
      </w:r>
    </w:p>
    <w:tbl>
      <w:tblPr>
        <w:tblW w:w="10205" w:type="dxa"/>
        <w:jc w:val="left"/>
        <w:tblInd w:w="0" w:type="dxa"/>
        <w:tblLayout w:type="fixed"/>
        <w:tblCellMar>
          <w:top w:w="28" w:type="dxa"/>
          <w:left w:w="28" w:type="dxa"/>
          <w:bottom w:w="28" w:type="dxa"/>
          <w:right w:w="28" w:type="dxa"/>
        </w:tblCellMar>
      </w:tblPr>
      <w:tblGrid>
        <w:gridCol w:w="799"/>
        <w:gridCol w:w="646"/>
        <w:gridCol w:w="649"/>
        <w:gridCol w:w="335"/>
        <w:gridCol w:w="1004"/>
        <w:gridCol w:w="174"/>
        <w:gridCol w:w="109"/>
        <w:gridCol w:w="109"/>
        <w:gridCol w:w="109"/>
        <w:gridCol w:w="109"/>
        <w:gridCol w:w="109"/>
        <w:gridCol w:w="109"/>
        <w:gridCol w:w="492"/>
        <w:gridCol w:w="950"/>
        <w:gridCol w:w="256"/>
        <w:gridCol w:w="109"/>
        <w:gridCol w:w="109"/>
        <w:gridCol w:w="109"/>
        <w:gridCol w:w="335"/>
        <w:gridCol w:w="1004"/>
        <w:gridCol w:w="174"/>
        <w:gridCol w:w="109"/>
        <w:gridCol w:w="109"/>
        <w:gridCol w:w="109"/>
        <w:gridCol w:w="109"/>
        <w:gridCol w:w="109"/>
        <w:gridCol w:w="109"/>
        <w:gridCol w:w="476"/>
        <w:gridCol w:w="918"/>
        <w:gridCol w:w="358"/>
      </w:tblGrid>
      <w:tr>
        <w:trPr/>
        <w:tc>
          <w:tcPr>
            <w:tcW w:w="7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3,705</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$7,750. The Term Convertible Notes have a stated maturity date of December 31, 2026 and bear interest at the annual applicable federal rate published by the Internal Revenue Service.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$85 and $88 for the three and nine months ended September 30, 2025 (Successor),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On June 27, 2025, Accelsius received the first $1,000 draw and on July 24, 2025 received the second $1,000 draw, with a total outstanding principal of $2,000 as of September 30, 2025. The CPN has a stated interest rate of 15% and Accelsius is required to pay a loan fee (“Loan Fee”) of $35 upon maturity, repayment or conversion of this note.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of 2025, 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The Related Party Term Convertible Notes have a stated maturity date of December 31, 2026 and bear interest at the annual applicable federal rate published by the Internal Revenue Service.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$97 and $99 for the three and nine months ended September 30, 2025 (Successor),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August 2025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Between August 12, 2025 and September 19, 2025, Accelsius issued unsecured convertible promissory notes (the “August 2025 Notes”) totaling $9,150 in principal, with $7,300 in proceeds received by September 30, 2025. The notes bear interest at 6.5% annually, are repayable upon demand after two years and are subordinate to existing senior debt. Upon the Company’s next preferred equity round raising at least $5,000 from unaffiliated investors, the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will automatically convert into preferred units at 80% of the unit price, with accompanying warrants exercisable for 0.5 units at 120% of the unit price. During the three and nine months ended September 30, 2025 (Successor), the Company recognized $1,677 related to the change in fair value of the embedded derivative liability tied to the contingent conversion feature.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August 2025 Notes are subordinate to the WTI Facility, Convertible Debentures, Term Convertible Notes and indebtedness of Accelsius owed to Innventure LLC and for as long as any portion of these senior debts remains outstanding, the lenders will not demand payment related to this August 2025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August 2025 Notes was $37 for the three and nine months ended September 30, 2025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 net</w:t>
      </w:r>
    </w:p>
    <w:tbl>
      <w:tblPr>
        <w:tblW w:w="5441" w:type="dxa"/>
        <w:jc w:val="left"/>
        <w:tblInd w:w="0" w:type="dxa"/>
        <w:tblLayout w:type="fixed"/>
        <w:tblCellMar>
          <w:top w:w="28" w:type="dxa"/>
          <w:left w:w="28" w:type="dxa"/>
          <w:bottom w:w="28" w:type="dxa"/>
          <w:right w:w="28" w:type="dxa"/>
        </w:tblCellMar>
      </w:tblPr>
      <w:tblGrid>
        <w:gridCol w:w="570"/>
        <w:gridCol w:w="501"/>
        <w:gridCol w:w="504"/>
        <w:gridCol w:w="392"/>
        <w:gridCol w:w="1174"/>
        <w:gridCol w:w="204"/>
        <w:gridCol w:w="109"/>
        <w:gridCol w:w="109"/>
        <w:gridCol w:w="109"/>
        <w:gridCol w:w="374"/>
        <w:gridCol w:w="1121"/>
        <w:gridCol w:w="2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6,404</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5,178</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7151" w:type="dxa"/>
        <w:jc w:val="left"/>
        <w:tblInd w:w="0" w:type="dxa"/>
        <w:tblLayout w:type="fixed"/>
        <w:tblCellMar>
          <w:top w:w="28" w:type="dxa"/>
          <w:left w:w="28" w:type="dxa"/>
          <w:bottom w:w="28" w:type="dxa"/>
          <w:right w:w="28" w:type="dxa"/>
        </w:tblCellMar>
      </w:tblPr>
      <w:tblGrid>
        <w:gridCol w:w="1190"/>
        <w:gridCol w:w="1045"/>
        <w:gridCol w:w="1050"/>
        <w:gridCol w:w="392"/>
        <w:gridCol w:w="1174"/>
        <w:gridCol w:w="204"/>
        <w:gridCol w:w="109"/>
        <w:gridCol w:w="109"/>
        <w:gridCol w:w="109"/>
        <w:gridCol w:w="374"/>
        <w:gridCol w:w="1121"/>
        <w:gridCol w:w="27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1,492</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3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2,176</w:t>
            </w:r>
            <w:r>
              <w:rPr>
                <w:color w:val="000000"/>
              </w:rPr>
              <w:t>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Goodwill and Intangible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w:t>
      </w:r>
    </w:p>
    <w:tbl>
      <w:tblPr>
        <w:tblW w:w="4160" w:type="dxa"/>
        <w:jc w:val="left"/>
        <w:tblInd w:w="0" w:type="dxa"/>
        <w:tblLayout w:type="fixed"/>
        <w:tblCellMar>
          <w:top w:w="28" w:type="dxa"/>
          <w:left w:w="28" w:type="dxa"/>
          <w:bottom w:w="28" w:type="dxa"/>
          <w:right w:w="28" w:type="dxa"/>
        </w:tblCellMar>
      </w:tblPr>
      <w:tblGrid>
        <w:gridCol w:w="1068"/>
        <w:gridCol w:w="941"/>
        <w:gridCol w:w="945"/>
        <w:gridCol w:w="211"/>
        <w:gridCol w:w="84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323,463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nine months ended September 30, 2025 (Successor), the Company recorded $346,557 in non-deductible, non-cash goodwill impairment charges,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54"/>
        <w:gridCol w:w="763"/>
        <w:gridCol w:w="132"/>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(21,589)</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(5,377)</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182,153</w:t>
            </w:r>
            <w:r>
              <w:rPr>
                <w:color w:val="000000"/>
              </w:rPr>
              <w:t>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$5,404 and $16,212 was recognized for the three and nine months ended September 30, 2025 (Successor), respectively, and is recorded within Cost of sales, General and administrative and Research and development on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future amortization expense is as follows: </w:t>
      </w:r>
    </w:p>
    <w:tbl>
      <w:tblPr>
        <w:tblW w:w="6823" w:type="dxa"/>
        <w:jc w:val="left"/>
        <w:tblInd w:w="0" w:type="dxa"/>
        <w:tblLayout w:type="fixed"/>
        <w:tblCellMar>
          <w:top w:w="28" w:type="dxa"/>
          <w:left w:w="28" w:type="dxa"/>
          <w:bottom w:w="28" w:type="dxa"/>
          <w:right w:w="28" w:type="dxa"/>
        </w:tblCellMar>
      </w:tblPr>
      <w:tblGrid>
        <w:gridCol w:w="1731"/>
        <w:gridCol w:w="1522"/>
        <w:gridCol w:w="1531"/>
        <w:gridCol w:w="355"/>
        <w:gridCol w:w="1422"/>
        <w:gridCol w:w="262"/>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Earnout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liability classified and were fair valued at $5,460 and $14,752 as of September 30, 2025 and December 31, 2024, respectively. The Company recognized a loss of $1,090 and gain of $8,419 in Change in fair value of financial liabilities on the condensed consolidated statements of operations and comprehensive income (loss) for the three and nine months ended September 30, 2025 (Successor),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Warrants</w:t>
      </w:r>
    </w:p>
    <w:tbl>
      <w:tblPr>
        <w:tblW w:w="10205" w:type="dxa"/>
        <w:jc w:val="left"/>
        <w:tblInd w:w="0" w:type="dxa"/>
        <w:tblLayout w:type="fixed"/>
        <w:tblCellMar>
          <w:top w:w="28" w:type="dxa"/>
          <w:left w:w="28" w:type="dxa"/>
          <w:bottom w:w="28" w:type="dxa"/>
          <w:right w:w="28" w:type="dxa"/>
        </w:tblCellMar>
      </w:tblPr>
      <w:tblGrid>
        <w:gridCol w:w="927"/>
        <w:gridCol w:w="813"/>
        <w:gridCol w:w="818"/>
        <w:gridCol w:w="802"/>
        <w:gridCol w:w="566"/>
        <w:gridCol w:w="568"/>
        <w:gridCol w:w="765"/>
        <w:gridCol w:w="581"/>
        <w:gridCol w:w="583"/>
        <w:gridCol w:w="621"/>
        <w:gridCol w:w="621"/>
        <w:gridCol w:w="623"/>
        <w:gridCol w:w="558"/>
        <w:gridCol w:w="558"/>
        <w:gridCol w:w="801"/>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December 31, 2024 (Successor)</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 (Successor)</w:t>
            </w:r>
          </w:p>
        </w:tc>
        <w:tc>
          <w:tcPr>
            <w:tcW w:w="13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warrants outstanding during the three and nine months ended September 30, 2024 (Predecessor).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equity-classified public warrants expire on October 2, 2029 or earlier upon redemption or liquidation and are exercisable for $11.50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Private Placement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September 30, 2025 (Successor) and December 31, 2024 (Predecessor), the fair value of the private placement warrants is $6,392 and $16,793, respectively, and is presented as a current liability in the condensed consolidated balance sheets. For the three and nine months ended September 30, 2025 (Successor), the Company recognized a gain of $754 and $10,401, respectively, in Change in fair value of financial liabilities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$12,720 and $17,230 as of September 30, 2025 (Successor) and December 31, 2024 (Predecessor), respectively. For the three and nine months ended September 30, 2025 (Successor), the Company recognized a loss of $270 and gain of $4,510, respectively, in change in fair value of financial liabilities on the condensed consolidated statements of operations and comprehensive income (loss). The 2024 WTI Warrants expire on March 31, 2035. See Note 4. Fair Value for details on the valuation.</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$3,630 as of September 30, 2025 (Successor). For the three and nine months ended September 30, 2025 (Successor), the Company recognized a loss of $230 and $540, respectively, in the change in fair value of financial liabilities on the condensed consolidated statements of operations and comprehensive income (loss). The 2025 WTI Warrants expire on March 31, 2035. See Note 4. Fair Value for details on the valuation.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25,000,000 shares of preferred stock with a par value of $0.0001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3,000,000 shares of the authorized preferred stock are designated as Series B preferred stock, $0.0001 par value per share (“Series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nine months ended September 30, 2025 (Successor), the holders of Series B Preferred Stock exercised their conversion right and converted 1,085,664 shares of Series B Preferred Stock for 2,164,673 shares of Common Stock. Upon conversion, all the converted Series B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the Company had a total of 33,144 shares of Series B Preferred Stock issued and outstanding as of September 30, 2025. As of September 30, 2025, the Company accrued $20 for the 8% dividend in the Obligation to issue equity on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nine months ended September 30, 2025 (Successor), the holders of Series C Preferred Stock exercised their conversion right and converted 2,735,848 shares of Series C Preferred Stock for 5,471,696 shares of Common Stock. Upon conversion, all the converted Series C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150,000 shares of Series C Preferred Stock issued and outstanding as of September 30, 2025. As of September 30, 2025, the Company accrued $60 for the 8% dividend in the Obligation to issue equity on the condensed consolidated balance sheets.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250,000,000 shares of Common Stock with a par value of $0.0001 per share. Holders of the Company’s Common Stock are entitled to one vote for each share. As of September 30, 2025 there were 56,220,158 shares of Common Stock issued and outstanding.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This agreement became effective concurrently with 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issued 523,748 and 997,573 shares of Common Stock to the investors as repayments under the Convertible Debentures referenced in Note 5. Borrowings during the three and nine months ended September 30, 2025 (Successor),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(Successor), in addition to the Common Stock issuances pursuant to the SEPA made in repayment towards the Convertible Debentures noted above, the Company sold — and 73,993 shares of Common Stock under the SEPA, raising $— and $931 in cash proceeds, respectively, which is classified within Issuance of common shares, net of issuance costs in the condensed consolidated statements of changes in mezzanine and stockholders' equity (deficit). As of September 30, 2025, the maximum remaining availability under the SEPA is approximately $67,000.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ability to access the SEPA is subject to certain conditions and limitations in the SEPA and the Purchase Agreements, which impose further limitations and conditions upon the Company’s ability to access the SEPA.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Convertible Debentures (further defined in Note 5. Borrowings), the Company issued 140,168 shares of Common Stock to Yorkville as repayments under the Convertible Debentures during the three and nine months ended September 30, 2025 (Successor).</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Service Provider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Company issued 111,525 restricted stock units (“RSUs”) to five directors pursuant to the Innventure Non-Management Director Compensation Plan. The RSUs had a grant date fair value of $600 based on a fair value per unit of $5.38.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2025, the Company issued 327,248 shares of Common Stock to settle 412,156 vested RSUs net of taxes that were originally issued as part of the 2024 Equity and Incentive Compensation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25, 2025, the Company issued 519,189 RSUs to five key employees. The RSUs had a grant date fair value of $2,303 based on a fair value per unit of $4.44.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RSUs of $3,534 and $14,429, respectively, in the condensed consolidated statements of operations and comprehensive income (loss). As of September 30, 2025, the Company had $11,168 in stock-based compensation expense remaining to be recognized over approximately 1.8 years.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26, 2025, the Company issued 90,000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stock options of $1,192 and $3,733, respectively, in the condensed consolidated statements of operations and comprehensive income (loss). As of September 30, 2025, the Company had $2,633 in compensation expense remaining to be recognized over approximately 1.7 years.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September 30, 2025 using the Black-Scholes option-pricing model based on an expected volatility of 70%, an expected term of approximately 1.3 years, and risk-free rate of return of 4%. The Company recognized a decrease in compensation expense in the amount of $237 and $931 in relation to the change in fair value of the cash-settled SARs for the three and nine months ended September 30, 2025 (Successor),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Subsidiary Equity Plan</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there were 915,000 and 1,048,000 Class C units granted, respectively with a grant date fair value per share of $20.31 and $20.60, respectively. During the three and nine months ended September 30, 2024 (Predecessor), there were $— and 110,000 Class C units granted, respectively, with a grant date fair value per unit of $— and $4.41,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of $2,747 and $4,557 for the three and nine months ended September 30, 2025 (Successor) and $326 and $919 for the three and nine months ended September 30, 2024 (Predecessor), respectively, in the condensed consolidated statements of operations and comprehensive income (loss). As of September 30, 2025, the Company had $24,179 in unit-based compensation expense remaining to be recognized over approximately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income tax benefits of $3,603 and $7,222, respectively. During the three and nine months ended September 30, 2024 (Predecessor), no income tax provision or expense was recorded.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September 30, 2025 (Successor) was a benefit of 9.40%, driven primarily by an increase in the valuation allowance as a result of pre-tax book loss activity. For the nine months ended September 30, 2025 (Successor), the effective tax rate was a benefit of 1.65% driven primarily by the impact of the goodwill impairment, which is not deductible for tax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nine months ended September 30, 2025 (Successor):</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682"/>
        <w:gridCol w:w="1419"/>
        <w:gridCol w:w="1426"/>
        <w:gridCol w:w="551"/>
        <w:gridCol w:w="1879"/>
        <w:gridCol w:w="260"/>
        <w:gridCol w:w="109"/>
        <w:gridCol w:w="109"/>
        <w:gridCol w:w="109"/>
        <w:gridCol w:w="455"/>
        <w:gridCol w:w="1879"/>
        <w:gridCol w:w="327"/>
      </w:tblGrid>
      <w:tr>
        <w:trPr/>
        <w:tc>
          <w:tcPr>
            <w:tcW w:w="168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shareholders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 basic and diluted</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 basic and diluted</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55,846,721 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51,583,853 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shareholders, basic and diluted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(0.51)</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tbl>
      <w:tblPr>
        <w:tblW w:w="9597" w:type="dxa"/>
        <w:jc w:val="left"/>
        <w:tblInd w:w="0" w:type="dxa"/>
        <w:tblLayout w:type="fixed"/>
        <w:tblCellMar>
          <w:top w:w="28" w:type="dxa"/>
          <w:left w:w="28" w:type="dxa"/>
          <w:bottom w:w="28" w:type="dxa"/>
          <w:right w:w="28" w:type="dxa"/>
        </w:tblCellMar>
      </w:tblPr>
      <w:tblGrid>
        <w:gridCol w:w="830"/>
        <w:gridCol w:w="730"/>
        <w:gridCol w:w="735"/>
        <w:gridCol w:w="1174"/>
        <w:gridCol w:w="1174"/>
        <w:gridCol w:w="1177"/>
        <w:gridCol w:w="109"/>
        <w:gridCol w:w="109"/>
        <w:gridCol w:w="109"/>
        <w:gridCol w:w="1008"/>
        <w:gridCol w:w="1008"/>
        <w:gridCol w:w="143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6,409,815 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8,102,531 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61,808 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279,723 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194,062 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was converted during the nine months ended September 30, 2024 (Predecessor). During the nine months ended September 30, 2025 (Successor), the Company entered into the Related Party Convertible Notes with various related parties, including other lenders.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Transactions with Directors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Accelsius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On August 25, 2025, the Company issued 338,601 RSUs with a grant date fair value of $1,502 to two directors, pursuant to the 2024 Equity and Incentive Compensation Plan.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2. Accounting Policies in our 2024 Annual Report, the Company earns a 1-2% management fee for administrative, finance and accounting, and other back-office functions from the ESG Fund. Management fees earned from the ESG Fund were $— and $391 for the three and nine months ended September 30, 2025 (Successor), respectively, and $195 and $588 for the three and nine months ended September 30, 2024 (Predecessor), respectively, which is recorded as Revenue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$6,870 and $4,375, respectively, of advances to AeroFlexx which is included in Due from related parties in the condensed consolidated balance sheets. The advances have no stated interest or maturity date but are expected to be repaid within a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2025 (Successor) and December 31, 2024 (Predecessor), there was no principal outstanding under the guaranty.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agreements, the Company is required to make fixed installment payments, as disclosed below, for each year of the agreement through December 31, 2040. </w:t>
      </w:r>
    </w:p>
    <w:tbl>
      <w:tblPr>
        <w:tblW w:w="5886" w:type="dxa"/>
        <w:jc w:val="left"/>
        <w:tblInd w:w="0" w:type="dxa"/>
        <w:tblLayout w:type="fixed"/>
        <w:tblCellMar>
          <w:top w:w="28" w:type="dxa"/>
          <w:left w:w="28" w:type="dxa"/>
          <w:bottom w:w="28" w:type="dxa"/>
          <w:right w:w="28" w:type="dxa"/>
        </w:tblCellMar>
      </w:tblPr>
      <w:tblGrid>
        <w:gridCol w:w="1731"/>
        <w:gridCol w:w="1524"/>
        <w:gridCol w:w="1530"/>
        <w:gridCol w:w="211"/>
        <w:gridCol w:w="73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committed to pay a semi-annual fee of $65 until ownership transfers or the Gasification Technology is no longer licensed, which is accrued on a monthly basis. During the three and nine months ended September 30, 2025 (Successor), $98 and $33, respectively, related to the Gasification Technology was recognized within General and administrative expense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pay annual royalties based on Refinity-related gross sales and licensing revenue starting in 2025. For the three and nine months ended September 30, 2025 (Successor), no royalty payments were made to the third party.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nine months ended September 30, 2025 (Successor), Refinity incurred €379 and €960, respectively, of service expenses toward the Year 1 minimum fee. After currency conversion, Refinity incurred $445 and $1,064, respectively, toward the Year 1 minimum fee during the three and nine months ended September 30, 2025 (Successor). Additionally, during the three and nine months ended September 30, 2025 (Successor), Refinity made payments of $784 and $1,086, respectively, on costs incurred as a part of the Year 1 minimum fee.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Common Stock Advance Funds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pPr>
      <w:r>
        <w:rPr>
          <w:rFonts w:ascii="Times New Roman;serif" w:hAnsi="Times New Roman;serif"/>
          <w:b w:val="false"/>
          <w:color w:val="000000"/>
          <w:sz w:val="20"/>
        </w:rPr>
        <w:t xml:space="preserve">During the three and nine months ended September 30, 2025, the Company received $2,159 of advance funds for future equity issuance of the Company. This amount is shown within </w:t>
      </w:r>
      <w:r>
        <w:rPr>
          <w:rFonts w:ascii="Times New Roman;serif" w:hAnsi="Times New Roman;serif"/>
          <w:b w:val="false"/>
          <w:i/>
          <w:color w:val="000000"/>
          <w:sz w:val="20"/>
        </w:rPr>
        <w:t>'Obligation to issue equity'</w:t>
      </w:r>
      <w:r>
        <w:rPr>
          <w:color w:val="000000"/>
        </w:rPr>
        <w:t xml:space="preserve"> </w:t>
      </w:r>
      <w:r>
        <w:rPr>
          <w:rFonts w:ascii="Times New Roman;serif" w:hAnsi="Times New Roman;serif"/>
          <w:b w:val="false"/>
          <w:color w:val="000000"/>
          <w:sz w:val="20"/>
        </w:rPr>
        <w:t>of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Business Segment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for the three and nine months ended September 30, 2025 (Successor) and the three and nine months ended September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10205" w:type="dxa"/>
        <w:jc w:val="left"/>
        <w:tblInd w:w="0" w:type="dxa"/>
        <w:tblLayout w:type="fixed"/>
        <w:tblCellMar>
          <w:top w:w="28" w:type="dxa"/>
          <w:left w:w="28" w:type="dxa"/>
          <w:bottom w:w="28" w:type="dxa"/>
          <w:right w:w="28" w:type="dxa"/>
        </w:tblCellMar>
      </w:tblPr>
      <w:tblGrid>
        <w:gridCol w:w="834"/>
        <w:gridCol w:w="465"/>
        <w:gridCol w:w="466"/>
        <w:gridCol w:w="309"/>
        <w:gridCol w:w="1127"/>
        <w:gridCol w:w="159"/>
        <w:gridCol w:w="109"/>
        <w:gridCol w:w="109"/>
        <w:gridCol w:w="109"/>
        <w:gridCol w:w="109"/>
        <w:gridCol w:w="109"/>
        <w:gridCol w:w="109"/>
        <w:gridCol w:w="387"/>
        <w:gridCol w:w="1158"/>
        <w:gridCol w:w="201"/>
        <w:gridCol w:w="109"/>
        <w:gridCol w:w="109"/>
        <w:gridCol w:w="109"/>
        <w:gridCol w:w="295"/>
        <w:gridCol w:w="1220"/>
        <w:gridCol w:w="152"/>
        <w:gridCol w:w="109"/>
        <w:gridCol w:w="109"/>
        <w:gridCol w:w="109"/>
        <w:gridCol w:w="109"/>
        <w:gridCol w:w="109"/>
        <w:gridCol w:w="109"/>
        <w:gridCol w:w="341"/>
        <w:gridCol w:w="1196"/>
        <w:gridCol w:w="260"/>
      </w:tblGrid>
      <w:tr>
        <w:trPr/>
        <w:tc>
          <w:tcPr>
            <w:tcW w:w="8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costs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equipment &amp; supplies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5,885</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380,399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16,322</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(12,818)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(5,783)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(379,633)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(16,220)</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expense not already included in Cost of sales.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Other - change in fair value of embedded derivative liability, loss on conversion of promissory note, travel and other miscellaneous expenses.</w:t>
      </w:r>
    </w:p>
    <w:p>
      <w:pPr>
        <w:pStyle w:val="TextBody"/>
        <w:bidi w:val="0"/>
        <w:spacing w:before="0" w:after="180"/>
        <w:jc w:val="left"/>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condensed consolidated financial statements. </w:t>
      </w:r>
    </w:p>
    <w:tbl>
      <w:tblPr>
        <w:tblW w:w="10205" w:type="dxa"/>
        <w:jc w:val="left"/>
        <w:tblInd w:w="0" w:type="dxa"/>
        <w:tblLayout w:type="fixed"/>
        <w:tblCellMar>
          <w:top w:w="28" w:type="dxa"/>
          <w:left w:w="28" w:type="dxa"/>
          <w:bottom w:w="28" w:type="dxa"/>
          <w:right w:w="28" w:type="dxa"/>
        </w:tblCellMar>
      </w:tblPr>
      <w:tblGrid>
        <w:gridCol w:w="853"/>
        <w:gridCol w:w="678"/>
        <w:gridCol w:w="689"/>
        <w:gridCol w:w="288"/>
        <w:gridCol w:w="1044"/>
        <w:gridCol w:w="149"/>
        <w:gridCol w:w="109"/>
        <w:gridCol w:w="109"/>
        <w:gridCol w:w="109"/>
        <w:gridCol w:w="109"/>
        <w:gridCol w:w="109"/>
        <w:gridCol w:w="109"/>
        <w:gridCol w:w="361"/>
        <w:gridCol w:w="1079"/>
        <w:gridCol w:w="188"/>
        <w:gridCol w:w="109"/>
        <w:gridCol w:w="109"/>
        <w:gridCol w:w="109"/>
        <w:gridCol w:w="277"/>
        <w:gridCol w:w="1140"/>
        <w:gridCol w:w="143"/>
        <w:gridCol w:w="109"/>
        <w:gridCol w:w="109"/>
        <w:gridCol w:w="109"/>
        <w:gridCol w:w="109"/>
        <w:gridCol w:w="109"/>
        <w:gridCol w:w="109"/>
        <w:gridCol w:w="319"/>
        <w:gridCol w:w="1117"/>
        <w:gridCol w:w="245"/>
      </w:tblGrid>
      <w:tr>
        <w:trPr/>
        <w:tc>
          <w:tcPr>
            <w:tcW w:w="8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5,638</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(34,735)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(429,684)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(26,481)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w:t>
            </w: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1,371</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18. Subsequent Events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Events occurring after September 30, 2025 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and November 2025, the Company issued a total of 4,596,315 shares of Common Stock to Yorkville for a total principal amount of $12,900 of the Convertible Debentures, due to the exercise of conversion option by Yorkville as referenced in Note 5. Borrowings.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 2025, Accelsius issued and sold 685,163 Series B-1 Units (the “Series B-1 Units”) to Johnson Controls, Inc. (“JCI”) for approximately $25,000, before deducting financial advisor fees and other estimated offering expenses. JCI is entitled to appoint and remove a director to the board of directors of Accelsius if JCI and its affiliates maintain a significant ownership percentage. As a result of the sale of Series B-1 Units to JCI, the August 2025 Notes converted into 251,452 Series B-2 units and 125,725 B-2 Warrants were issued.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raised approximately $9,751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8, 2025, the Company repaid the CPN in full due to its related party, amounting to $2,000 in principal, $74 in interest, and $35 for the loan fee, for a total of $2,109.</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$5,000, as referenced in Note 5. Borrowings. The debentures were issued with a 10% original issue discount, yielding $4,500 in net proceeds, bear 5% annual interest, and mature on September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and our predecessor’s, as applicable, unaudited condensed consolidated financial statements and related notes as of September 30, 2025 and for the three and nine months ended September 30,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Refer to Item 1. Business of the Form 10-K for a detailed discussion of our business activities.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fees and additional internal and external accounting, legal and administrative resources, including increased audit and legal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Innventure’s future results of consolidated operations and financial position may not be comparable to historical results as a result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 for the three and nine months ended September 30, 2025 (Successor) and three and nine months ended September 30, 2024 (Predecessor) (in thousands, except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reflect the application of different bases of accounting as a result of the Business Combination, the tables provided below separate the Company’s results via a black line into two distinct periods as follows: (1) three and nine months ended September 30, 2024 (labeled “Predecessor”) and (2) three and nine months ended September 30, 2025 (labeled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nine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411"/>
        <w:gridCol w:w="1139"/>
        <w:gridCol w:w="1160"/>
        <w:gridCol w:w="320"/>
        <w:gridCol w:w="1116"/>
        <w:gridCol w:w="210"/>
        <w:gridCol w:w="109"/>
        <w:gridCol w:w="109"/>
        <w:gridCol w:w="109"/>
        <w:gridCol w:w="109"/>
        <w:gridCol w:w="109"/>
        <w:gridCol w:w="109"/>
        <w:gridCol w:w="339"/>
        <w:gridCol w:w="1061"/>
        <w:gridCol w:w="222"/>
        <w:gridCol w:w="109"/>
        <w:gridCol w:w="109"/>
        <w:gridCol w:w="109"/>
        <w:gridCol w:w="166"/>
        <w:gridCol w:w="569"/>
        <w:gridCol w:w="109"/>
        <w:gridCol w:w="109"/>
        <w:gridCol w:w="109"/>
        <w:gridCol w:w="109"/>
        <w:gridCol w:w="272"/>
        <w:gridCol w:w="272"/>
        <w:gridCol w:w="531"/>
      </w:tblGrid>
      <w:tr>
        <w:trPr/>
        <w:tc>
          <w:tcPr>
            <w:tcW w:w="14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Change</w:t>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Revenue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Operating Expenses</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825.6 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55,172 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117.9 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Sales and marketing</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Research and development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18,472 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5,978 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209.0 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Operating Expenses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434,211</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36,256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397,955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1,097.6</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Loss from Operations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(432,977)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(35,492)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1,119.9</w:t>
            </w: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Non-operating (Expense) and Income</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 net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483.5 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on investments – due to related parties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(1,251.4)</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Miscellaneous other expense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Non-operating (Expense) Income</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(3,929)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9,011</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(143.6)</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benefit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(429,684)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(26,481)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1,522.6</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net loss attributable to</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 Attributable to Innventure, Inc. Stockholders / Innventure LLC Unitholders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(255,556)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(14,719)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1,636.2</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Other comprehensive income (loss), net of taxes:</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Unrealized gain (loss) on available for sale debt securities - related party</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realized gain on conversion of available for sale investments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other comprehensive income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(1,917)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(2,373)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(19.2)</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comprehensive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(431,601)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(28,854)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(402,747)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1,395.8</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comprehensive loss attributable to</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Comprehensive Loss Attributable to Innventure, Inc. Stockholders / Innventure LLC Unitholders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(257,473)</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(17,092)</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1,406.4</w:t>
            </w:r>
            <w:r>
              <w:rPr>
                <w:color w:val="000000"/>
              </w:rPr>
              <w:t>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bl>
    <w:p>
      <w:pPr>
        <w:pStyle w:val="TextBody"/>
        <w:bidi w:val="0"/>
        <w:spacing w:lineRule="auto" w:line="288" w:before="0" w:after="180"/>
        <w:jc w:val="both"/>
        <w:rPr/>
      </w:pPr>
      <w:r>
        <w:rPr>
          <w:rFonts w:ascii="Times New Roman;serif" w:hAnsi="Times New Roman;serif"/>
          <w:b w:val="false"/>
          <w:i/>
          <w:color w:val="000000"/>
          <w:sz w:val="14"/>
        </w:rPr>
        <w:t>*</w:t>
      </w:r>
      <w:r>
        <w:rPr>
          <w:rFonts w:ascii="Times New Roman;serif" w:hAnsi="Times New Roman;serif"/>
          <w:b w:val="false"/>
          <w:i/>
          <w:color w:val="000000"/>
          <w:sz w:val="14"/>
        </w:rPr>
        <w:t>not meaningful</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$1,234 for the nine months ended September 30, 2025 (Successor) and $764 for the nine months ended September 30, 2024 (Predecessor), an increase of $470, or 61.5%. The increase was driven by an increase of $667 of product sales in the Technology segment, offset by a decrease of $197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$7,192 for the nine months ended September 30, 2025 (Successor) and $777 for the nine months ended September 30, 2024 (Predecessor), an increase of $6,415, or 825.6%. The increase relates to the generation of revenue at the Technology segment resulting in an increase in costs related to supplies and materials amounting to $798, an increase in amortization of intangible assets of $3,660 and an increase in employee costs of $1,642.</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$55,172 for the nine months ended September 30, 2025 (Successor) and $25,323 for the nine months ended September 30, 2024 (Predecessor), an increase of $29,849, or 117.9%. The increase in expenditure was attributed to increased stock-based compensation costs of $21,916, increased intangible asset amortization of $3,563 and increased professional and legal fees of $4,430.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$346,557 for the nine months ended September 30, 2025 (Successor) and $— for the nine months ended September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For the three months ended September 30, 2025 (Successor), there was no goodwill impairment charge.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$6,818 for the nine months ended September 30, 2025 (Successor) and $4,178 for the nine months ended September 30, 2024 (Predecessor), an increase of $2,640, or 63.2%. The increase was due to increased employee costs of $1,772 and an increase in advertising and marketing-related events and expenses primarily associated with the commercialization phase of the Technology segment of $745.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$18,472 for the nine months ended September 30, 2025 (Successor) and $5,978 for the nine months ended September 30, 2024 (Predecessor), an increase of $12,494 or 209.0%. The increase was due to an increase in amortization of intangible assets of $8,981, an increase in employee costs of $2,154 and an increase in development fees at Refinity of roughly $1,357.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$7,586 for the nine months ended September 30, 2025 (Successor) and $1,300 for the nine months ended September 30, 2024 (Predecessor), an increase of $6,286, or 483.5%. The increase was due to interest expense on the convertible debentures (collectively, the “Convertible Debentures”) issued to Yorkville pursuant to each of the securities purchase agreement, dated September 15, 2025 (“Securities Purchase Agreement”), and the securities purchase agreement, dated March 25, 2025, of $3,705, contractual interest expense for the term loan agreement entered into on October 22, 2024 by and among the Company and WTI Fund X, Inc. and WTI Fund XI, Inc. (collectively, “WTI Lenders”), which provides for a term loan facility in the aggregate principal amount of up to $50,000 (the “WTI Facility”) of $2,048, amortization of issuance costs on the WTI Facility of $1,457, partially offset by a net decrease in interest expense related to other debt instruments that have been paid down of $587 and by an increase in interest income of $389.</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nine months ended September 30, 2025 (Successor) and $11,547 for the nine months ended September 30, 2024 (Predecessor), a decrease of $11,547 or 100.0%. The decrease was due to the gain on investment in PureCycle Technologies, Inc. (“PCT”) owned stock via Class PCTA units during the nine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nine months ended September 30, 2025 (Successor) and $468 for the nine months ended September 30, 2024 (Predecessor), a decrease of $468 or 100.0%. The decrease was due to an increase in the fair value of the liability of PCT stock owed to other parties for the nine months ended September 30, 2024 (Predecessor). The Class PCTA associated liabilities are no longer consolidated in the Company’s condensed consolidated financial statements as a result of the Business Combination.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financial liabilities decreased by $19,496 for the nine months ended September 30, 2025 (Successor) and increased by $478 for the nine months ended September 30, 2024 (Predecessor), an increase to income of $19,974, or 4,178.7%. The increase to income was primarily due to decreases in fair value for warrants of $14,371 and earnout liabilities of $8,419 and was offset by a net increase in the fair value of the embedded derivative liabilities of $2,816.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$10,282 for the nine months ended September 30, 2025 (Successor) and the equity method investment income was $893 for the nine months ended September 30, 2024 (Predecessor), a change of $11,175, or 1,251.4%. The loss during the nine months ended September 30, 2025 (Successor) is related to losses from the Company’s equity method investment in AeroFlexx of $10,233. The income during the nine months ended September 30, 2024 (Predecessor) was due to allocated income from the Innventus ESG Fund I, L.P. (the “ESG Fund”) of $1,742 offset by losses from the Company’s equity method investment in AeroFlexx of $849.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$3,462 for the nine months ended September 30, 2025 (Successor) and $— for the nine months ended September 30, 2024 (Predecessor), an increase of $3,462. The increase was due to the modification of the WTI Facility in connection with the issuance of the first tranche of Convertible Debentures to Yorkville, which was accounted for as an extinguishment. There was no gain or loss on extinguishment of debt for the nine months ended September 30, 2024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$3,538 for the nine months ended September 30, 2025 (Successor) and $— for the nine months ended September 30, 2024 (Predecessor), an increase of $3,538. The increase was due to the extinguishment of the related party loans by additional issuances of the Company’s series C preferred stock, $0.0001 par value per share (“Series C Preferred Stock”) during the nine months ended September 30, 2025 (Successor). There was no gain or loss on extinguishment of related party debt for the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conversion of promissory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conversion of promissory notes was $— for the nine months ended September 30, 2025 (Successor) and $1,119 for the nine months ended September 30, 2024 (Predecessor), a decrease of $1,119 or 100.0%. This was due to the automatic conversion of promissory notes during the nine months ended September 30, 2024 (Predecessor) into equity instruments which was treated as an extinguishment thereby generating a loss. There was no equivalent transaction for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Unrealized loss on available for sale debt securities - related party was $410 for the nine months ended September 30, 2025 (Successor) and $2,373 for the nine months ended September 30, 2024 (Predecessor), a decrease of $1,963 or 82.7%. The decrease was due to the fair value adjustment to the AeroFlexx investment in debt securities which are classified as available for sale.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Reclassification of realized gain on conversion of available for sale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Reclassification of realized gain on conversion of available for sale investments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$174,128 for the nine months ended September 30, 2025 (Successor) and $11,762 for the nine months ended September 30, 2024 (Predecessor), an increase of $162,366, or 1,380.4%. This was due to the increase in the Technology segment net loss as a result of goodwill impairment during the nine months ended September 30, 2025 (Successor) as compared to the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383"/>
        <w:gridCol w:w="954"/>
        <w:gridCol w:w="966"/>
        <w:gridCol w:w="321"/>
        <w:gridCol w:w="1142"/>
        <w:gridCol w:w="178"/>
        <w:gridCol w:w="109"/>
        <w:gridCol w:w="109"/>
        <w:gridCol w:w="109"/>
        <w:gridCol w:w="109"/>
        <w:gridCol w:w="109"/>
        <w:gridCol w:w="109"/>
        <w:gridCol w:w="373"/>
        <w:gridCol w:w="1088"/>
        <w:gridCol w:w="209"/>
        <w:gridCol w:w="109"/>
        <w:gridCol w:w="109"/>
        <w:gridCol w:w="109"/>
        <w:gridCol w:w="196"/>
        <w:gridCol w:w="678"/>
        <w:gridCol w:w="109"/>
        <w:gridCol w:w="109"/>
        <w:gridCol w:w="109"/>
        <w:gridCol w:w="109"/>
        <w:gridCol w:w="360"/>
        <w:gridCol w:w="362"/>
        <w:gridCol w:w="578"/>
      </w:tblGrid>
      <w:tr>
        <w:trPr/>
        <w:tc>
          <w:tcPr>
            <w:tcW w:w="13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29,739</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13,991</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112.6</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(29,205)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(13,674)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113.6</w:t>
            </w: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Non-operating (Expense) and Income</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investments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 due to related parties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liabilities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 income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other expense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Non-operating (Expense) Income</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(9,133)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6,033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(251.4)</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(34,735)</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(7,641)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354.6</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Innventure, Inc. Stockholders / Innventure LLC Unitholders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(28,332)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1,181.4</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debt securities - related party</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(111.8)</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(34,454)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(10,014)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244.1</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Comprehensive Loss Attributable to Innventure, Inc. Stockholders / Innventure LLC Unitholders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(28,051)</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(4,584)</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511.9</w:t>
            </w:r>
            <w:r>
              <w:rPr>
                <w:color w:val="000000"/>
              </w:rPr>
              <w:t>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80"/>
        <w:jc w:val="both"/>
        <w:rPr/>
      </w:pPr>
      <w:r>
        <w:rPr>
          <w:rFonts w:ascii="Times New Roman;serif" w:hAnsi="Times New Roman;serif"/>
          <w:b w:val="false"/>
          <w:i/>
          <w:color w:val="000000"/>
          <w:sz w:val="16"/>
        </w:rPr>
        <w:t>*</w:t>
      </w:r>
      <w:r>
        <w:rPr>
          <w:rFonts w:ascii="Times New Roman;serif" w:hAnsi="Times New Roman;serif"/>
          <w:b w:val="false"/>
          <w:i/>
          <w:color w:val="000000"/>
          <w:sz w:val="16"/>
        </w:rPr>
        <w:t>not meaningful</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$534 for the three months ended September 30, 2025 (Successor) and $317 for the three months ended September 30, 2024 (Predecessor), an increase of $217 or 68.5%. The increase was driven by an increase of $412 of product sales in the Technology segment, offset by a decrease of $196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$4,147 for the three months ended September 30, 2025 (Successor) and $777 for the three months ended September 30, 2024 (Predecessor), an increase of $3,370 or 433.7%. The increase relates to the generation of revenue at the Technology segment resulting in an increase in costs related to material costs and supplies amounting to $509, an increase in amortization of intangible assets of $2,047 and an increase of employee costs of $655.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$16,927 for the three months ended September 30, 2025 (Successor) and $9,052 for the three months ended September 30, 2024 (Predecessor), an increase of $7,875, or 87.0%. The increase was due to increased stock-based compensation costs of $7,592 and amortization expense resulting from the intangibles acquired in the Business Combination of $661.</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was $2,514 for the three months ended September 30, 2025 (Successor) and $1,629 for the three months ended September 30, 2024 (Predecessor), an increase of $885, or 54.3%. The increase was due to increased employee costs of $590 and a $236 increase in advertising and marketing-related events and expenses primarily associated with the commercialization phase of the Technology segment.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$6,151 for the three months ended September 30, 2025 (Successor) and $2,533 for the three months ended September 30, 2024 (Predecessor), an increase of $3,618, or 142.8%. The increase was due to an increase of $2,693 of amortization of intangible assets and an increase in employee costs of $900.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$3,401 for the three months ended September 30, 2025 (Successor) and $852 for the three months ended September 30, 2024 (Predecessor), an increase of $2,549, or 299.2%. The increase was due to interest expense on the Convertible Debentures of $2,004, an increase in contractual interest expense on the WTI Facility of $690, amortization of issuance costs on the WTI Facility of $601, partially offset by a net decrease in interest expense related to other debt instruments that have been paid down of $956.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three months ended September 30, 2025 (Successor) and net gain on investments was $7,148 for the three months ended September 30, 2024 (Predecessor), a decrease of $7,148 or 100.0%. The decrease was due to the gain on investment in PCT owned stock via Class PCTA units during the three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three months ended September 30, 2025 (Successor) and $308 for the three months ended September 30, 2024 (Predecessor), a decrease of $308 or 100.0%. The decrease was due to a decrease in the fair value of the liability of PCT stock owed to other parties for the three months ended September 30, 2024 (Predecessor). The Class PCTA associated liabilities are no longer consolidated in the Company’s condensed consolidated financial statements as a result of the Business Combination.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liabilities increased by $4,109 for the three months ended September 30, 2025 (Successor) and was $— for the three months ended September 30, 2024 (Predecessor), an overall decrease to income of $4,109. The decrease to income was primarily due to an increase in fair value of the earnout liabilities of $1,090 and a net increase in the fair value of the embedded derivative liabilities of $3,272, offset by a decrease in the fair value of the warrant liabilities of $254.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$1,602 for the three months ended September 30, 2025 (Successor) and equity method investment income was $109 for the three months ended September 30, 2024 (Predecessor), a decrease of $1,711, or 1,569.7%. The loss during the three months ended September 30, 2025 (Successor) is related to losses from the Company’s equity method investment in AeroFlexx of $1,621. The income during the three months ended September 30, 2024 (Predecessor) was due to allocated income from the ESG Fund of $400, offset by losses from the Company’s equity method investment in AeroFlexx of $290.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Unrealized gain on available for sale debt securities - related party was $281 for the three months ended September 30, 2025 (Successor) and unrealized loss on available for sale debt securities - related party amounted to $2,373 for the three months ended September 30, 2024 (Predecessor), a change of $2,654, or 111.8%. The change was due to the fair value adjustment to the AeroFlexx investment in debt securities which are classified as available for sale.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$6,403 for the three months ended September 30, 2025 (Successor) and $5,430 for the three months ended September 30, 2024 (Predecessor), an increase of $973, or 17.9%. This increase was due to the increase in the Technology segment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10205" w:type="dxa"/>
        <w:jc w:val="left"/>
        <w:tblInd w:w="0" w:type="dxa"/>
        <w:tblLayout w:type="fixed"/>
        <w:tblCellMar>
          <w:top w:w="28" w:type="dxa"/>
          <w:left w:w="28" w:type="dxa"/>
          <w:bottom w:w="28" w:type="dxa"/>
          <w:right w:w="28" w:type="dxa"/>
        </w:tblCellMar>
      </w:tblPr>
      <w:tblGrid>
        <w:gridCol w:w="1146"/>
        <w:gridCol w:w="756"/>
        <w:gridCol w:w="770"/>
        <w:gridCol w:w="273"/>
        <w:gridCol w:w="1003"/>
        <w:gridCol w:w="140"/>
        <w:gridCol w:w="109"/>
        <w:gridCol w:w="109"/>
        <w:gridCol w:w="109"/>
        <w:gridCol w:w="109"/>
        <w:gridCol w:w="109"/>
        <w:gridCol w:w="109"/>
        <w:gridCol w:w="328"/>
        <w:gridCol w:w="982"/>
        <w:gridCol w:w="170"/>
        <w:gridCol w:w="109"/>
        <w:gridCol w:w="109"/>
        <w:gridCol w:w="109"/>
        <w:gridCol w:w="259"/>
        <w:gridCol w:w="1076"/>
        <w:gridCol w:w="133"/>
        <w:gridCol w:w="109"/>
        <w:gridCol w:w="109"/>
        <w:gridCol w:w="109"/>
        <w:gridCol w:w="109"/>
        <w:gridCol w:w="109"/>
        <w:gridCol w:w="109"/>
        <w:gridCol w:w="291"/>
        <w:gridCol w:w="1019"/>
        <w:gridCol w:w="224"/>
      </w:tblGrid>
      <w:tr>
        <w:trPr/>
        <w:tc>
          <w:tcPr>
            <w:tcW w:w="1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(6,712)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(412,499)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(25,035)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related costs</w:t>
            </w:r>
            <w:r>
              <w:rPr>
                <w:rFonts w:ascii="Times New Roman;serif" w:hAnsi="Times New Roman;serif"/>
                <w:b w:val="false"/>
                <w:color w:val="000000"/>
                <w:sz w:val="13"/>
              </w:rPr>
              <w:t>(2)</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(3)</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(5)</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(6)</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(7)</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conversion of promissory notes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(17,464)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(2,972)</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(55,466)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(12,968)</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Transaction and other related costs – For the three and nine months ended September 30, 2024 (Predecessor), this is comprised of consulting, legal, and other professional fees related to the Business Combination.</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 Change in fair value of financial liabilities – For the three and nine months ended September 30, 2025 (Successor), the change in fair value of financial liabilities primarily consists of the change in fair value of the warrant liability, the earnout liability and the embedded derivatives in various instruments. For the three and nine months ended September 30, 2024 (Predecessor), this is comprised entirely of the change in fair value of the embedded derivative associated with the convertible notes.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(4) Stock based compensation – For the three and nine months ended September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three and nine months ended September 30, 2024 (Predecessor), stock-based compensation was comprised wholly of share-based payment employee incentive plans in existence at Innventure LLC and other subsidiaries.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(5) Goodwill impairment - For the nine months ended September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For the three months ended September 30, 2025 (Successor), there was not a triggering event that occurred, resulting in no additional goodwill impairment charge.There was no similar goodwill impairment charge for the three and nine months ended September 30, 2024 (Predecessor).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(6) Loss on extinguishment of debt - For the three and nine months ended September 30, 2025 (Successor), the Company modified the WTI Facility, and such modification was accounted for as a debt extinguishment while no debt was repaid. There was no loss on extinguishment of debt for the three and nine months ended September 30, 2024 (Predecessor).</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(7) Loss on extinguishment of related party debt - For the three and nine months ended September 30, 2025 (Successor), the Company extinguished certain related party debts by issuing Series C Preferred Stock. There was no loss on extinguishment of related party debt for the three and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 (in thousands, except as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cash requirements are from working capital requirements and operating expense obligations.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liquidity as of September 30, 2025 and December 31, 2024:</w:t>
      </w:r>
    </w:p>
    <w:tbl>
      <w:tblPr>
        <w:tblW w:w="6130" w:type="dxa"/>
        <w:jc w:val="left"/>
        <w:tblInd w:w="0" w:type="dxa"/>
        <w:tblLayout w:type="fixed"/>
        <w:tblCellMar>
          <w:top w:w="28" w:type="dxa"/>
          <w:left w:w="28" w:type="dxa"/>
          <w:bottom w:w="28" w:type="dxa"/>
          <w:right w:w="28" w:type="dxa"/>
        </w:tblCellMar>
      </w:tblPr>
      <w:tblGrid>
        <w:gridCol w:w="820"/>
        <w:gridCol w:w="720"/>
        <w:gridCol w:w="724"/>
        <w:gridCol w:w="397"/>
        <w:gridCol w:w="1165"/>
        <w:gridCol w:w="207"/>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(50,227)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As of September 30, 2025, we had limited cash on hand, and over the next 12 months, we anticipate that Innventure and its Operating Companies will require at least $50,000 to meet our collective operating and strategic needs, with an additional $25,000 required to support growth across our Operating Companies in accordance with our current business plan. We expect to meet these needs through a combination of cash on hand, operating cash flows, strategic investments, the Standby Equity Purchase Agreement (the “SEPA”) with Yorkville (maximum remaining availability of approximately $67,000 as of September 30, 2025, subject to the satisfaction of certain conditions in the SEPA and the Purchase Agreements, as described below, which impose additional limitations and conditions upon our ability to access the SEPA) and additional financings completed by us and our Operating Companies. Summarized below are equity and debt financing activities made during the nine months ended September 30, 2025 (Successor) and thereafter:</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equity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Company entered into the SEPA with Yorkville in October 2023, which provides the Company the right, but not the obligation, to sell to Yorkville up to $75,000 in the Company’s common stock, par value $0.0001 per share (“Common Stock”) from time to time through November 2027 (of which approximately $67,000 in Common Stock remains available for issuance under the SEPA), subject to the satisfaction of certain conditions in the SEPA and the Purchase Agreements, which impose additional limitations and conditions upon the Company’s ability to access the SEPA. During the nine months ended September 30, 2025 (Successor), the Company issued 997,573 shares of Common Stock pursuant to the SEPA in payment of $4,937 of principal and $247 of payment premiums for the Convertible Debentures. In addition to the Common Stock issuances pursuant to the SEPA made in repayment towards the Convertible Debentures, the Company sold 73,993 shares of Common Stock under the SEPA, raising $931 in cash proceeds.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Accelsius raised a total of $7,120 through the issuance of Accelsius Series A Preferred units during the nine months ended September 30, 2025 (Successor).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2,885,848 shares of Series C Preferred Stock on March 24, 2025 for a total amount of $28,858, with the consideration received in the form of cash, services, and related party debt cancellation.</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raised $25,000 on October 2, 2025 through the issuance of 685,163 Series B-1 units to JCI. $7,337 of debt converted to equity in the form of 251,452 Series B-2 units and 125,725 B-2 Warrants in conjunction with the issuance of Series B-1 units by Accelsius.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raised $9,751 on October 3, 2025 through a private placement by issuing 1,625,235 shares of Common Stock at $6.00 per share and Series A warrants to purchase 1,625,235 shares of Common Stock.</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debt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$30,000 in Convertible Debentures in April and May 2025, split between two tranches. The Company received $18,000 and $9,000 in cash proceeds for the first and second tranche, respectively. In connection with the issuance of the Convertible Debentures, the Company issued two warrants (the “2025 WTI Warrants”) to purchase, at a price of $0.01 per share (subject to certain limitations and adjustment), up to an aggregate total of 495,074 shares of Common Stock (subject to future adjustments to the number and type of shares pursuant to the 2025 WTI Warrants), to WTI Fund X, LLC and WTI Fund XI, LLC, exercisable through March 31, 2035.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unsecured convertible notes (“Related Party Term Convertible Notes”) with certain investors deemed to be Related Parties (as defined in the Company’s Related Party Transactions Policy) for a total principal amount of $4,250 in June 2025. The Related Party Term Convertible Notes are convertible into Series A Units of Accelsius and have a maturity date of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an unsecured Convertible Promissory Note (“CPN”) with a related party lender in June 2025 that is drawable in three tranches with 15% interest and a $35 loan fee. As of September 30, 2025, $2,000 was drawn down by Accelsius. On October 8, 2025, the Company repaid the CPN in full due to its related party lender, amounting to $2,000 in principal, $74 in interest, and $35 for the loan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issued unsecured convertible notes with various other parties for a total principal amount of $7,750 in June and July of 2025 that are convertible into Series A Units of Accelsius starting January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entered into unsecured convertible promissory notes totaling $9,150 in principal between August 12, 2025 and September 19, 2025, with $7,300 in cash proceeds received by September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entered into the Securities Purchase Agreement with Yorkville on September 15, 2025 to issue the New Convertible Debentures. Of the $15,000 authorized, one tranche totaling $10,000 was issued before September 30, 2025 totaling $9,000 in cash proceeds. On November 12, 2025, the Company issued the second tranche of the New Convertible Debentures for $5,000, totaling $4,500 in cash proceeds. In addition, as provided by the Securities Purchase Agreement, for so long as any amounts remain outstanding under the Convertible Debentures, unless otherwise agreed by Yorkville: (A) the Company shall not submit an advance notice in writing to Yorkville under the SEPA (each, an “Advance,” and notice of such request, an “Advance Notice”) prior to January 15, 2026 (the date that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Pursuant to the Fifth Amendment to Loan and Security Agreement between Innventure LLC and Accelsius, on September 18, 2025 the Company elected to convert $550 of accrued interest outstanding into 45,159 Series A Units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convertible notes are subordinated to the WTI Facility and other debt of the Company owed to the WTI Lenders, and the holders of the convertible notes have agreed not to demand repayment while senior obligations remain outstanding.</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for the nine months ended September 30, 2025 (Successor) and nine months ended September 30, 2024 (Predecessor) are summarized as follows:</w:t>
      </w:r>
    </w:p>
    <w:tbl>
      <w:tblPr>
        <w:tblW w:w="10205" w:type="dxa"/>
        <w:jc w:val="left"/>
        <w:tblInd w:w="0" w:type="dxa"/>
        <w:tblLayout w:type="fixed"/>
        <w:tblCellMar>
          <w:top w:w="28" w:type="dxa"/>
          <w:left w:w="28" w:type="dxa"/>
          <w:bottom w:w="28" w:type="dxa"/>
          <w:right w:w="28" w:type="dxa"/>
        </w:tblCellMar>
      </w:tblPr>
      <w:tblGrid>
        <w:gridCol w:w="1105"/>
        <w:gridCol w:w="912"/>
        <w:gridCol w:w="916"/>
        <w:gridCol w:w="404"/>
        <w:gridCol w:w="1464"/>
        <w:gridCol w:w="225"/>
        <w:gridCol w:w="109"/>
        <w:gridCol w:w="109"/>
        <w:gridCol w:w="109"/>
        <w:gridCol w:w="109"/>
        <w:gridCol w:w="109"/>
        <w:gridCol w:w="109"/>
        <w:gridCol w:w="404"/>
        <w:gridCol w:w="1464"/>
        <w:gridCol w:w="225"/>
        <w:gridCol w:w="109"/>
        <w:gridCol w:w="109"/>
        <w:gridCol w:w="109"/>
        <w:gridCol w:w="196"/>
        <w:gridCol w:w="695"/>
        <w:gridCol w:w="109"/>
        <w:gridCol w:w="278"/>
        <w:gridCol w:w="278"/>
        <w:gridCol w:w="549"/>
      </w:tblGrid>
      <w:tr>
        <w:trPr/>
        <w:tc>
          <w:tcPr>
            <w:tcW w:w="11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(56,328)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Increase in Cash, Cash Equivalents and Restricted Cash</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2,942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13,722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(78.6)</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$56,328 for the nine months ended September 30, 2025 (Successor), as compared to $18,647 for the nine months ended September 30, 2024 (Predecessor), an increase of $37,681, or 202.1%. The increase is primarily related to an increase in the Company’s operating expenses.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by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$4,079 for the nine months ended September 30, 2025 (Successor), as compared to $5,822 for the nine months ended September 30, 2024 (Predecessor), a decrease of $1,743 or 29.9%. The decrease is primarily related to lower investments in debt securities and advances to our related parties, partially offset by reduced proceeds from sales of investments.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$63,349 for the nine months ended September 30, 2025 (Successor), as compared to $38,191 for the nine months ended September 30, 2024 (Predecessor), an increase of $25,158 or 65.9%. The increase is primarily related to proceeds from the issuance of additional debt financing.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condensed consolidated financial statements for the three and nine months ended September 30, 2025 (Successor) and three and nine months ended September 30, 2024 (Predecessor) included in Item 1. of this Form 10-Q for a discussion of our indebtedness.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September 30, 2025:</w:t>
      </w:r>
    </w:p>
    <w:tbl>
      <w:tblPr>
        <w:tblW w:w="10205" w:type="dxa"/>
        <w:jc w:val="left"/>
        <w:tblInd w:w="0" w:type="dxa"/>
        <w:tblLayout w:type="fixed"/>
        <w:tblCellMar>
          <w:top w:w="28" w:type="dxa"/>
          <w:left w:w="28" w:type="dxa"/>
          <w:bottom w:w="28" w:type="dxa"/>
          <w:right w:w="28" w:type="dxa"/>
        </w:tblCellMar>
      </w:tblPr>
      <w:tblGrid>
        <w:gridCol w:w="785"/>
        <w:gridCol w:w="615"/>
        <w:gridCol w:w="618"/>
        <w:gridCol w:w="341"/>
        <w:gridCol w:w="1022"/>
        <w:gridCol w:w="176"/>
        <w:gridCol w:w="109"/>
        <w:gridCol w:w="109"/>
        <w:gridCol w:w="109"/>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57"/>
      </w:tblGrid>
      <w:tr>
        <w:trPr/>
        <w:tc>
          <w:tcPr>
            <w:tcW w:w="78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(remaining 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3,134</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88,537</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recurring losses from operations and negative cash flows from operating activities. In addition, we continue to have an ongoing need to raise significant additional cash from outside sources to sustain our operations and fund our growth plans.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or otherwise generate sufficient revenues from our Operating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Operating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that evaluation, the Chief Executive Officer and the Chief Financial Officer have concluded that the Company's disclosure controls and procedures were not effective at a reasonable level of assurance as of September 30, 2025, because of the material weaknesses in our internal control over financial reporting. </w:t>
      </w:r>
    </w:p>
    <w:p>
      <w:pPr>
        <w:pStyle w:val="TextBody"/>
        <w:bidi w:val="0"/>
        <w:spacing w:before="0" w:after="0"/>
        <w:jc w:val="both"/>
        <w:rPr/>
      </w:pPr>
      <w:r>
        <w:rPr/>
      </w:r>
    </w:p>
    <w:p>
      <w:pPr>
        <w:pStyle w:val="TextBody"/>
        <w:bidi w:val="0"/>
        <w:spacing w:lineRule="auto" w:line="256"/>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were as follows: </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 did not maintain effectively designed and implemented controls over the costing and existence of inventory as of September 30, 2024, including controls over the calculation of such inventory on the weighted average basis;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Innventure did not maintain evidence of control procedures over the periodic reconciliation of significant accounts. This included lack of segregation of duties and lack of review.</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and (c) segregation of duties.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in the process of establishing and is refining its internal procedures and controls to address the material weaknesses previously disclosed.</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Rule 12b-2 under the Exchange Act, for this reporting period and are not required to provide the information required under this item.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Sales of Unregistered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the Securities Purchase Agreement with Yorkville in connection with the issuance and sale by the Company of the New Convertible Debentures issuable in an aggregate principal amount of up to $15,000,000, which New Convertible Debentures are convertible into Common Stock and include embedded derivatives. Pursuant to the terms of the Securities Purchase Agreement, Yorkville purchased and the Company issued, $10,000,000 in aggregate principal amount of New Convertible Debentures on September 15,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SEPA, during the three months ended September 30, 2025, the Company issued an aggregate of 523,748 shares of Common Stock to Yorkville for aggregate gross proceeds of $2,732.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Issuer Repurchases of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our directors or officers (as defined in Rule 16a-1(f) under the Exchange Act) adopted, modified or terminated a Rule 10b5-1 trading arrangement or a “non-Rule 10b5-1 trading arrangement” (as defined in Item 408 of Regulation S-K).</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1"/>
        <w:gridCol w:w="317"/>
        <w:gridCol w:w="318"/>
        <w:gridCol w:w="109"/>
        <w:gridCol w:w="109"/>
        <w:gridCol w:w="109"/>
        <w:gridCol w:w="2663"/>
        <w:gridCol w:w="2565"/>
        <w:gridCol w:w="3654"/>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By-laws of Innventure, Inc. (incorporated by reference to Exhibit 3.2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B Preferred Stock, dated October 2, 2024, of Innventure, Inc. (incorporated by reference to Exhibit 3.3 to Innventure, Inc.’s Quarterly Report on Form 10-Q filed with the SEC on May 15,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 of Series C Preferred Stock, dated March 24, 2025, of Innventure, Inc. (incorporated by reference to Exhibit 3.1 to Innventure Inc.’s Current Report on Form 8-K filed with the SEC on March 25,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w:t>
            </w:r>
            <w:hyperlink r:id="rId6">
              <w:r>
                <w:rPr>
                  <w:rStyle w:val="InternetLink"/>
                  <w:color w:val="0000FF"/>
                  <w:u w:val="single"/>
                </w:rPr>
                <w:t xml:space="preserve"> </w:t>
              </w:r>
            </w:hyperlink>
            <w:hyperlink r:id="rId7">
              <w:r>
                <w:rPr>
                  <w:rStyle w:val="InternetLink"/>
                  <w:rFonts w:ascii="Times New Roman;serif" w:hAnsi="Times New Roman;serif"/>
                  <w:b w:val="false"/>
                  <w:color w:val="0000FF"/>
                  <w:sz w:val="20"/>
                  <w:u w:val="single"/>
                </w:rPr>
                <w:t xml:space="preserve">Convertible Debenture, issued to YA II PN, Ltd., dated </w:t>
              </w:r>
            </w:hyperlink>
            <w:hyperlink r:id="rId8">
              <w:r>
                <w:rPr>
                  <w:rStyle w:val="InternetLink"/>
                  <w:rFonts w:ascii="Times New Roman;serif" w:hAnsi="Times New Roman;serif"/>
                  <w:b w:val="false"/>
                  <w:color w:val="000080"/>
                  <w:sz w:val="20"/>
                  <w:u w:val="single"/>
                </w:rPr>
                <w:t>September 15, 2025</w:t>
              </w:r>
            </w:hyperlink>
            <w:hyperlink r:id="rId9">
              <w:r>
                <w:rPr>
                  <w:rStyle w:val="InternetLink"/>
                  <w:rFonts w:ascii="Times New Roman;serif" w:hAnsi="Times New Roman;serif"/>
                  <w:b w:val="false"/>
                  <w:color w:val="000080"/>
                  <w:sz w:val="20"/>
                  <w:u w:val="single"/>
                </w:rPr>
                <w:t xml:space="preserve"> (incorporated by reference to Exhibit 4.1 to Innventure, Inc.’s Current Report on Form 8-K </w:t>
              </w:r>
            </w:hyperlink>
            <w:hyperlink r:id="rId10">
              <w:r>
                <w:rPr>
                  <w:rStyle w:val="InternetLink"/>
                  <w:rFonts w:ascii="Times New Roman;serif" w:hAnsi="Times New Roman;serif"/>
                  <w:b w:val="false"/>
                  <w:color w:val="000080"/>
                  <w:sz w:val="20"/>
                  <w:u w:val="single"/>
                </w:rPr>
                <w:t>filed with the SEC on</w:t>
              </w:r>
            </w:hyperlink>
            <w:hyperlink r:id="rId11">
              <w:r>
                <w:rPr>
                  <w:rStyle w:val="InternetLink"/>
                  <w:rFonts w:ascii="Times New Roman;serif" w:hAnsi="Times New Roman;serif"/>
                  <w:b w:val="false"/>
                  <w:color w:val="000080"/>
                  <w:sz w:val="20"/>
                  <w:u w:val="single"/>
                </w:rPr>
                <w:t xml:space="preserve"> September 16</w:t>
              </w:r>
            </w:hyperlink>
            <w:hyperlink r:id="rId12">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Securities Purchase Agreement, by and between Innventure, Inc. and YA II PN, Ltd., dated September 15, 2025</w:t>
            </w:r>
            <w:hyperlink r:id="rId13">
              <w:r>
                <w:rPr>
                  <w:rStyle w:val="InternetLink"/>
                  <w:color w:val="0000FF"/>
                  <w:u w:val="single"/>
                </w:rPr>
                <w:t xml:space="preserve"> </w:t>
              </w:r>
            </w:hyperlink>
            <w:hyperlink r:id="rId14">
              <w:r>
                <w:rPr>
                  <w:rStyle w:val="InternetLink"/>
                  <w:rFonts w:ascii="Times New Roman;serif" w:hAnsi="Times New Roman;serif"/>
                  <w:b w:val="false"/>
                  <w:color w:val="0000FF"/>
                  <w:sz w:val="20"/>
                  <w:u w:val="single"/>
                </w:rPr>
                <w:t xml:space="preserve">(incorporated by reference to Exhibit 10.1 to Innventure, Inc.’s Current Report on Form 8-K </w:t>
              </w:r>
            </w:hyperlink>
            <w:hyperlink r:id="rId15">
              <w:r>
                <w:rPr>
                  <w:rStyle w:val="InternetLink"/>
                  <w:rFonts w:ascii="Times New Roman;serif" w:hAnsi="Times New Roman;serif"/>
                  <w:b w:val="false"/>
                  <w:color w:val="000080"/>
                  <w:sz w:val="20"/>
                  <w:u w:val="single"/>
                </w:rPr>
                <w:t>filed with the SEC on</w:t>
              </w:r>
            </w:hyperlink>
            <w:hyperlink r:id="rId16">
              <w:r>
                <w:rPr>
                  <w:rStyle w:val="InternetLink"/>
                  <w:rFonts w:ascii="Times New Roman;serif" w:hAnsi="Times New Roman;serif"/>
                  <w:b w:val="false"/>
                  <w:color w:val="000080"/>
                  <w:sz w:val="20"/>
                  <w:u w:val="single"/>
                </w:rPr>
                <w:t xml:space="preserve"> </w:t>
              </w:r>
            </w:hyperlink>
            <w:hyperlink r:id="rId17">
              <w:r>
                <w:rPr>
                  <w:rStyle w:val="InternetLink"/>
                  <w:rFonts w:ascii="Times New Roman;serif" w:hAnsi="Times New Roman;serif"/>
                  <w:b w:val="false"/>
                  <w:color w:val="000080"/>
                  <w:sz w:val="20"/>
                  <w:u w:val="single"/>
                </w:rPr>
                <w:t>September 16</w:t>
              </w:r>
            </w:hyperlink>
            <w:hyperlink r:id="rId1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Global Guaranty</w:t>
            </w:r>
            <w:hyperlink r:id="rId19">
              <w:r>
                <w:rPr>
                  <w:rStyle w:val="InternetLink"/>
                  <w:color w:val="0000FF"/>
                  <w:u w:val="single"/>
                </w:rPr>
                <w:t xml:space="preserve"> </w:t>
              </w:r>
            </w:hyperlink>
            <w:hyperlink r:id="rId20">
              <w:r>
                <w:rPr>
                  <w:rStyle w:val="InternetLink"/>
                  <w:rFonts w:ascii="Times New Roman;serif" w:hAnsi="Times New Roman;serif"/>
                  <w:b w:val="false"/>
                  <w:color w:val="0000FF"/>
                  <w:sz w:val="20"/>
                  <w:u w:val="single"/>
                </w:rPr>
                <w:t>Agreement</w:t>
              </w:r>
            </w:hyperlink>
            <w:hyperlink r:id="rId21">
              <w:r>
                <w:rPr>
                  <w:rStyle w:val="InternetLink"/>
                  <w:rFonts w:ascii="Times New Roman;serif" w:hAnsi="Times New Roman;serif"/>
                  <w:b w:val="false"/>
                  <w:color w:val="000080"/>
                  <w:sz w:val="20"/>
                  <w:u w:val="single"/>
                </w:rPr>
                <w:t xml:space="preserve"> by Innventure LLC</w:t>
              </w:r>
            </w:hyperlink>
            <w:hyperlink r:id="rId22">
              <w:r>
                <w:rPr>
                  <w:rStyle w:val="InternetLink"/>
                  <w:rFonts w:ascii="Times New Roman;serif" w:hAnsi="Times New Roman;serif"/>
                  <w:b w:val="false"/>
                  <w:color w:val="000080"/>
                  <w:sz w:val="20"/>
                  <w:u w:val="single"/>
                </w:rPr>
                <w:t xml:space="preserve">, dated </w:t>
              </w:r>
            </w:hyperlink>
            <w:hyperlink r:id="rId23">
              <w:r>
                <w:rPr>
                  <w:rStyle w:val="InternetLink"/>
                  <w:rFonts w:ascii="Times New Roman;serif" w:hAnsi="Times New Roman;serif"/>
                  <w:b w:val="false"/>
                  <w:color w:val="000080"/>
                  <w:sz w:val="20"/>
                  <w:u w:val="single"/>
                </w:rPr>
                <w:t>September 15</w:t>
              </w:r>
            </w:hyperlink>
            <w:hyperlink r:id="rId24">
              <w:r>
                <w:rPr>
                  <w:rStyle w:val="InternetLink"/>
                  <w:rFonts w:ascii="Times New Roman;serif" w:hAnsi="Times New Roman;serif"/>
                  <w:b w:val="false"/>
                  <w:color w:val="000080"/>
                  <w:sz w:val="20"/>
                  <w:u w:val="single"/>
                </w:rPr>
                <w:t>, 2025</w:t>
              </w:r>
            </w:hyperlink>
            <w:hyperlink r:id="rId25">
              <w:r>
                <w:rPr>
                  <w:rStyle w:val="InternetLink"/>
                  <w:rFonts w:ascii="Times New Roman;serif" w:hAnsi="Times New Roman;serif"/>
                  <w:b w:val="false"/>
                  <w:color w:val="000080"/>
                  <w:sz w:val="20"/>
                  <w:u w:val="single"/>
                </w:rPr>
                <w:t xml:space="preserve"> (incorporated by reference to Exhibit 10.2 to Innventure, Inc.’s Current Report on Form 8-K </w:t>
              </w:r>
            </w:hyperlink>
            <w:hyperlink r:id="rId26">
              <w:r>
                <w:rPr>
                  <w:rStyle w:val="InternetLink"/>
                  <w:rFonts w:ascii="Times New Roman;serif" w:hAnsi="Times New Roman;serif"/>
                  <w:b w:val="false"/>
                  <w:color w:val="000080"/>
                  <w:sz w:val="20"/>
                  <w:u w:val="single"/>
                </w:rPr>
                <w:t>filed with the SEC on</w:t>
              </w:r>
            </w:hyperlink>
            <w:hyperlink r:id="rId27">
              <w:r>
                <w:rPr>
                  <w:rStyle w:val="InternetLink"/>
                  <w:rFonts w:ascii="Times New Roman;serif" w:hAnsi="Times New Roman;serif"/>
                  <w:b w:val="false"/>
                  <w:color w:val="000080"/>
                  <w:sz w:val="20"/>
                  <w:u w:val="single"/>
                </w:rPr>
                <w:t xml:space="preserve"> </w:t>
              </w:r>
            </w:hyperlink>
            <w:hyperlink r:id="rId28">
              <w:r>
                <w:rPr>
                  <w:rStyle w:val="InternetLink"/>
                  <w:rFonts w:ascii="Times New Roman;serif" w:hAnsi="Times New Roman;serif"/>
                  <w:b w:val="false"/>
                  <w:color w:val="000080"/>
                  <w:sz w:val="20"/>
                  <w:u w:val="single"/>
                </w:rPr>
                <w:t>September 16</w:t>
              </w:r>
            </w:hyperlink>
            <w:hyperlink r:id="rId29">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Registration Rights Agreement, dated September 15, 2025, between Innventure, Inc. and YA II PN, Ltd.</w:t>
            </w:r>
            <w:hyperlink r:id="rId30">
              <w:r>
                <w:rPr>
                  <w:rStyle w:val="InternetLink"/>
                  <w:color w:val="0000FF"/>
                  <w:u w:val="single"/>
                </w:rPr>
                <w:t xml:space="preserve"> </w:t>
              </w:r>
            </w:hyperlink>
            <w:hyperlink r:id="rId31">
              <w:r>
                <w:rPr>
                  <w:rStyle w:val="InternetLink"/>
                  <w:rFonts w:ascii="Times New Roman;serif" w:hAnsi="Times New Roman;serif"/>
                  <w:b w:val="false"/>
                  <w:color w:val="0000FF"/>
                  <w:sz w:val="20"/>
                  <w:u w:val="single"/>
                </w:rPr>
                <w:t>(incorporated by reference to Exhibit 10.</w:t>
              </w:r>
            </w:hyperlink>
            <w:hyperlink r:id="rId32">
              <w:r>
                <w:rPr>
                  <w:rStyle w:val="InternetLink"/>
                  <w:rFonts w:ascii="Times New Roman;serif" w:hAnsi="Times New Roman;serif"/>
                  <w:b w:val="false"/>
                  <w:color w:val="000080"/>
                  <w:sz w:val="20"/>
                  <w:u w:val="single"/>
                </w:rPr>
                <w:t>3</w:t>
              </w:r>
            </w:hyperlink>
            <w:hyperlink r:id="rId33">
              <w:r>
                <w:rPr>
                  <w:rStyle w:val="InternetLink"/>
                  <w:rFonts w:ascii="Times New Roman;serif" w:hAnsi="Times New Roman;serif"/>
                  <w:b w:val="false"/>
                  <w:color w:val="000080"/>
                  <w:sz w:val="20"/>
                  <w:u w:val="single"/>
                </w:rPr>
                <w:t xml:space="preserve"> to Innventure, Inc.’s Current Report on Form 8-K </w:t>
              </w:r>
            </w:hyperlink>
            <w:hyperlink r:id="rId34">
              <w:r>
                <w:rPr>
                  <w:rStyle w:val="InternetLink"/>
                  <w:rFonts w:ascii="Times New Roman;serif" w:hAnsi="Times New Roman;serif"/>
                  <w:b w:val="false"/>
                  <w:color w:val="000080"/>
                  <w:sz w:val="20"/>
                  <w:u w:val="single"/>
                </w:rPr>
                <w:t>filed with th</w:t>
              </w:r>
            </w:hyperlink>
            <w:hyperlink r:id="rId35">
              <w:r>
                <w:rPr>
                  <w:rStyle w:val="InternetLink"/>
                  <w:rFonts w:ascii="Times New Roman;serif" w:hAnsi="Times New Roman;serif"/>
                  <w:b w:val="false"/>
                  <w:color w:val="000080"/>
                  <w:sz w:val="20"/>
                  <w:u w:val="single"/>
                </w:rPr>
                <w:t>e SEC on September 16, 20</w:t>
              </w:r>
            </w:hyperlink>
            <w:hyperlink r:id="rId36">
              <w:r>
                <w:rPr>
                  <w:rStyle w:val="InternetLink"/>
                  <w:rFonts w:ascii="Times New Roman;serif" w:hAnsi="Times New Roman;serif"/>
                  <w:b w:val="false"/>
                  <w:color w:val="000080"/>
                  <w:sz w:val="20"/>
                  <w:u w:val="single"/>
                </w:rPr>
                <w:t>25</w:t>
              </w:r>
            </w:hyperlink>
            <w:hyperlink r:id="rId37">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80"/>
                  <w:sz w:val="20"/>
                  <w:u w:val="single"/>
                </w:rPr>
                <w:t>Amendment to Convertible Debentures,</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by and between Innventure, Inc. and YA II PN, Ltd.</w:t>
              </w:r>
            </w:hyperlink>
            <w:hyperlink r:id="rId41">
              <w:r>
                <w:rPr>
                  <w:rStyle w:val="InternetLink"/>
                  <w:rFonts w:ascii="Times New Roman;serif" w:hAnsi="Times New Roman;serif"/>
                  <w:b w:val="false"/>
                  <w:color w:val="000080"/>
                  <w:sz w:val="20"/>
                  <w:u w:val="single"/>
                </w:rPr>
                <w:t xml:space="preserve">, dated September 15, 2025 </w:t>
              </w:r>
            </w:hyperlink>
            <w:hyperlink r:id="rId42">
              <w:r>
                <w:rPr>
                  <w:rStyle w:val="InternetLink"/>
                  <w:rFonts w:ascii="Times New Roman;serif" w:hAnsi="Times New Roman;serif"/>
                  <w:b w:val="false"/>
                  <w:color w:val="000080"/>
                  <w:sz w:val="20"/>
                  <w:u w:val="single"/>
                </w:rPr>
                <w:t>(incorporated by reference to Exhibit 10.</w:t>
              </w:r>
            </w:hyperlink>
            <w:hyperlink r:id="rId43">
              <w:r>
                <w:rPr>
                  <w:rStyle w:val="InternetLink"/>
                  <w:rFonts w:ascii="Times New Roman;serif" w:hAnsi="Times New Roman;serif"/>
                  <w:b w:val="false"/>
                  <w:color w:val="000080"/>
                  <w:sz w:val="20"/>
                  <w:u w:val="single"/>
                </w:rPr>
                <w:t>4</w:t>
              </w:r>
            </w:hyperlink>
            <w:hyperlink r:id="rId44">
              <w:r>
                <w:rPr>
                  <w:rStyle w:val="InternetLink"/>
                  <w:rFonts w:ascii="Times New Roman;serif" w:hAnsi="Times New Roman;serif"/>
                  <w:b w:val="false"/>
                  <w:color w:val="000080"/>
                  <w:sz w:val="20"/>
                  <w:u w:val="single"/>
                </w:rPr>
                <w:t xml:space="preserve"> to Innventure, Inc.’s Current Report on Form 8-K </w:t>
              </w:r>
            </w:hyperlink>
            <w:hyperlink r:id="rId45">
              <w:r>
                <w:rPr>
                  <w:rStyle w:val="InternetLink"/>
                  <w:rFonts w:ascii="Times New Roman;serif" w:hAnsi="Times New Roman;serif"/>
                  <w:b w:val="false"/>
                  <w:color w:val="000080"/>
                  <w:sz w:val="20"/>
                  <w:u w:val="single"/>
                </w:rPr>
                <w:t xml:space="preserve">filed with the SEC on </w:t>
              </w:r>
            </w:hyperlink>
            <w:hyperlink r:id="rId46">
              <w:r>
                <w:rPr>
                  <w:rStyle w:val="InternetLink"/>
                  <w:rFonts w:ascii="Times New Roman;serif" w:hAnsi="Times New Roman;serif"/>
                  <w:b w:val="false"/>
                  <w:color w:val="000080"/>
                  <w:sz w:val="20"/>
                  <w:u w:val="single"/>
                </w:rPr>
                <w:t>September 1</w:t>
              </w:r>
            </w:hyperlink>
            <w:hyperlink r:id="rId47">
              <w:r>
                <w:rPr>
                  <w:rStyle w:val="InternetLink"/>
                  <w:rFonts w:ascii="Times New Roman;serif" w:hAnsi="Times New Roman;serif"/>
                  <w:b w:val="false"/>
                  <w:color w:val="000080"/>
                  <w:sz w:val="20"/>
                  <w:u w:val="single"/>
                </w:rPr>
                <w:t>6</w:t>
              </w:r>
            </w:hyperlink>
            <w:hyperlink r:id="rId4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Form of Term Convertible Note (incorporated by reference to Exhibit 10.1 to Innventure, Inc.’s Current Report on Form 8-K </w:t>
              </w:r>
            </w:hyperlink>
            <w:hyperlink r:id="rId50">
              <w:r>
                <w:rPr>
                  <w:rStyle w:val="InternetLink"/>
                  <w:rFonts w:ascii="Times New Roman;serif" w:hAnsi="Times New Roman;serif"/>
                  <w:b w:val="false"/>
                  <w:color w:val="000080"/>
                  <w:sz w:val="20"/>
                  <w:u w:val="single"/>
                </w:rPr>
                <w:t>filed with the SEC on</w:t>
              </w:r>
            </w:hyperlink>
            <w:hyperlink r:id="rId51">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u w:val="single"/>
                </w:rPr>
                <w:t xml:space="preserve">Form of Bridge Convertible Note (incorporated by reference to Exhibit 10.3 to Innventure, Inc.’s Current Report on Form 8-K </w:t>
              </w:r>
            </w:hyperlink>
            <w:hyperlink r:id="rId53">
              <w:r>
                <w:rPr>
                  <w:rStyle w:val="InternetLink"/>
                  <w:rFonts w:ascii="Times New Roman;serif" w:hAnsi="Times New Roman;serif"/>
                  <w:b w:val="false"/>
                  <w:color w:val="000080"/>
                  <w:sz w:val="20"/>
                  <w:u w:val="single"/>
                </w:rPr>
                <w:t>filed with the SEC on</w:t>
              </w:r>
            </w:hyperlink>
            <w:hyperlink r:id="rId54">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 xml:space="preserve">Rule 13a-14(a) Certification by Gregory W. Haskell, Chief Executive Officer, for the quarter ended </w:t>
              </w:r>
            </w:hyperlink>
            <w:hyperlink r:id="rId56">
              <w:r>
                <w:rPr>
                  <w:rStyle w:val="InternetLink"/>
                  <w:rFonts w:ascii="Times New Roman;serif" w:hAnsi="Times New Roman;serif"/>
                  <w:b w:val="false"/>
                  <w:color w:val="000080"/>
                  <w:sz w:val="20"/>
                  <w:u w:val="single"/>
                </w:rPr>
                <w:t>September</w:t>
              </w:r>
            </w:hyperlink>
            <w:hyperlink r:id="rId57">
              <w:r>
                <w:rPr>
                  <w:rStyle w:val="InternetLink"/>
                  <w:rFonts w:ascii="Times New Roman;serif" w:hAnsi="Times New Roman;serif"/>
                  <w:b w:val="false"/>
                  <w:color w:val="000080"/>
                  <w:sz w:val="20"/>
                  <w:u w:val="single"/>
                </w:rPr>
                <w:t xml:space="preserve"> 30, 2025</w:t>
              </w:r>
            </w:hyperlink>
            <w:hyperlink r:id="rId58">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80"/>
                  <w:sz w:val="20"/>
                  <w:u w:val="single"/>
                </w:rPr>
                <w:t xml:space="preserve">Rule 13a-14(a) Certification by David Yablunosky, Chief Financial Officer, for the quarter ended </w:t>
              </w:r>
            </w:hyperlink>
            <w:hyperlink r:id="rId60">
              <w:r>
                <w:rPr>
                  <w:rStyle w:val="InternetLink"/>
                  <w:rFonts w:ascii="Times New Roman;serif" w:hAnsi="Times New Roman;serif"/>
                  <w:b w:val="false"/>
                  <w:color w:val="000080"/>
                  <w:sz w:val="20"/>
                  <w:u w:val="single"/>
                </w:rPr>
                <w:t>September</w:t>
              </w:r>
            </w:hyperlink>
            <w:hyperlink r:id="rId61">
              <w:r>
                <w:rPr>
                  <w:rStyle w:val="InternetLink"/>
                  <w:rFonts w:ascii="Times New Roman;serif" w:hAnsi="Times New Roman;serif"/>
                  <w:b w:val="false"/>
                  <w:color w:val="000080"/>
                  <w:sz w:val="20"/>
                  <w:u w:val="single"/>
                </w:rPr>
                <w:t xml:space="preserve"> 30, 2025</w:t>
              </w:r>
            </w:hyperlink>
            <w:hyperlink r:id="rId62">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 xml:space="preserve">Section 1350 Certification by Gregory W. Haskell, Chief Executive Officer, for the quarter ended </w:t>
              </w:r>
            </w:hyperlink>
            <w:hyperlink r:id="rId64">
              <w:r>
                <w:rPr>
                  <w:rStyle w:val="InternetLink"/>
                  <w:rFonts w:ascii="Times New Roman;serif" w:hAnsi="Times New Roman;serif"/>
                  <w:b w:val="false"/>
                  <w:color w:val="000080"/>
                  <w:sz w:val="20"/>
                  <w:u w:val="single"/>
                </w:rPr>
                <w:t>September</w:t>
              </w:r>
            </w:hyperlink>
            <w:hyperlink r:id="rId65">
              <w:r>
                <w:rPr>
                  <w:rStyle w:val="InternetLink"/>
                  <w:rFonts w:ascii="Times New Roman;serif" w:hAnsi="Times New Roman;serif"/>
                  <w:b w:val="false"/>
                  <w:color w:val="000080"/>
                  <w:sz w:val="20"/>
                  <w:u w:val="single"/>
                </w:rPr>
                <w:t xml:space="preserve"> 30, 2025</w:t>
              </w:r>
            </w:hyperlink>
            <w:hyperlink r:id="rId66">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 xml:space="preserve">Section 1350 Certification by David Yablunosky, Chief Financial Officer, for the quarter ended </w:t>
              </w:r>
            </w:hyperlink>
            <w:hyperlink r:id="rId68">
              <w:r>
                <w:rPr>
                  <w:rStyle w:val="InternetLink"/>
                  <w:rFonts w:ascii="Times New Roman;serif" w:hAnsi="Times New Roman;serif"/>
                  <w:b w:val="false"/>
                  <w:color w:val="000080"/>
                  <w:sz w:val="20"/>
                  <w:u w:val="single"/>
                </w:rPr>
                <w:t>September</w:t>
              </w:r>
            </w:hyperlink>
            <w:hyperlink r:id="rId69">
              <w:r>
                <w:rPr>
                  <w:rStyle w:val="InternetLink"/>
                  <w:rFonts w:ascii="Times New Roman;serif" w:hAnsi="Times New Roman;serif"/>
                  <w:b w:val="false"/>
                  <w:color w:val="000080"/>
                  <w:sz w:val="20"/>
                  <w:u w:val="single"/>
                </w:rPr>
                <w:t xml:space="preserve"> 30, 202</w:t>
              </w:r>
            </w:hyperlink>
            <w:hyperlink r:id="rId70">
              <w:r>
                <w:rPr>
                  <w:rStyle w:val="InternetLink"/>
                  <w:rFonts w:ascii="Times New Roman;serif" w:hAnsi="Times New Roman;serif"/>
                  <w:b w:val="false"/>
                  <w:color w:val="000080"/>
                  <w:sz w:val="20"/>
                  <w:u w:val="single"/>
                </w:rPr>
                <w:t>5.</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809"/>
        <w:gridCol w:w="2570"/>
        <w:gridCol w:w="3635"/>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Quarterly Report on Form 10-Q for the quarter ended September 30, 2025, formatted in Inline XBRL (eXtensible Business Reporting Language): (i) Condensed Consolidated Balance Sheets as of September 30, 2025 and December 31, 2024; (ii) Condensed Consolidated Statements of Operations and Comprehensive Income (Loss) for the three and nine months ended September 30, 2025 (Successor), and for the three and nine months ended September 30, 2024 (Predecessor); (iii) Condensed Consolidated Statements of Changes in Unitholders’ Deficit for the period December 31, 2023 through the three and nine months ended September 30, 2024 (Predecessor); (iv) Condensed Consolidated Statements of Changes in Mezzanine and Stockholders’ Equity (Deficit) for the period December 31, 2024 through the three and nine months ended September 30, 2025 (Successor); (v) Condensed Consolidated Statements of Cash Flows for the nine months ended September 30, 2025 (Successor), and the nine months ended September 30, 2024 (Predecessor); and (vi) Notes to Condensed Consolidated Financial Statements.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Certain identified information has been excluded pursuant to Rule 601(b)(10) of Regulation S-K because it is both (i) not material and (ii) is the type of information that the registrant treats as private or confidential.</w:t>
      </w:r>
    </w:p>
    <w:p>
      <w:pPr>
        <w:pStyle w:val="TextBody"/>
        <w:bidi w:val="0"/>
        <w:spacing w:before="0" w:after="18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797"/>
        <w:gridCol w:w="702"/>
        <w:gridCol w:w="706"/>
        <w:gridCol w:w="298"/>
        <w:gridCol w:w="298"/>
        <w:gridCol w:w="298"/>
        <w:gridCol w:w="909"/>
        <w:gridCol w:w="909"/>
        <w:gridCol w:w="13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bl>
    <w:p>
      <w:pPr>
        <w:pStyle w:val="TextBody"/>
        <w:bidi w:val="0"/>
        <w:spacing w:before="0" w:after="6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November 12,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12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 xml:space="preserve">Entry into a Material Definitive Agreement.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Issuance of Fourth Convertible Debenture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the Current Report on Form 8-K filed by Innventure, Inc., a Delaware corporation (the “Company”), with the Securities and Exchange Commission (the “SEC”) on September 16, 2025, the Company entered into a securities purchase agreement (the “Purchase Agreement”) with YA II PN, Ltd. (“Yorkville”), for the issuance and sale by the Company of convertible debentures (the “Convertible Debentures”) issuable in an aggregate principal amount of up to $15,000,000, which Convertible Debentures are convertible into shares of the Company’s common stock, par value $0.0001 per share (the “Common Stock”) (as converted, the “Conversion Shares”). On September 15, 2025, the Company issued a Convertible Debenture to Yorkville with a principal amount of $10,000,000, resulting in gross proceeds to the Company of approximately $7,000,000, representing an original issue discount of 10% and including a concurrent $2,000,000 payment to Yorkville (as described previously).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12, 2025, the Company issued a Convertible Debenture to Yorkville with a principal amount of $5,000,000 (the “Fourth Convertible Debenture”). The Fourth Convertible Debenture will bear interest at an annual rate of 5.0%, unless an event of default occurs and remains uncured, upon which the Fourth Convertible Debenture will bear interest at an annual rate of 18.0%. The Fourth Convertible Debenture will mature on September 15, 2026 (the “Maturity Date”). The Fourth Convertible Debenture resulted in gross proceeds to the Company of approximately $4,500,000 (including the original issue discount of 10%). With respect to the Fourth Convertible Debenture, the Company will not be required to make monthly cash payments unless an Amortization Event (as defined below) has occurred and then the Company will make monthly cash payments each month until the earlier of (i) the entire outstanding amount under the Fourth Convertible Debenture has been repaid or (ii) the Amortization Event ceases, as provided in the Fourth Convertible Debenture. An “Amortization Event” means (i) the daily volume-weighted average price (“VWAP”) of the Company’s Common Stock is lower than the Floor Price (as defined below) for any five of seven consecutive trading days, (ii) the Company has issued in excess of 99% of the Common Stock available under the Exchange Cap (as defined below) or (iii) Yorkville is unable to use the Company’s registration statement on Form S-1 filed with the SEC on October 23, 2025, which registered the resale of at least 12 million Conversion Shares, for a period of 20 consecutive trading days. The monthly cash payments will be in an amount equal to 10% of the original principal amount (or the outstanding principal amount of the Fourth Convertible Debenture if lower than such amount), plus a payment premium of 5% and all accrued and unpaid interest as of the date of such payment. Such Amortization Event payments will commence 15 days following the Amortization Event.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Fourth Convertible Debenture is convertible at the option of the holder into Common Stock equal to the applicable Conversion Amount (as defined below) divided by the Conversion Price (as defined below). The conversion price for the Fourth Convertible Debenture will be the lower of (i) $7.00 per share of Common Stock (the “Fixed Price”), or (ii) 95% of the lowest daily VWAP of the Common Stock during the five consecutive trading days immediately preceding conversion date or other date of determination (the “Variable Price” and the applicable purchase price, the “Conversion Price”), but which Variable Price shall not be lower than the Floor Price then in effect. The Floor Price is $1.16, the price equal to 20% of the Minimum Price of the Common Stock (as calculated pursuant to the rules of the Nasdaq Stock Market). Any portion of the Fourth Convertible Debenture may be converted at any time and from time to time, subject to the Exchange Cap. The Conversion Amount with respect to any requested conversion will equal the principal amount requested to be converted plus all accrued and unpaid interest on the Fourth Convertible Debenture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shall not issue any Common Stock upon conversion of the Fourth Convertible Debenture held by Yorkville if the issuance of such Common Stock underlying the Fourth Convertible Debenture would exceed the aggregate number of Common Stock that the Company may issue upon conversion of the Fourth Convertible Debenture in compliance with the Company’s obligations under the rules or regulations of Nasdaq Stock Market (the “Exchange Cap”). The Exchange Cap will not apply if the Company obtains the approval of its stockholders as required by the applicable rules of the Nasdaq Stock Market for issuances of Common Stock in excess of such amount.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VWAP of the Common Stock is less than the Fixed Price, then the Fourth Convertible Debenture provides the Company, subject to certain conditions, with an optional redemption right pursuant to which the Company, upon 10 trading days’ prior written notice to Yorkville, may redeem in cash, in whole or in part, all amounts outstanding under the Fourth Convertible Debenture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pStyle w:val="TextBody"/>
        <w:bidi w:val="0"/>
        <w:spacing w:before="0" w:after="2"/>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Fourth Convertible Debenture does not purport to be complete and is qualified in its entirety by reference to the full text of such document, which is filed herewith as Exhibit 4.1 and is incorporated herein by reference.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1.01 is incorporated herein by reference.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1.01 is incorporated herein by reference. The issuance of the Fourth Convertible Debenture was, and the Conversion Shares issuable upon conversion of the Fourth Convertible Debenture will be, exempt from registration pursuant to Section 4(a)(2) of the Securities Act. Yorkville represented to the Company that it is an “accredited investor” as defined in Rule 501 of the Securities Act and that each of the Fourth Convertible Debenture and the Conversion Shares will be acquired for investment purposes and not with a view to, or for sale in connection with, any distribution thereof.</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Exhibits and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8353" w:type="dxa"/>
        <w:jc w:val="left"/>
        <w:tblInd w:w="0" w:type="dxa"/>
        <w:tblLayout w:type="fixed"/>
        <w:tblCellMar>
          <w:top w:w="28" w:type="dxa"/>
          <w:left w:w="28" w:type="dxa"/>
          <w:bottom w:w="28" w:type="dxa"/>
          <w:right w:w="28" w:type="dxa"/>
        </w:tblCellMar>
      </w:tblPr>
      <w:tblGrid>
        <w:gridCol w:w="538"/>
        <w:gridCol w:w="472"/>
        <w:gridCol w:w="474"/>
        <w:gridCol w:w="2007"/>
        <w:gridCol w:w="2007"/>
        <w:gridCol w:w="28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pPr>
            <w:r>
              <w:rPr>
                <w:rFonts w:ascii="Times New Roman;serif" w:hAnsi="Times New Roman;serif"/>
                <w:b w:val="false"/>
                <w:color w:val="000000"/>
                <w:sz w:val="20"/>
              </w:rPr>
              <w:t>4.1</w:t>
            </w:r>
            <w:r>
              <w:rPr>
                <w:rFonts w:ascii="Cambria;sans-serif" w:hAnsi="Cambria;sans-serif"/>
                <w:b w:val="false"/>
                <w:color w:val="000000"/>
                <w:sz w:val="16"/>
              </w:rPr>
              <w:t>^</w:t>
            </w:r>
          </w:p>
        </w:tc>
        <w:tc>
          <w:tcPr>
            <w:tcW w:w="686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71">
              <w:r>
                <w:rPr>
                  <w:rStyle w:val="InternetLink"/>
                  <w:rFonts w:ascii="Times New Roman;serif" w:hAnsi="Times New Roman;serif"/>
                  <w:b w:val="false"/>
                  <w:color w:val="000080"/>
                  <w:sz w:val="20"/>
                </w:rPr>
                <w:t>Fourth</w:t>
              </w:r>
            </w:hyperlink>
            <w:hyperlink r:id="rId72">
              <w:r>
                <w:rPr>
                  <w:rStyle w:val="InternetLink"/>
                  <w:rFonts w:ascii="Times New Roman;serif" w:hAnsi="Times New Roman;serif"/>
                  <w:b w:val="false"/>
                  <w:color w:val="000080"/>
                  <w:sz w:val="20"/>
                </w:rPr>
                <w:t xml:space="preserve"> Convertible Debenture, issued to YA II PN, Ltd., dated </w:t>
              </w:r>
            </w:hyperlink>
            <w:hyperlink r:id="rId73">
              <w:r>
                <w:rPr>
                  <w:rStyle w:val="InternetLink"/>
                  <w:rFonts w:ascii="Times New Roman;serif" w:hAnsi="Times New Roman;serif"/>
                  <w:b w:val="false"/>
                  <w:color w:val="000080"/>
                  <w:sz w:val="20"/>
                </w:rPr>
                <w:t>November 12</w:t>
              </w:r>
            </w:hyperlink>
            <w:hyperlink r:id="rId74">
              <w:r>
                <w:rPr>
                  <w:rStyle w:val="InternetLink"/>
                  <w:rFonts w:ascii="Times New Roman;serif" w:hAnsi="Times New Roman;serif"/>
                  <w:b w:val="false"/>
                  <w:color w:val="000080"/>
                  <w:sz w:val="20"/>
                </w:rPr>
                <w:t xml:space="preserve">, 2025.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68" w:before="0" w:after="0"/>
        <w:jc w:val="left"/>
        <w:rPr/>
      </w:pPr>
      <w:r>
        <w:rPr>
          <w:rFonts w:ascii="Cambria;sans-serif" w:hAnsi="Cambria;sans-serif"/>
          <w:b w:val="false"/>
          <w:color w:val="000000"/>
          <w:sz w:val="16"/>
        </w:rPr>
        <w:t>^    </w:t>
      </w: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60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55"/>
        <w:gridCol w:w="355"/>
        <w:gridCol w:w="355"/>
        <w:gridCol w:w="587"/>
        <w:gridCol w:w="587"/>
        <w:gridCol w:w="83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4043179/ef20036737_ex3-1.htm" TargetMode="External"/><Relationship Id="rId3" Type="http://schemas.openxmlformats.org/officeDocument/2006/relationships/hyperlink" Target="https://www.sec.gov/Archives/edgar/data/2001557/000114036124043179/ef20036737_ex3-2.htm" TargetMode="External"/><Relationship Id="rId4" Type="http://schemas.openxmlformats.org/officeDocument/2006/relationships/hyperlink" Target="https://www.sec.gov/Archives/edgar/data/2001557/000162828025025892/inv-ex33innventureseriesbp.htm" TargetMode="External"/><Relationship Id="rId5" Type="http://schemas.openxmlformats.org/officeDocument/2006/relationships/hyperlink" Target="https://www.sec.gov/Archives/edgar/data/2001557/000114036125010165/ef20045914_ex3-1.htm" TargetMode="External"/><Relationship Id="rId6" Type="http://schemas.openxmlformats.org/officeDocument/2006/relationships/hyperlink" Target="https://www.sec.gov/Archives/edgar/data/2001557/000200155725000007/exhibit41-thirdconvertible.htm" TargetMode="External"/><Relationship Id="rId7" Type="http://schemas.openxmlformats.org/officeDocument/2006/relationships/hyperlink" Target="https://www.sec.gov/Archives/edgar/data/2001557/000200155725000007/exhibit41-thirdconvertible.htm" TargetMode="External"/><Relationship Id="rId8" Type="http://schemas.openxmlformats.org/officeDocument/2006/relationships/hyperlink" Target="https://www.sec.gov/Archives/edgar/data/2001557/000200155725000007/exhibit41-thirdconvertible.htm" TargetMode="External"/><Relationship Id="rId9" Type="http://schemas.openxmlformats.org/officeDocument/2006/relationships/hyperlink" Target="https://www.sec.gov/Archives/edgar/data/2001557/000200155725000007/exhibit41-thirdconvertible.htm" TargetMode="External"/><Relationship Id="rId10" Type="http://schemas.openxmlformats.org/officeDocument/2006/relationships/hyperlink" Target="https://www.sec.gov/Archives/edgar/data/2001557/000200155725000007/exhibit41-thirdconvertible.htm" TargetMode="External"/><Relationship Id="rId11" Type="http://schemas.openxmlformats.org/officeDocument/2006/relationships/hyperlink" Target="https://www.sec.gov/Archives/edgar/data/2001557/000200155725000007/exhibit41-thirdconvertible.htm" TargetMode="External"/><Relationship Id="rId12" Type="http://schemas.openxmlformats.org/officeDocument/2006/relationships/hyperlink" Target="https://www.sec.gov/Archives/edgar/data/2001557/000200155725000007/exhibit41-thirdconvertible.htm" TargetMode="External"/><Relationship Id="rId13" Type="http://schemas.openxmlformats.org/officeDocument/2006/relationships/hyperlink" Target="https://www.sec.gov/Archives/edgar/data/2001557/000200155725000007/exhibit101-securitiespurch.htm" TargetMode="External"/><Relationship Id="rId14" Type="http://schemas.openxmlformats.org/officeDocument/2006/relationships/hyperlink" Target="https://www.sec.gov/Archives/edgar/data/2001557/000200155725000007/exhibit101-securitiespurch.htm" TargetMode="External"/><Relationship Id="rId15" Type="http://schemas.openxmlformats.org/officeDocument/2006/relationships/hyperlink" Target="https://www.sec.gov/Archives/edgar/data/2001557/000200155725000007/exhibit101-securitiespurch.htm" TargetMode="External"/><Relationship Id="rId16" Type="http://schemas.openxmlformats.org/officeDocument/2006/relationships/hyperlink" Target="https://www.sec.gov/Archives/edgar/data/2001557/000200155725000007/exhibit101-securitiespurch.htm" TargetMode="External"/><Relationship Id="rId17" Type="http://schemas.openxmlformats.org/officeDocument/2006/relationships/hyperlink" Target="https://www.sec.gov/Archives/edgar/data/2001557/000200155725000007/exhibit101-securitiespurch.htm" TargetMode="External"/><Relationship Id="rId18" Type="http://schemas.openxmlformats.org/officeDocument/2006/relationships/hyperlink" Target="https://www.sec.gov/Archives/edgar/data/2001557/000200155725000007/exhibit101-securitiespurch.htm" TargetMode="External"/><Relationship Id="rId19" Type="http://schemas.openxmlformats.org/officeDocument/2006/relationships/hyperlink" Target="https://www.sec.gov/Archives/edgar/data/2001557/000200155725000007/exhibit102-globalguarantya.htm" TargetMode="External"/><Relationship Id="rId20" Type="http://schemas.openxmlformats.org/officeDocument/2006/relationships/hyperlink" Target="https://www.sec.gov/Archives/edgar/data/2001557/000200155725000007/exhibit102-globalguarantya.htm" TargetMode="External"/><Relationship Id="rId21" Type="http://schemas.openxmlformats.org/officeDocument/2006/relationships/hyperlink" Target="https://www.sec.gov/Archives/edgar/data/2001557/000200155725000007/exhibit102-globalguarantya.htm" TargetMode="External"/><Relationship Id="rId22" Type="http://schemas.openxmlformats.org/officeDocument/2006/relationships/hyperlink" Target="https://www.sec.gov/Archives/edgar/data/2001557/000200155725000007/exhibit102-globalguarantya.htm" TargetMode="External"/><Relationship Id="rId23" Type="http://schemas.openxmlformats.org/officeDocument/2006/relationships/hyperlink" Target="https://www.sec.gov/Archives/edgar/data/2001557/000200155725000007/exhibit102-globalguarantya.htm" TargetMode="External"/><Relationship Id="rId24" Type="http://schemas.openxmlformats.org/officeDocument/2006/relationships/hyperlink" Target="https://www.sec.gov/Archives/edgar/data/2001557/000200155725000007/exhibit102-globalguarantya.htm" TargetMode="External"/><Relationship Id="rId25" Type="http://schemas.openxmlformats.org/officeDocument/2006/relationships/hyperlink" Target="https://www.sec.gov/Archives/edgar/data/2001557/000200155725000007/exhibit102-globalguarantya.htm" TargetMode="External"/><Relationship Id="rId26" Type="http://schemas.openxmlformats.org/officeDocument/2006/relationships/hyperlink" Target="https://www.sec.gov/Archives/edgar/data/2001557/000200155725000007/exhibit102-globalguarantya.htm" TargetMode="External"/><Relationship Id="rId27" Type="http://schemas.openxmlformats.org/officeDocument/2006/relationships/hyperlink" Target="https://www.sec.gov/Archives/edgar/data/2001557/000200155725000007/exhibit102-globalguarantya.htm" TargetMode="External"/><Relationship Id="rId28" Type="http://schemas.openxmlformats.org/officeDocument/2006/relationships/hyperlink" Target="https://www.sec.gov/Archives/edgar/data/2001557/000200155725000007/exhibit102-globalguarantya.htm" TargetMode="External"/><Relationship Id="rId29" Type="http://schemas.openxmlformats.org/officeDocument/2006/relationships/hyperlink" Target="https://www.sec.gov/Archives/edgar/data/2001557/000200155725000007/exhibit102-globalguarantya.htm" TargetMode="External"/><Relationship Id="rId30" Type="http://schemas.openxmlformats.org/officeDocument/2006/relationships/hyperlink" Target="https://www.sec.gov/Archives/edgar/data/2001557/000200155725000007/exhibit103-registrationrig.htm" TargetMode="External"/><Relationship Id="rId31" Type="http://schemas.openxmlformats.org/officeDocument/2006/relationships/hyperlink" Target="https://www.sec.gov/Archives/edgar/data/2001557/000200155725000007/exhibit103-registrationrig.htm" TargetMode="External"/><Relationship Id="rId32" Type="http://schemas.openxmlformats.org/officeDocument/2006/relationships/hyperlink" Target="https://www.sec.gov/Archives/edgar/data/2001557/000200155725000007/exhibit103-registrationrig.htm" TargetMode="External"/><Relationship Id="rId33" Type="http://schemas.openxmlformats.org/officeDocument/2006/relationships/hyperlink" Target="https://www.sec.gov/Archives/edgar/data/2001557/000200155725000007/exhibit103-registrationrig.htm" TargetMode="External"/><Relationship Id="rId34" Type="http://schemas.openxmlformats.org/officeDocument/2006/relationships/hyperlink" Target="https://www.sec.gov/Archives/edgar/data/2001557/000200155725000007/exhibit103-registrationrig.htm" TargetMode="External"/><Relationship Id="rId35" Type="http://schemas.openxmlformats.org/officeDocument/2006/relationships/hyperlink" Target="https://www.sec.gov/Archives/edgar/data/2001557/000200155725000007/exhibit103-registrationrig.htm" TargetMode="External"/><Relationship Id="rId36" Type="http://schemas.openxmlformats.org/officeDocument/2006/relationships/hyperlink" Target="https://www.sec.gov/Archives/edgar/data/2001557/000200155725000007/exhibit103-registrationrig.htm" TargetMode="External"/><Relationship Id="rId37" Type="http://schemas.openxmlformats.org/officeDocument/2006/relationships/hyperlink" Target="https://www.sec.gov/Archives/edgar/data/2001557/000200155725000007/exhibit103-registrationrig.htm" TargetMode="External"/><Relationship Id="rId38" Type="http://schemas.openxmlformats.org/officeDocument/2006/relationships/hyperlink" Target="https://www.sec.gov/Archives/edgar/data/2001557/000200155725000007/exhibit104-amendmenttoconv.htm" TargetMode="External"/><Relationship Id="rId39" Type="http://schemas.openxmlformats.org/officeDocument/2006/relationships/hyperlink" Target="https://www.sec.gov/Archives/edgar/data/2001557/000200155725000007/exhibit104-amendmenttoconv.htm" TargetMode="External"/><Relationship Id="rId40" Type="http://schemas.openxmlformats.org/officeDocument/2006/relationships/hyperlink" Target="https://www.sec.gov/Archives/edgar/data/2001557/000200155725000007/exhibit104-amendmenttoconv.htm" TargetMode="External"/><Relationship Id="rId41" Type="http://schemas.openxmlformats.org/officeDocument/2006/relationships/hyperlink" Target="https://www.sec.gov/Archives/edgar/data/2001557/000200155725000007/exhibit104-amendmenttoconv.htm" TargetMode="External"/><Relationship Id="rId42" Type="http://schemas.openxmlformats.org/officeDocument/2006/relationships/hyperlink" Target="https://www.sec.gov/Archives/edgar/data/2001557/000200155725000007/exhibit104-amendmenttoconv.htm" TargetMode="External"/><Relationship Id="rId43" Type="http://schemas.openxmlformats.org/officeDocument/2006/relationships/hyperlink" Target="https://www.sec.gov/Archives/edgar/data/2001557/000200155725000007/exhibit104-amendmenttoconv.htm" TargetMode="External"/><Relationship Id="rId44" Type="http://schemas.openxmlformats.org/officeDocument/2006/relationships/hyperlink" Target="https://www.sec.gov/Archives/edgar/data/2001557/000200155725000007/exhibit104-amendmenttoconv.htm" TargetMode="External"/><Relationship Id="rId45" Type="http://schemas.openxmlformats.org/officeDocument/2006/relationships/hyperlink" Target="https://www.sec.gov/Archives/edgar/data/2001557/000200155725000007/exhibit104-amendmenttoconv.htm" TargetMode="External"/><Relationship Id="rId46" Type="http://schemas.openxmlformats.org/officeDocument/2006/relationships/hyperlink" Target="https://www.sec.gov/Archives/edgar/data/2001557/000200155725000007/exhibit104-amendmenttoconv.htm" TargetMode="External"/><Relationship Id="rId47" Type="http://schemas.openxmlformats.org/officeDocument/2006/relationships/hyperlink" Target="https://www.sec.gov/Archives/edgar/data/2001557/000200155725000007/exhibit104-amendmenttoconv.htm" TargetMode="External"/><Relationship Id="rId48" Type="http://schemas.openxmlformats.org/officeDocument/2006/relationships/hyperlink" Target="https://www.sec.gov/Archives/edgar/data/2001557/000200155725000007/exhibit104-amendmenttoconv.htm" TargetMode="External"/><Relationship Id="rId49" Type="http://schemas.openxmlformats.org/officeDocument/2006/relationships/hyperlink" Target="https://www.sec.gov/Archives/edgar/data/2001557/000162828025033614/exhibit101.htm" TargetMode="External"/><Relationship Id="rId50" Type="http://schemas.openxmlformats.org/officeDocument/2006/relationships/hyperlink" Target="https://www.sec.gov/Archives/edgar/data/2001557/000162828025033614/exhibit101.htm" TargetMode="External"/><Relationship Id="rId51" Type="http://schemas.openxmlformats.org/officeDocument/2006/relationships/hyperlink" Target="https://www.sec.gov/Archives/edgar/data/2001557/000162828025033614/exhibit101.htm" TargetMode="External"/><Relationship Id="rId52" Type="http://schemas.openxmlformats.org/officeDocument/2006/relationships/hyperlink" Target="https://www.sec.gov/Archives/edgar/data/2001557/000162828025033614/exhibit103.htm" TargetMode="External"/><Relationship Id="rId53" Type="http://schemas.openxmlformats.org/officeDocument/2006/relationships/hyperlink" Target="https://www.sec.gov/Archives/edgar/data/2001557/000162828025033614/exhibit103.htm" TargetMode="External"/><Relationship Id="rId54" Type="http://schemas.openxmlformats.org/officeDocument/2006/relationships/hyperlink" Target="https://www.sec.gov/Archives/edgar/data/2001557/000162828025033614/exhibit103.htm" TargetMode="External"/><Relationship Id="rId55" Type="http://schemas.openxmlformats.org/officeDocument/2006/relationships/hyperlink" Target="https://www.sec.gov/Archives/edgar/data/2001557/000162828025052035/inv-exhibit311to2025q310xq.htm" TargetMode="External"/><Relationship Id="rId56" Type="http://schemas.openxmlformats.org/officeDocument/2006/relationships/hyperlink" Target="https://www.sec.gov/Archives/edgar/data/2001557/000162828025052035/inv-exhibit311to2025q310xq.htm" TargetMode="External"/><Relationship Id="rId57" Type="http://schemas.openxmlformats.org/officeDocument/2006/relationships/hyperlink" Target="https://www.sec.gov/Archives/edgar/data/2001557/000162828025052035/inv-exhibit311to2025q310xq.htm" TargetMode="External"/><Relationship Id="rId58" Type="http://schemas.openxmlformats.org/officeDocument/2006/relationships/hyperlink" Target="https://www.sec.gov/Archives/edgar/data/2001557/000162828025052035/inv-exhibit311to2025q310xq.htm" TargetMode="External"/><Relationship Id="rId59" Type="http://schemas.openxmlformats.org/officeDocument/2006/relationships/hyperlink" Target="https://www.sec.gov/Archives/edgar/data/2001557/000162828025052035/inv-exhibit312to2025q310xq.htm" TargetMode="External"/><Relationship Id="rId60" Type="http://schemas.openxmlformats.org/officeDocument/2006/relationships/hyperlink" Target="https://www.sec.gov/Archives/edgar/data/2001557/000162828025052035/inv-exhibit312to2025q310xq.htm" TargetMode="External"/><Relationship Id="rId61" Type="http://schemas.openxmlformats.org/officeDocument/2006/relationships/hyperlink" Target="https://www.sec.gov/Archives/edgar/data/2001557/000162828025052035/inv-exhibit312to2025q310xq.htm" TargetMode="External"/><Relationship Id="rId62" Type="http://schemas.openxmlformats.org/officeDocument/2006/relationships/hyperlink" Target="https://www.sec.gov/Archives/edgar/data/2001557/000162828025052035/inv-exhibit312to2025q310xq.htm" TargetMode="External"/><Relationship Id="rId63" Type="http://schemas.openxmlformats.org/officeDocument/2006/relationships/hyperlink" Target="https://www.sec.gov/Archives/edgar/data/2001557/000162828025052035/inv-exhibit321to2025q310xq.htm" TargetMode="External"/><Relationship Id="rId64" Type="http://schemas.openxmlformats.org/officeDocument/2006/relationships/hyperlink" Target="https://www.sec.gov/Archives/edgar/data/2001557/000162828025052035/inv-exhibit321to2025q310xq.htm" TargetMode="External"/><Relationship Id="rId65" Type="http://schemas.openxmlformats.org/officeDocument/2006/relationships/hyperlink" Target="https://www.sec.gov/Archives/edgar/data/2001557/000162828025052035/inv-exhibit321to2025q310xq.htm" TargetMode="External"/><Relationship Id="rId66" Type="http://schemas.openxmlformats.org/officeDocument/2006/relationships/hyperlink" Target="https://www.sec.gov/Archives/edgar/data/2001557/000162828025052035/inv-exhibit321to2025q310xq.htm" TargetMode="External"/><Relationship Id="rId67" Type="http://schemas.openxmlformats.org/officeDocument/2006/relationships/hyperlink" Target="https://www.sec.gov/Archives/edgar/data/2001557/000162828025052035/inv-exhibit322to2025q310xq.htm" TargetMode="External"/><Relationship Id="rId68" Type="http://schemas.openxmlformats.org/officeDocument/2006/relationships/hyperlink" Target="https://www.sec.gov/Archives/edgar/data/2001557/000162828025052035/inv-exhibit322to2025q310xq.htm" TargetMode="External"/><Relationship Id="rId69" Type="http://schemas.openxmlformats.org/officeDocument/2006/relationships/hyperlink" Target="https://www.sec.gov/Archives/edgar/data/2001557/000162828025052035/inv-exhibit322to2025q310xq.htm" TargetMode="External"/><Relationship Id="rId70" Type="http://schemas.openxmlformats.org/officeDocument/2006/relationships/hyperlink" Target="https://www.sec.gov/Archives/edgar/data/2001557/000162828025052035/inv-exhibit322to2025q310xq.htm" TargetMode="External"/><Relationship Id="rId71" Type="http://schemas.openxmlformats.org/officeDocument/2006/relationships/hyperlink" Target="https://www.sec.gov/Archives/edgar/data/2001557/000162828025051586/inv-ex41to8xkfourthconvert.htm" TargetMode="External"/><Relationship Id="rId72" Type="http://schemas.openxmlformats.org/officeDocument/2006/relationships/hyperlink" Target="https://www.sec.gov/Archives/edgar/data/2001557/000162828025051586/inv-ex41to8xkfourthconvert.htm" TargetMode="External"/><Relationship Id="rId73" Type="http://schemas.openxmlformats.org/officeDocument/2006/relationships/hyperlink" Target="https://www.sec.gov/Archives/edgar/data/2001557/000162828025051586/inv-ex41to8xkfourthconvert.htm" TargetMode="External"/><Relationship Id="rId74" Type="http://schemas.openxmlformats.org/officeDocument/2006/relationships/hyperlink" Target="https://www.sec.gov/Archives/edgar/data/2001557/000162828025051586/inv-ex41to8xkfourthconvert.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28401</Words>
  <Characters>158284</Characters>
  <CharactersWithSpaces>185144</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