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March 18, 2026, Innventure, Inc. (the “Company”) filed a registration statement on Form S-3 (the “Registration Statement”) with the Securities and Exchange Commission to register the resale of shares of the Company’s common stock, par value $0.0001 per share (“Common Stock”) by certain selling stockholders.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Registration Statement does not represent new equity issuances or stockholder dilution, rather, it consolidates prior registration statements to fulfill existing contractual obligations relating to previously disclosed securities and contractual arrangements. Specifically, the Registration Statement consolidates the Company’s three prior registration statements on Form S-1 (File Nos. 333-282971, 333-286558, and 333-291034) into a single registration statement on Form S-3 to streamline the Company’s resale registration process.</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shares of Common Stock covered by the Registration Statement either (i) have already been issued, are currently outstanding and were previously registered on prior registration statements on Form S-1 or (ii) are to be issued upon the conversion or exercise of previously issued securities that the Company has disclosed and for which the Company has previously received consideration or adopted pursuant to existing agreements.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will not receive any proceeds from the resale of shares of Common Stock by the selling stockholders, except to the extent the Company elects to issue shares at its discretion pursuant to its Standby Equity Purchase Agreement with YA II PN, Ltd, dated as of October 24, 2023, or receives proceeds from the cash exercise of certain warrants, as further described in the Registration Statement.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6"/>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20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9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29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2026-03-19T05:11:33Z</dcterms:created>
  <dcterms:modified xsi:type="dcterms:W3CDTF">2026-03-19T05:11:33Z</dcterms:modified>
</cp:coreProperties>
</file>