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45784M 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WE-INN LLC</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2045 W Grand Ave Ste B, PMB 82152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Chicago, IL 60612-1577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(312) 248-2523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880" w:type="dxa"/>
            <w:vAlign w:val="bottom"/>
            <w:tcBorders>
              <w:top w:val="single" w:sz="8" w:color="auto"/>
              <w:left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CUSIP No. 45784M 108</w:t>
            </w:r>
          </w:p>
        </w:tc>
        <w:tc>
          <w:tcPr>
            <w:tcW w:w="1160" w:type="dxa"/>
            <w:vAlign w:val="bottom"/>
          </w:tcPr>
          <w:p>
            <w:pPr>
              <w:spacing w:after="0"/>
              <w:rPr>
                <w:sz w:val="21"/>
                <w:szCs w:val="21"/>
                <w:color w:val="auto"/>
              </w:rPr>
            </w:pPr>
          </w:p>
        </w:tc>
        <w:tc>
          <w:tcPr>
            <w:tcW w:w="2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20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Page 2 of 7 Pages</w:t>
            </w:r>
          </w:p>
        </w:tc>
        <w:tc>
          <w:tcPr>
            <w:tcW w:w="54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400" w:type="dxa"/>
            <w:vAlign w:val="bottom"/>
            <w:tcBorders>
              <w:right w:val="single" w:sz="8" w:color="auto"/>
            </w:tcBorders>
          </w:tcPr>
          <w:p>
            <w:pPr>
              <w:spacing w:after="0"/>
              <w:rPr>
                <w:sz w:val="18"/>
                <w:szCs w:val="18"/>
                <w:color w:val="auto"/>
              </w:rPr>
            </w:pPr>
          </w:p>
        </w:tc>
        <w:tc>
          <w:tcPr>
            <w:tcW w:w="36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2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WE-INN LLC</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240" w:type="dxa"/>
            <w:vAlign w:val="bottom"/>
            <w:tcBorders>
              <w:bottom w:val="single" w:sz="8" w:color="auto"/>
            </w:tcBorders>
            <w:gridSpan w:val="6"/>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400" w:type="dxa"/>
            <w:vAlign w:val="bottom"/>
            <w:tcBorders>
              <w:right w:val="single" w:sz="8" w:color="auto"/>
            </w:tcBorders>
          </w:tcPr>
          <w:p>
            <w:pPr>
              <w:spacing w:after="0"/>
              <w:rPr>
                <w:sz w:val="19"/>
                <w:szCs w:val="19"/>
                <w:color w:val="auto"/>
              </w:rPr>
            </w:pPr>
          </w:p>
        </w:tc>
        <w:tc>
          <w:tcPr>
            <w:tcW w:w="6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CHECK THE APPROPRIATE BOX IF A MEMBER OF A GROUP</w:t>
            </w:r>
          </w:p>
        </w:tc>
        <w:tc>
          <w:tcPr>
            <w:tcW w:w="3200" w:type="dxa"/>
            <w:vAlign w:val="bottom"/>
          </w:tcPr>
          <w:p>
            <w:pPr>
              <w:spacing w:after="0"/>
              <w:rPr>
                <w:sz w:val="19"/>
                <w:szCs w:val="19"/>
                <w:color w:val="auto"/>
              </w:rPr>
            </w:pPr>
          </w:p>
        </w:tc>
        <w:tc>
          <w:tcPr>
            <w:tcW w:w="54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50"/>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5"/>
        </w:trPr>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400" w:type="dxa"/>
            <w:vAlign w:val="bottom"/>
            <w:tcBorders>
              <w:right w:val="single" w:sz="8" w:color="auto"/>
            </w:tcBorders>
          </w:tcPr>
          <w:p>
            <w:pPr>
              <w:spacing w:after="0"/>
              <w:rPr>
                <w:sz w:val="18"/>
                <w:szCs w:val="18"/>
                <w:color w:val="auto"/>
              </w:rPr>
            </w:pP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SEC USE ONLY</w:t>
            </w:r>
          </w:p>
        </w:tc>
        <w:tc>
          <w:tcPr>
            <w:tcW w:w="1120" w:type="dxa"/>
            <w:vAlign w:val="bottom"/>
            <w:tcBorders>
              <w:right w:val="single" w:sz="8" w:color="BFBFBF"/>
            </w:tcBorders>
            <w:shd w:val="clear" w:color="auto" w:fill="BFBFBF"/>
          </w:tcPr>
          <w:p>
            <w:pPr>
              <w:spacing w:after="0"/>
              <w:rPr>
                <w:sz w:val="18"/>
                <w:szCs w:val="18"/>
                <w:color w:val="auto"/>
              </w:rPr>
            </w:pPr>
          </w:p>
        </w:tc>
        <w:tc>
          <w:tcPr>
            <w:tcW w:w="1160" w:type="dxa"/>
            <w:vAlign w:val="bottom"/>
            <w:shd w:val="clear" w:color="auto" w:fill="BFBFBF"/>
          </w:tcPr>
          <w:p>
            <w:pPr>
              <w:spacing w:after="0"/>
              <w:rPr>
                <w:sz w:val="18"/>
                <w:szCs w:val="18"/>
                <w:color w:val="auto"/>
              </w:rPr>
            </w:pPr>
          </w:p>
        </w:tc>
        <w:tc>
          <w:tcPr>
            <w:tcW w:w="2640" w:type="dxa"/>
            <w:vAlign w:val="bottom"/>
            <w:tcBorders>
              <w:right w:val="single" w:sz="8" w:color="BFBFBF"/>
            </w:tcBorders>
            <w:shd w:val="clear" w:color="auto" w:fill="BFBFBF"/>
          </w:tcPr>
          <w:p>
            <w:pPr>
              <w:spacing w:after="0"/>
              <w:rPr>
                <w:sz w:val="18"/>
                <w:szCs w:val="18"/>
                <w:color w:val="auto"/>
              </w:rPr>
            </w:pPr>
          </w:p>
        </w:tc>
        <w:tc>
          <w:tcPr>
            <w:tcW w:w="3200" w:type="dxa"/>
            <w:vAlign w:val="bottom"/>
            <w:shd w:val="clear" w:color="auto" w:fill="BFBFBF"/>
          </w:tcPr>
          <w:p>
            <w:pPr>
              <w:spacing w:after="0"/>
              <w:rPr>
                <w:sz w:val="18"/>
                <w:szCs w:val="18"/>
                <w:color w:val="auto"/>
              </w:rPr>
            </w:pPr>
          </w:p>
        </w:tc>
        <w:tc>
          <w:tcPr>
            <w:tcW w:w="5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1120" w:type="dxa"/>
            <w:vAlign w:val="bottom"/>
            <w:tcBorders>
              <w:right w:val="single" w:sz="8" w:color="BFBFBF"/>
            </w:tcBorders>
            <w:shd w:val="clear" w:color="auto" w:fill="BFBFBF"/>
          </w:tcPr>
          <w:p>
            <w:pPr>
              <w:spacing w:after="0"/>
              <w:rPr>
                <w:sz w:val="24"/>
                <w:szCs w:val="24"/>
                <w:color w:val="auto"/>
              </w:rPr>
            </w:pPr>
          </w:p>
        </w:tc>
        <w:tc>
          <w:tcPr>
            <w:tcW w:w="1160" w:type="dxa"/>
            <w:vAlign w:val="bottom"/>
            <w:shd w:val="clear" w:color="auto" w:fill="BFBFBF"/>
          </w:tcPr>
          <w:p>
            <w:pPr>
              <w:spacing w:after="0"/>
              <w:rPr>
                <w:sz w:val="24"/>
                <w:szCs w:val="24"/>
                <w:color w:val="auto"/>
              </w:rPr>
            </w:pPr>
          </w:p>
        </w:tc>
        <w:tc>
          <w:tcPr>
            <w:tcW w:w="2640" w:type="dxa"/>
            <w:vAlign w:val="bottom"/>
            <w:tcBorders>
              <w:right w:val="single" w:sz="8" w:color="BFBFBF"/>
            </w:tcBorders>
            <w:shd w:val="clear" w:color="auto" w:fill="BFBFBF"/>
          </w:tcPr>
          <w:p>
            <w:pPr>
              <w:spacing w:after="0"/>
              <w:rPr>
                <w:sz w:val="24"/>
                <w:szCs w:val="24"/>
                <w:color w:val="auto"/>
              </w:rPr>
            </w:pPr>
          </w:p>
        </w:tc>
        <w:tc>
          <w:tcPr>
            <w:tcW w:w="3200" w:type="dxa"/>
            <w:vAlign w:val="bottom"/>
            <w:shd w:val="clear" w:color="auto" w:fill="BFBFBF"/>
          </w:tcPr>
          <w:p>
            <w:pPr>
              <w:spacing w:after="0"/>
              <w:rPr>
                <w:sz w:val="24"/>
                <w:szCs w:val="24"/>
                <w:color w:val="auto"/>
              </w:rPr>
            </w:pPr>
          </w:p>
        </w:tc>
        <w:tc>
          <w:tcPr>
            <w:tcW w:w="5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80" w:type="dxa"/>
            <w:vAlign w:val="bottom"/>
            <w:tcBorders>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BFBFBF"/>
            </w:tcBorders>
            <w:shd w:val="clear" w:color="auto" w:fill="BFBFBF"/>
          </w:tcPr>
          <w:p>
            <w:pPr>
              <w:spacing w:after="0"/>
              <w:rPr>
                <w:sz w:val="22"/>
                <w:szCs w:val="22"/>
                <w:color w:val="auto"/>
              </w:rPr>
            </w:pPr>
          </w:p>
        </w:tc>
        <w:tc>
          <w:tcPr>
            <w:tcW w:w="6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2280" w:type="dxa"/>
            <w:vAlign w:val="bottom"/>
            <w:tcBorders>
              <w:bottom w:val="single" w:sz="8" w:color="auto"/>
            </w:tcBorders>
            <w:gridSpan w:val="2"/>
            <w:shd w:val="clear" w:color="auto" w:fill="BFBFBF"/>
          </w:tcPr>
          <w:p>
            <w:pPr>
              <w:spacing w:after="0"/>
              <w:rPr>
                <w:sz w:val="22"/>
                <w:szCs w:val="22"/>
                <w:color w:val="auto"/>
              </w:rPr>
            </w:pPr>
          </w:p>
        </w:tc>
        <w:tc>
          <w:tcPr>
            <w:tcW w:w="2640" w:type="dxa"/>
            <w:vAlign w:val="bottom"/>
            <w:tcBorders>
              <w:bottom w:val="single" w:sz="8" w:color="auto"/>
              <w:right w:val="single" w:sz="8" w:color="BFBFBF"/>
            </w:tcBorders>
            <w:shd w:val="clear" w:color="auto" w:fill="BFBFBF"/>
          </w:tcPr>
          <w:p>
            <w:pPr>
              <w:spacing w:after="0"/>
              <w:rPr>
                <w:sz w:val="22"/>
                <w:szCs w:val="22"/>
                <w:color w:val="auto"/>
              </w:rPr>
            </w:pPr>
          </w:p>
        </w:tc>
        <w:tc>
          <w:tcPr>
            <w:tcW w:w="3200" w:type="dxa"/>
            <w:vAlign w:val="bottom"/>
            <w:tcBorders>
              <w:bottom w:val="single" w:sz="8" w:color="auto"/>
            </w:tcBorders>
            <w:shd w:val="clear" w:color="auto" w:fill="BFBFBF"/>
          </w:tcPr>
          <w:p>
            <w:pPr>
              <w:spacing w:after="0"/>
              <w:rPr>
                <w:sz w:val="22"/>
                <w:szCs w:val="22"/>
                <w:color w:val="auto"/>
              </w:rPr>
            </w:pPr>
          </w:p>
        </w:tc>
        <w:tc>
          <w:tcPr>
            <w:tcW w:w="54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400" w:type="dxa"/>
            <w:vAlign w:val="bottom"/>
            <w:tcBorders>
              <w:right w:val="single" w:sz="8" w:color="auto"/>
            </w:tcBorders>
          </w:tcPr>
          <w:p>
            <w:pPr>
              <w:spacing w:after="0"/>
              <w:rPr>
                <w:sz w:val="18"/>
                <w:szCs w:val="18"/>
                <w:color w:val="auto"/>
              </w:rPr>
            </w:pPr>
          </w:p>
        </w:tc>
        <w:tc>
          <w:tcPr>
            <w:tcW w:w="36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SOURCE OF FUNDS (SEE INSTRUCTIONS)</w:t>
            </w:r>
          </w:p>
        </w:tc>
        <w:tc>
          <w:tcPr>
            <w:tcW w:w="2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OO</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9440" w:type="dxa"/>
            <w:vAlign w:val="bottom"/>
            <w:tcBorders>
              <w:bottom w:val="single" w:sz="8" w:color="auto"/>
            </w:tcBorders>
            <w:gridSpan w:val="7"/>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400" w:type="dxa"/>
            <w:vAlign w:val="bottom"/>
            <w:tcBorders>
              <w:right w:val="single" w:sz="8" w:color="auto"/>
            </w:tcBorders>
          </w:tcPr>
          <w:p>
            <w:pPr>
              <w:spacing w:after="0"/>
              <w:rPr>
                <w:sz w:val="23"/>
                <w:szCs w:val="23"/>
                <w:color w:val="auto"/>
              </w:rPr>
            </w:pPr>
          </w:p>
        </w:tc>
        <w:tc>
          <w:tcPr>
            <w:tcW w:w="944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CHECK BOX IF DISCLOSURE OF LEGAL PROCEEDINGS IS REQUIRED PURSUANT TO ITEM 2(D) OR 2(E)</w:t>
            </w:r>
          </w:p>
        </w:tc>
        <w:tc>
          <w:tcPr>
            <w:tcW w:w="54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12"/>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3600" w:type="dxa"/>
            <w:vAlign w:val="bottom"/>
            <w:tcBorders>
              <w:bottom w:val="single" w:sz="8" w:color="auto"/>
            </w:tcBorders>
            <w:gridSpan w:val="5"/>
          </w:tcPr>
          <w:p>
            <w:pPr>
              <w:spacing w:after="0"/>
              <w:rPr>
                <w:sz w:val="16"/>
                <w:szCs w:val="16"/>
                <w:color w:val="auto"/>
              </w:rPr>
            </w:pPr>
          </w:p>
        </w:tc>
        <w:tc>
          <w:tcPr>
            <w:tcW w:w="26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400" w:type="dxa"/>
            <w:vAlign w:val="bottom"/>
            <w:tcBorders>
              <w:right w:val="single" w:sz="8" w:color="auto"/>
            </w:tcBorders>
          </w:tcPr>
          <w:p>
            <w:pPr>
              <w:spacing w:after="0"/>
              <w:rPr>
                <w:sz w:val="18"/>
                <w:szCs w:val="18"/>
                <w:color w:val="auto"/>
              </w:rPr>
            </w:pPr>
          </w:p>
        </w:tc>
        <w:tc>
          <w:tcPr>
            <w:tcW w:w="36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2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USA</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2"/>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2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2280" w:type="dxa"/>
            <w:vAlign w:val="bottom"/>
            <w:tcBorders>
              <w:bottom w:val="single" w:sz="8" w:color="auto"/>
            </w:tcBorders>
            <w:gridSpan w:val="2"/>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2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9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8,697,656</w:t>
            </w:r>
          </w:p>
        </w:tc>
        <w:tc>
          <w:tcPr>
            <w:tcW w:w="11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BENEFICIALLY</w:t>
            </w:r>
          </w:p>
        </w:tc>
        <w:tc>
          <w:tcPr>
            <w:tcW w:w="140" w:type="dxa"/>
            <w:vAlign w:val="bottom"/>
          </w:tcPr>
          <w:p>
            <w:pPr>
              <w:spacing w:after="0"/>
              <w:rPr>
                <w:sz w:val="17"/>
                <w:szCs w:val="17"/>
                <w:color w:val="auto"/>
              </w:rPr>
            </w:pPr>
          </w:p>
        </w:tc>
        <w:tc>
          <w:tcPr>
            <w:tcW w:w="540" w:type="dxa"/>
            <w:vAlign w:val="bottom"/>
            <w:tcBorders>
              <w:right w:val="single" w:sz="8" w:color="auto"/>
            </w:tcBorders>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9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OWNED BY EACH</w:t>
            </w: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920" w:type="dxa"/>
            <w:vAlign w:val="bottom"/>
            <w:tcBorders>
              <w:right w:val="single" w:sz="8" w:color="auto"/>
            </w:tcBorders>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SOLE DISPOSITIVE POWER</w:t>
            </w:r>
          </w:p>
        </w:tc>
        <w:tc>
          <w:tcPr>
            <w:tcW w:w="2640" w:type="dxa"/>
            <w:vAlign w:val="bottom"/>
          </w:tcPr>
          <w:p>
            <w:pPr>
              <w:spacing w:after="0"/>
              <w:rPr>
                <w:sz w:val="6"/>
                <w:szCs w:val="6"/>
                <w:color w:val="auto"/>
              </w:rPr>
            </w:pPr>
          </w:p>
        </w:tc>
        <w:tc>
          <w:tcPr>
            <w:tcW w:w="320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9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140" w:type="dxa"/>
            <w:vAlign w:val="bottom"/>
          </w:tcPr>
          <w:p>
            <w:pPr>
              <w:spacing w:after="0"/>
              <w:rPr>
                <w:sz w:val="12"/>
                <w:szCs w:val="12"/>
                <w:color w:val="auto"/>
              </w:rPr>
            </w:pPr>
          </w:p>
        </w:tc>
        <w:tc>
          <w:tcPr>
            <w:tcW w:w="540" w:type="dxa"/>
            <w:vAlign w:val="bottom"/>
            <w:tcBorders>
              <w:right w:val="single" w:sz="8" w:color="auto"/>
            </w:tcBorders>
            <w:vMerge w:val="restart"/>
          </w:tcPr>
          <w:p>
            <w:pPr>
              <w:jc w:val="center"/>
              <w:spacing w:after="0" w:line="367" w:lineRule="exact"/>
              <w:rPr>
                <w:sz w:val="20"/>
                <w:szCs w:val="20"/>
                <w:color w:val="auto"/>
              </w:rPr>
            </w:pPr>
            <w:r>
              <w:rPr>
                <w:rFonts w:ascii="Times New Roman" w:cs="Times New Roman" w:eastAsia="Times New Roman" w:hAnsi="Times New Roman"/>
                <w:sz w:val="32"/>
                <w:szCs w:val="32"/>
                <w:b w:val="1"/>
                <w:bCs w:val="1"/>
                <w:color w:val="auto"/>
              </w:rPr>
              <w:t>9</w:t>
            </w:r>
          </w:p>
        </w:tc>
        <w:tc>
          <w:tcPr>
            <w:tcW w:w="2280" w:type="dxa"/>
            <w:vAlign w:val="bottom"/>
            <w:gridSpan w:val="2"/>
            <w:vMerge w:val="continue"/>
          </w:tcPr>
          <w:p>
            <w:pPr>
              <w:spacing w:after="0"/>
              <w:rPr>
                <w:sz w:val="12"/>
                <w:szCs w:val="12"/>
                <w:color w:val="auto"/>
              </w:rPr>
            </w:pPr>
          </w:p>
        </w:tc>
        <w:tc>
          <w:tcPr>
            <w:tcW w:w="26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1920" w:type="dxa"/>
            <w:vAlign w:val="bottom"/>
            <w:tcBorders>
              <w:right w:val="single" w:sz="8" w:color="auto"/>
            </w:tcBorders>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vMerge w:val="continue"/>
          </w:tcPr>
          <w:p>
            <w:pPr>
              <w:spacing w:after="0"/>
              <w:rPr>
                <w:sz w:val="5"/>
                <w:szCs w:val="5"/>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160" w:type="dxa"/>
            <w:vAlign w:val="bottom"/>
          </w:tcPr>
          <w:p>
            <w:pPr>
              <w:spacing w:after="0"/>
              <w:rPr>
                <w:sz w:val="5"/>
                <w:szCs w:val="5"/>
                <w:color w:val="auto"/>
              </w:rPr>
            </w:pPr>
          </w:p>
        </w:tc>
        <w:tc>
          <w:tcPr>
            <w:tcW w:w="2640" w:type="dxa"/>
            <w:vAlign w:val="bottom"/>
          </w:tcPr>
          <w:p>
            <w:pPr>
              <w:spacing w:after="0"/>
              <w:rPr>
                <w:sz w:val="5"/>
                <w:szCs w:val="5"/>
                <w:color w:val="auto"/>
              </w:rPr>
            </w:pPr>
          </w:p>
        </w:tc>
        <w:tc>
          <w:tcPr>
            <w:tcW w:w="320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9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WITH</w:t>
            </w:r>
          </w:p>
        </w:tc>
        <w:tc>
          <w:tcPr>
            <w:tcW w:w="140" w:type="dxa"/>
            <w:vAlign w:val="bottom"/>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920" w:type="dxa"/>
            <w:vAlign w:val="bottom"/>
            <w:tcBorders>
              <w:right w:val="single" w:sz="8" w:color="auto"/>
            </w:tcBorders>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40" w:type="dxa"/>
            <w:vAlign w:val="bottom"/>
          </w:tcPr>
          <w:p>
            <w:pPr>
              <w:spacing w:after="0"/>
              <w:rPr>
                <w:sz w:val="4"/>
                <w:szCs w:val="4"/>
                <w:color w:val="auto"/>
              </w:rPr>
            </w:pPr>
          </w:p>
        </w:tc>
        <w:tc>
          <w:tcPr>
            <w:tcW w:w="320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920" w:type="dxa"/>
            <w:vAlign w:val="bottom"/>
            <w:tcBorders>
              <w:bottom w:val="single" w:sz="8" w:color="auto"/>
            </w:tcBorders>
            <w:gridSpan w:val="3"/>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4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8,697,656</w:t>
            </w: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spacing w:after="0"/>
              <w:rPr>
                <w:sz w:val="12"/>
                <w:szCs w:val="12"/>
                <w:color w:val="auto"/>
              </w:rPr>
            </w:pPr>
          </w:p>
        </w:tc>
        <w:tc>
          <w:tcPr>
            <w:tcW w:w="4920" w:type="dxa"/>
            <w:vAlign w:val="bottom"/>
            <w:tcBorders>
              <w:bottom w:val="single" w:sz="8" w:color="auto"/>
            </w:tcBorders>
            <w:gridSpan w:val="3"/>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45"/>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6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AGGREGATE AMOUNT BENEFICIALLY OWNED BY EACH REPORTING PERSON</w:t>
            </w: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8,697,656</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120" w:type="dxa"/>
            <w:vAlign w:val="bottom"/>
            <w:tcBorders>
              <w:bottom w:val="single" w:sz="8" w:color="auto"/>
            </w:tcBorders>
            <w:gridSpan w:val="4"/>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400" w:type="dxa"/>
            <w:vAlign w:val="bottom"/>
            <w:tcBorders>
              <w:right w:val="single" w:sz="8" w:color="auto"/>
            </w:tcBorders>
          </w:tcPr>
          <w:p>
            <w:pPr>
              <w:spacing w:after="0"/>
              <w:rPr>
                <w:sz w:val="23"/>
                <w:szCs w:val="23"/>
                <w:color w:val="auto"/>
              </w:rPr>
            </w:pPr>
          </w:p>
        </w:tc>
        <w:tc>
          <w:tcPr>
            <w:tcW w:w="944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CHECK BOX IF THE AGGREGATE AMOUNT IN ROW (11) EXCLUDES CERTAIN SHARES (SEE INSTRUCTIONS)</w:t>
            </w:r>
          </w:p>
        </w:tc>
        <w:tc>
          <w:tcPr>
            <w:tcW w:w="54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12"/>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16"/>
                <w:szCs w:val="16"/>
                <w:color w:val="auto"/>
              </w:rPr>
            </w:pPr>
          </w:p>
        </w:tc>
        <w:tc>
          <w:tcPr>
            <w:tcW w:w="4920" w:type="dxa"/>
            <w:vAlign w:val="bottom"/>
            <w:tcBorders>
              <w:bottom w:val="single" w:sz="8" w:color="auto"/>
            </w:tcBorders>
            <w:gridSpan w:val="3"/>
          </w:tcPr>
          <w:p>
            <w:pPr>
              <w:spacing w:after="0"/>
              <w:rPr>
                <w:sz w:val="16"/>
                <w:szCs w:val="16"/>
                <w:color w:val="auto"/>
              </w:rPr>
            </w:pPr>
          </w:p>
        </w:tc>
        <w:tc>
          <w:tcPr>
            <w:tcW w:w="320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400" w:type="dxa"/>
            <w:vAlign w:val="bottom"/>
            <w:tcBorders>
              <w:right w:val="single" w:sz="8" w:color="auto"/>
            </w:tcBorders>
          </w:tcPr>
          <w:p>
            <w:pPr>
              <w:spacing w:after="0"/>
              <w:rPr>
                <w:sz w:val="18"/>
                <w:szCs w:val="18"/>
                <w:color w:val="auto"/>
              </w:rPr>
            </w:pPr>
          </w:p>
        </w:tc>
        <w:tc>
          <w:tcPr>
            <w:tcW w:w="6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(11)</w:t>
            </w: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19.5%(1)</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4920" w:type="dxa"/>
            <w:vAlign w:val="bottom"/>
            <w:tcBorders>
              <w:bottom w:val="single" w:sz="8" w:color="auto"/>
            </w:tcBorders>
            <w:gridSpan w:val="3"/>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400" w:type="dxa"/>
            <w:vAlign w:val="bottom"/>
            <w:tcBorders>
              <w:right w:val="single" w:sz="8" w:color="auto"/>
            </w:tcBorders>
          </w:tcPr>
          <w:p>
            <w:pPr>
              <w:spacing w:after="0"/>
              <w:rPr>
                <w:sz w:val="18"/>
                <w:szCs w:val="18"/>
                <w:color w:val="auto"/>
              </w:rPr>
            </w:pPr>
          </w:p>
        </w:tc>
        <w:tc>
          <w:tcPr>
            <w:tcW w:w="6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OO</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foregoing percentage is based on 44,602,623 shares of common stock outstanding as of October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880" w:type="dxa"/>
            <w:vAlign w:val="bottom"/>
            <w:tcBorders>
              <w:top w:val="single" w:sz="8" w:color="auto"/>
              <w:left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CUSIP No. 45784M 108</w:t>
            </w:r>
          </w:p>
        </w:tc>
        <w:tc>
          <w:tcPr>
            <w:tcW w:w="1160" w:type="dxa"/>
            <w:vAlign w:val="bottom"/>
          </w:tcPr>
          <w:p>
            <w:pPr>
              <w:spacing w:after="0"/>
              <w:rPr>
                <w:sz w:val="21"/>
                <w:szCs w:val="21"/>
                <w:color w:val="auto"/>
              </w:rPr>
            </w:pPr>
          </w:p>
        </w:tc>
        <w:tc>
          <w:tcPr>
            <w:tcW w:w="2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20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Page 3 of 7 Pages</w:t>
            </w:r>
          </w:p>
        </w:tc>
        <w:tc>
          <w:tcPr>
            <w:tcW w:w="54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5"/>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400" w:type="dxa"/>
            <w:vAlign w:val="bottom"/>
            <w:tcBorders>
              <w:right w:val="single" w:sz="8" w:color="auto"/>
            </w:tcBorders>
          </w:tcPr>
          <w:p>
            <w:pPr>
              <w:spacing w:after="0"/>
              <w:rPr>
                <w:sz w:val="18"/>
                <w:szCs w:val="18"/>
                <w:color w:val="auto"/>
              </w:rPr>
            </w:pPr>
          </w:p>
        </w:tc>
        <w:tc>
          <w:tcPr>
            <w:tcW w:w="36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2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36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Gregory D. Wasson</w:t>
            </w: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240" w:type="dxa"/>
            <w:vAlign w:val="bottom"/>
            <w:tcBorders>
              <w:bottom w:val="single" w:sz="8" w:color="auto"/>
            </w:tcBorders>
            <w:gridSpan w:val="6"/>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400" w:type="dxa"/>
            <w:vAlign w:val="bottom"/>
            <w:tcBorders>
              <w:right w:val="single" w:sz="8" w:color="auto"/>
            </w:tcBorders>
          </w:tcPr>
          <w:p>
            <w:pPr>
              <w:spacing w:after="0"/>
              <w:rPr>
                <w:sz w:val="19"/>
                <w:szCs w:val="19"/>
                <w:color w:val="auto"/>
              </w:rPr>
            </w:pPr>
          </w:p>
        </w:tc>
        <w:tc>
          <w:tcPr>
            <w:tcW w:w="6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CHECK THE APPROPRIATE BOX IF A MEMBER OF A GROUP</w:t>
            </w:r>
          </w:p>
        </w:tc>
        <w:tc>
          <w:tcPr>
            <w:tcW w:w="3200" w:type="dxa"/>
            <w:vAlign w:val="bottom"/>
          </w:tcPr>
          <w:p>
            <w:pPr>
              <w:spacing w:after="0"/>
              <w:rPr>
                <w:sz w:val="19"/>
                <w:szCs w:val="19"/>
                <w:color w:val="auto"/>
              </w:rPr>
            </w:pPr>
          </w:p>
        </w:tc>
        <w:tc>
          <w:tcPr>
            <w:tcW w:w="54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50"/>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5"/>
        </w:trPr>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400" w:type="dxa"/>
            <w:vAlign w:val="bottom"/>
            <w:tcBorders>
              <w:right w:val="single" w:sz="8" w:color="auto"/>
            </w:tcBorders>
          </w:tcPr>
          <w:p>
            <w:pPr>
              <w:spacing w:after="0"/>
              <w:rPr>
                <w:sz w:val="18"/>
                <w:szCs w:val="18"/>
                <w:color w:val="auto"/>
              </w:rPr>
            </w:pP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SEC USE ONLY</w:t>
            </w:r>
          </w:p>
        </w:tc>
        <w:tc>
          <w:tcPr>
            <w:tcW w:w="1120" w:type="dxa"/>
            <w:vAlign w:val="bottom"/>
            <w:tcBorders>
              <w:right w:val="single" w:sz="8" w:color="BFBFBF"/>
            </w:tcBorders>
            <w:shd w:val="clear" w:color="auto" w:fill="BFBFBF"/>
          </w:tcPr>
          <w:p>
            <w:pPr>
              <w:spacing w:after="0"/>
              <w:rPr>
                <w:sz w:val="18"/>
                <w:szCs w:val="18"/>
                <w:color w:val="auto"/>
              </w:rPr>
            </w:pPr>
          </w:p>
        </w:tc>
        <w:tc>
          <w:tcPr>
            <w:tcW w:w="1160" w:type="dxa"/>
            <w:vAlign w:val="bottom"/>
            <w:shd w:val="clear" w:color="auto" w:fill="BFBFBF"/>
          </w:tcPr>
          <w:p>
            <w:pPr>
              <w:spacing w:after="0"/>
              <w:rPr>
                <w:sz w:val="18"/>
                <w:szCs w:val="18"/>
                <w:color w:val="auto"/>
              </w:rPr>
            </w:pPr>
          </w:p>
        </w:tc>
        <w:tc>
          <w:tcPr>
            <w:tcW w:w="2640" w:type="dxa"/>
            <w:vAlign w:val="bottom"/>
            <w:tcBorders>
              <w:right w:val="single" w:sz="8" w:color="BFBFBF"/>
            </w:tcBorders>
            <w:shd w:val="clear" w:color="auto" w:fill="BFBFBF"/>
          </w:tcPr>
          <w:p>
            <w:pPr>
              <w:spacing w:after="0"/>
              <w:rPr>
                <w:sz w:val="18"/>
                <w:szCs w:val="18"/>
                <w:color w:val="auto"/>
              </w:rPr>
            </w:pPr>
          </w:p>
        </w:tc>
        <w:tc>
          <w:tcPr>
            <w:tcW w:w="3200" w:type="dxa"/>
            <w:vAlign w:val="bottom"/>
            <w:shd w:val="clear" w:color="auto" w:fill="BFBFBF"/>
          </w:tcPr>
          <w:p>
            <w:pPr>
              <w:spacing w:after="0"/>
              <w:rPr>
                <w:sz w:val="18"/>
                <w:szCs w:val="18"/>
                <w:color w:val="auto"/>
              </w:rPr>
            </w:pPr>
          </w:p>
        </w:tc>
        <w:tc>
          <w:tcPr>
            <w:tcW w:w="5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1120" w:type="dxa"/>
            <w:vAlign w:val="bottom"/>
            <w:tcBorders>
              <w:right w:val="single" w:sz="8" w:color="BFBFBF"/>
            </w:tcBorders>
            <w:shd w:val="clear" w:color="auto" w:fill="BFBFBF"/>
          </w:tcPr>
          <w:p>
            <w:pPr>
              <w:spacing w:after="0"/>
              <w:rPr>
                <w:sz w:val="24"/>
                <w:szCs w:val="24"/>
                <w:color w:val="auto"/>
              </w:rPr>
            </w:pPr>
          </w:p>
        </w:tc>
        <w:tc>
          <w:tcPr>
            <w:tcW w:w="1160" w:type="dxa"/>
            <w:vAlign w:val="bottom"/>
            <w:shd w:val="clear" w:color="auto" w:fill="BFBFBF"/>
          </w:tcPr>
          <w:p>
            <w:pPr>
              <w:spacing w:after="0"/>
              <w:rPr>
                <w:sz w:val="24"/>
                <w:szCs w:val="24"/>
                <w:color w:val="auto"/>
              </w:rPr>
            </w:pPr>
          </w:p>
        </w:tc>
        <w:tc>
          <w:tcPr>
            <w:tcW w:w="2640" w:type="dxa"/>
            <w:vAlign w:val="bottom"/>
            <w:tcBorders>
              <w:right w:val="single" w:sz="8" w:color="BFBFBF"/>
            </w:tcBorders>
            <w:shd w:val="clear" w:color="auto" w:fill="BFBFBF"/>
          </w:tcPr>
          <w:p>
            <w:pPr>
              <w:spacing w:after="0"/>
              <w:rPr>
                <w:sz w:val="24"/>
                <w:szCs w:val="24"/>
                <w:color w:val="auto"/>
              </w:rPr>
            </w:pPr>
          </w:p>
        </w:tc>
        <w:tc>
          <w:tcPr>
            <w:tcW w:w="3200" w:type="dxa"/>
            <w:vAlign w:val="bottom"/>
            <w:shd w:val="clear" w:color="auto" w:fill="BFBFBF"/>
          </w:tcPr>
          <w:p>
            <w:pPr>
              <w:spacing w:after="0"/>
              <w:rPr>
                <w:sz w:val="24"/>
                <w:szCs w:val="24"/>
                <w:color w:val="auto"/>
              </w:rPr>
            </w:pPr>
          </w:p>
        </w:tc>
        <w:tc>
          <w:tcPr>
            <w:tcW w:w="5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80" w:type="dxa"/>
            <w:vAlign w:val="bottom"/>
            <w:tcBorders>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BFBFBF"/>
            </w:tcBorders>
            <w:shd w:val="clear" w:color="auto" w:fill="BFBFBF"/>
          </w:tcPr>
          <w:p>
            <w:pPr>
              <w:spacing w:after="0"/>
              <w:rPr>
                <w:sz w:val="22"/>
                <w:szCs w:val="22"/>
                <w:color w:val="auto"/>
              </w:rPr>
            </w:pPr>
          </w:p>
        </w:tc>
        <w:tc>
          <w:tcPr>
            <w:tcW w:w="6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2280" w:type="dxa"/>
            <w:vAlign w:val="bottom"/>
            <w:tcBorders>
              <w:bottom w:val="single" w:sz="8" w:color="auto"/>
            </w:tcBorders>
            <w:gridSpan w:val="2"/>
            <w:shd w:val="clear" w:color="auto" w:fill="BFBFBF"/>
          </w:tcPr>
          <w:p>
            <w:pPr>
              <w:spacing w:after="0"/>
              <w:rPr>
                <w:sz w:val="22"/>
                <w:szCs w:val="22"/>
                <w:color w:val="auto"/>
              </w:rPr>
            </w:pPr>
          </w:p>
        </w:tc>
        <w:tc>
          <w:tcPr>
            <w:tcW w:w="2640" w:type="dxa"/>
            <w:vAlign w:val="bottom"/>
            <w:tcBorders>
              <w:bottom w:val="single" w:sz="8" w:color="auto"/>
              <w:right w:val="single" w:sz="8" w:color="BFBFBF"/>
            </w:tcBorders>
            <w:shd w:val="clear" w:color="auto" w:fill="BFBFBF"/>
          </w:tcPr>
          <w:p>
            <w:pPr>
              <w:spacing w:after="0"/>
              <w:rPr>
                <w:sz w:val="22"/>
                <w:szCs w:val="22"/>
                <w:color w:val="auto"/>
              </w:rPr>
            </w:pPr>
          </w:p>
        </w:tc>
        <w:tc>
          <w:tcPr>
            <w:tcW w:w="3200" w:type="dxa"/>
            <w:vAlign w:val="bottom"/>
            <w:tcBorders>
              <w:bottom w:val="single" w:sz="8" w:color="auto"/>
            </w:tcBorders>
            <w:shd w:val="clear" w:color="auto" w:fill="BFBFBF"/>
          </w:tcPr>
          <w:p>
            <w:pPr>
              <w:spacing w:after="0"/>
              <w:rPr>
                <w:sz w:val="22"/>
                <w:szCs w:val="22"/>
                <w:color w:val="auto"/>
              </w:rPr>
            </w:pPr>
          </w:p>
        </w:tc>
        <w:tc>
          <w:tcPr>
            <w:tcW w:w="54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400" w:type="dxa"/>
            <w:vAlign w:val="bottom"/>
            <w:tcBorders>
              <w:right w:val="single" w:sz="8" w:color="auto"/>
            </w:tcBorders>
          </w:tcPr>
          <w:p>
            <w:pPr>
              <w:spacing w:after="0"/>
              <w:rPr>
                <w:sz w:val="18"/>
                <w:szCs w:val="18"/>
                <w:color w:val="auto"/>
              </w:rPr>
            </w:pPr>
          </w:p>
        </w:tc>
        <w:tc>
          <w:tcPr>
            <w:tcW w:w="36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SOURCE OF FUNDS (SEE INSTRUCTIONS)</w:t>
            </w:r>
          </w:p>
        </w:tc>
        <w:tc>
          <w:tcPr>
            <w:tcW w:w="2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OO</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9440" w:type="dxa"/>
            <w:vAlign w:val="bottom"/>
            <w:tcBorders>
              <w:bottom w:val="single" w:sz="8" w:color="auto"/>
            </w:tcBorders>
            <w:gridSpan w:val="7"/>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400" w:type="dxa"/>
            <w:vAlign w:val="bottom"/>
            <w:tcBorders>
              <w:right w:val="single" w:sz="8" w:color="auto"/>
            </w:tcBorders>
          </w:tcPr>
          <w:p>
            <w:pPr>
              <w:spacing w:after="0"/>
              <w:rPr>
                <w:sz w:val="23"/>
                <w:szCs w:val="23"/>
                <w:color w:val="auto"/>
              </w:rPr>
            </w:pPr>
          </w:p>
        </w:tc>
        <w:tc>
          <w:tcPr>
            <w:tcW w:w="944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CHECK BOX IF DISCLOSURE OF LEGAL PROCEEDINGS IS REQUIRED PURSUANT TO ITEM 2(D) OR 2(E)</w:t>
            </w:r>
          </w:p>
        </w:tc>
        <w:tc>
          <w:tcPr>
            <w:tcW w:w="54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12"/>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3600" w:type="dxa"/>
            <w:vAlign w:val="bottom"/>
            <w:tcBorders>
              <w:bottom w:val="single" w:sz="8" w:color="auto"/>
            </w:tcBorders>
            <w:gridSpan w:val="5"/>
          </w:tcPr>
          <w:p>
            <w:pPr>
              <w:spacing w:after="0"/>
              <w:rPr>
                <w:sz w:val="16"/>
                <w:szCs w:val="16"/>
                <w:color w:val="auto"/>
              </w:rPr>
            </w:pPr>
          </w:p>
        </w:tc>
        <w:tc>
          <w:tcPr>
            <w:tcW w:w="26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400" w:type="dxa"/>
            <w:vAlign w:val="bottom"/>
            <w:tcBorders>
              <w:right w:val="single" w:sz="8" w:color="auto"/>
            </w:tcBorders>
          </w:tcPr>
          <w:p>
            <w:pPr>
              <w:spacing w:after="0"/>
              <w:rPr>
                <w:sz w:val="18"/>
                <w:szCs w:val="18"/>
                <w:color w:val="auto"/>
              </w:rPr>
            </w:pPr>
          </w:p>
        </w:tc>
        <w:tc>
          <w:tcPr>
            <w:tcW w:w="36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2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USA</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2"/>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2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2280" w:type="dxa"/>
            <w:vAlign w:val="bottom"/>
            <w:tcBorders>
              <w:bottom w:val="single" w:sz="8" w:color="auto"/>
            </w:tcBorders>
            <w:gridSpan w:val="2"/>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2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9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8,697,656</w:t>
            </w:r>
          </w:p>
        </w:tc>
        <w:tc>
          <w:tcPr>
            <w:tcW w:w="11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BENEFICIALLY</w:t>
            </w:r>
          </w:p>
        </w:tc>
        <w:tc>
          <w:tcPr>
            <w:tcW w:w="120" w:type="dxa"/>
            <w:vAlign w:val="bottom"/>
          </w:tcPr>
          <w:p>
            <w:pPr>
              <w:spacing w:after="0"/>
              <w:rPr>
                <w:sz w:val="17"/>
                <w:szCs w:val="17"/>
                <w:color w:val="auto"/>
              </w:rPr>
            </w:pPr>
          </w:p>
        </w:tc>
        <w:tc>
          <w:tcPr>
            <w:tcW w:w="560" w:type="dxa"/>
            <w:vAlign w:val="bottom"/>
            <w:tcBorders>
              <w:right w:val="single" w:sz="8" w:color="auto"/>
            </w:tcBorders>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9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OWNED BY EACH</w:t>
            </w: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920" w:type="dxa"/>
            <w:vAlign w:val="bottom"/>
            <w:tcBorders>
              <w:right w:val="single" w:sz="8" w:color="auto"/>
            </w:tcBorders>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SOLE DISPOSITIVE POWER</w:t>
            </w:r>
          </w:p>
        </w:tc>
        <w:tc>
          <w:tcPr>
            <w:tcW w:w="2640" w:type="dxa"/>
            <w:vAlign w:val="bottom"/>
          </w:tcPr>
          <w:p>
            <w:pPr>
              <w:spacing w:after="0"/>
              <w:rPr>
                <w:sz w:val="6"/>
                <w:szCs w:val="6"/>
                <w:color w:val="auto"/>
              </w:rPr>
            </w:pPr>
          </w:p>
        </w:tc>
        <w:tc>
          <w:tcPr>
            <w:tcW w:w="320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9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120" w:type="dxa"/>
            <w:vAlign w:val="bottom"/>
          </w:tcPr>
          <w:p>
            <w:pPr>
              <w:spacing w:after="0"/>
              <w:rPr>
                <w:sz w:val="12"/>
                <w:szCs w:val="12"/>
                <w:color w:val="auto"/>
              </w:rPr>
            </w:pPr>
          </w:p>
        </w:tc>
        <w:tc>
          <w:tcPr>
            <w:tcW w:w="560" w:type="dxa"/>
            <w:vAlign w:val="bottom"/>
            <w:tcBorders>
              <w:right w:val="single" w:sz="8" w:color="auto"/>
            </w:tcBorders>
            <w:vMerge w:val="restart"/>
          </w:tcPr>
          <w:p>
            <w:pPr>
              <w:jc w:val="center"/>
              <w:spacing w:after="0" w:line="367" w:lineRule="exact"/>
              <w:rPr>
                <w:sz w:val="20"/>
                <w:szCs w:val="20"/>
                <w:color w:val="auto"/>
              </w:rPr>
            </w:pPr>
            <w:r>
              <w:rPr>
                <w:rFonts w:ascii="Times New Roman" w:cs="Times New Roman" w:eastAsia="Times New Roman" w:hAnsi="Times New Roman"/>
                <w:sz w:val="32"/>
                <w:szCs w:val="32"/>
                <w:b w:val="1"/>
                <w:bCs w:val="1"/>
                <w:color w:val="auto"/>
              </w:rPr>
              <w:t>9</w:t>
            </w:r>
          </w:p>
        </w:tc>
        <w:tc>
          <w:tcPr>
            <w:tcW w:w="2280" w:type="dxa"/>
            <w:vAlign w:val="bottom"/>
            <w:gridSpan w:val="2"/>
            <w:vMerge w:val="continue"/>
          </w:tcPr>
          <w:p>
            <w:pPr>
              <w:spacing w:after="0"/>
              <w:rPr>
                <w:sz w:val="12"/>
                <w:szCs w:val="12"/>
                <w:color w:val="auto"/>
              </w:rPr>
            </w:pPr>
          </w:p>
        </w:tc>
        <w:tc>
          <w:tcPr>
            <w:tcW w:w="26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1920" w:type="dxa"/>
            <w:vAlign w:val="bottom"/>
            <w:tcBorders>
              <w:right w:val="single" w:sz="8" w:color="auto"/>
            </w:tcBorders>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160" w:type="dxa"/>
            <w:vAlign w:val="bottom"/>
          </w:tcPr>
          <w:p>
            <w:pPr>
              <w:spacing w:after="0"/>
              <w:rPr>
                <w:sz w:val="5"/>
                <w:szCs w:val="5"/>
                <w:color w:val="auto"/>
              </w:rPr>
            </w:pPr>
          </w:p>
        </w:tc>
        <w:tc>
          <w:tcPr>
            <w:tcW w:w="2640" w:type="dxa"/>
            <w:vAlign w:val="bottom"/>
          </w:tcPr>
          <w:p>
            <w:pPr>
              <w:spacing w:after="0"/>
              <w:rPr>
                <w:sz w:val="5"/>
                <w:szCs w:val="5"/>
                <w:color w:val="auto"/>
              </w:rPr>
            </w:pPr>
          </w:p>
        </w:tc>
        <w:tc>
          <w:tcPr>
            <w:tcW w:w="320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9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WITH</w:t>
            </w:r>
          </w:p>
        </w:tc>
        <w:tc>
          <w:tcPr>
            <w:tcW w:w="120" w:type="dxa"/>
            <w:vAlign w:val="bottom"/>
          </w:tcPr>
          <w:p>
            <w:pPr>
              <w:spacing w:after="0"/>
              <w:rPr>
                <w:sz w:val="14"/>
                <w:szCs w:val="14"/>
                <w:color w:val="auto"/>
              </w:rPr>
            </w:pPr>
          </w:p>
        </w:tc>
        <w:tc>
          <w:tcPr>
            <w:tcW w:w="560" w:type="dxa"/>
            <w:vAlign w:val="bottom"/>
            <w:tcBorders>
              <w:right w:val="single" w:sz="8" w:color="auto"/>
            </w:tcBorders>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920" w:type="dxa"/>
            <w:vAlign w:val="bottom"/>
            <w:tcBorders>
              <w:right w:val="single" w:sz="8" w:color="auto"/>
            </w:tcBorders>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40" w:type="dxa"/>
            <w:vAlign w:val="bottom"/>
          </w:tcPr>
          <w:p>
            <w:pPr>
              <w:spacing w:after="0"/>
              <w:rPr>
                <w:sz w:val="4"/>
                <w:szCs w:val="4"/>
                <w:color w:val="auto"/>
              </w:rPr>
            </w:pPr>
          </w:p>
        </w:tc>
        <w:tc>
          <w:tcPr>
            <w:tcW w:w="320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920" w:type="dxa"/>
            <w:vAlign w:val="bottom"/>
            <w:tcBorders>
              <w:bottom w:val="single" w:sz="8" w:color="auto"/>
            </w:tcBorders>
            <w:gridSpan w:val="3"/>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4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8,697,656</w:t>
            </w: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spacing w:after="0"/>
              <w:rPr>
                <w:sz w:val="12"/>
                <w:szCs w:val="12"/>
                <w:color w:val="auto"/>
              </w:rPr>
            </w:pPr>
          </w:p>
        </w:tc>
        <w:tc>
          <w:tcPr>
            <w:tcW w:w="4920" w:type="dxa"/>
            <w:vAlign w:val="bottom"/>
            <w:tcBorders>
              <w:bottom w:val="single" w:sz="8" w:color="auto"/>
            </w:tcBorders>
            <w:gridSpan w:val="3"/>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45"/>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6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AGGREGATE AMOUNT BENEFICIALLY OWNED BY EACH REPORTING PERSON</w:t>
            </w: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8,697,656 (1)</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120" w:type="dxa"/>
            <w:vAlign w:val="bottom"/>
            <w:tcBorders>
              <w:bottom w:val="single" w:sz="8" w:color="auto"/>
            </w:tcBorders>
            <w:gridSpan w:val="4"/>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400" w:type="dxa"/>
            <w:vAlign w:val="bottom"/>
            <w:tcBorders>
              <w:right w:val="single" w:sz="8" w:color="auto"/>
            </w:tcBorders>
          </w:tcPr>
          <w:p>
            <w:pPr>
              <w:spacing w:after="0"/>
              <w:rPr>
                <w:sz w:val="23"/>
                <w:szCs w:val="23"/>
                <w:color w:val="auto"/>
              </w:rPr>
            </w:pPr>
          </w:p>
        </w:tc>
        <w:tc>
          <w:tcPr>
            <w:tcW w:w="944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CHECK BOX IF THE AGGREGATE AMOUNT IN ROW (11) EXCLUDES CERTAIN SHARES (SEE INSTRUCTIONS)</w:t>
            </w:r>
          </w:p>
        </w:tc>
        <w:tc>
          <w:tcPr>
            <w:tcW w:w="54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12"/>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16"/>
                <w:szCs w:val="16"/>
                <w:color w:val="auto"/>
              </w:rPr>
            </w:pPr>
          </w:p>
        </w:tc>
        <w:tc>
          <w:tcPr>
            <w:tcW w:w="4920" w:type="dxa"/>
            <w:vAlign w:val="bottom"/>
            <w:tcBorders>
              <w:bottom w:val="single" w:sz="8" w:color="auto"/>
            </w:tcBorders>
            <w:gridSpan w:val="3"/>
          </w:tcPr>
          <w:p>
            <w:pPr>
              <w:spacing w:after="0"/>
              <w:rPr>
                <w:sz w:val="16"/>
                <w:szCs w:val="16"/>
                <w:color w:val="auto"/>
              </w:rPr>
            </w:pPr>
          </w:p>
        </w:tc>
        <w:tc>
          <w:tcPr>
            <w:tcW w:w="320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400" w:type="dxa"/>
            <w:vAlign w:val="bottom"/>
            <w:tcBorders>
              <w:right w:val="single" w:sz="8" w:color="auto"/>
            </w:tcBorders>
          </w:tcPr>
          <w:p>
            <w:pPr>
              <w:spacing w:after="0"/>
              <w:rPr>
                <w:sz w:val="18"/>
                <w:szCs w:val="18"/>
                <w:color w:val="auto"/>
              </w:rPr>
            </w:pPr>
          </w:p>
        </w:tc>
        <w:tc>
          <w:tcPr>
            <w:tcW w:w="6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(11)</w:t>
            </w: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19.5%(1)</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4920" w:type="dxa"/>
            <w:vAlign w:val="bottom"/>
            <w:tcBorders>
              <w:bottom w:val="single" w:sz="8" w:color="auto"/>
            </w:tcBorders>
            <w:gridSpan w:val="3"/>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400" w:type="dxa"/>
            <w:vAlign w:val="bottom"/>
            <w:tcBorders>
              <w:right w:val="single" w:sz="8" w:color="auto"/>
            </w:tcBorders>
          </w:tcPr>
          <w:p>
            <w:pPr>
              <w:spacing w:after="0"/>
              <w:rPr>
                <w:sz w:val="18"/>
                <w:szCs w:val="18"/>
                <w:color w:val="auto"/>
              </w:rPr>
            </w:pPr>
          </w:p>
        </w:tc>
        <w:tc>
          <w:tcPr>
            <w:tcW w:w="6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foregoing percentage is based on 44,602,623 shares of common stock outstanding as of October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880" w:type="dxa"/>
            <w:vAlign w:val="bottom"/>
            <w:tcBorders>
              <w:top w:val="single" w:sz="8" w:color="auto"/>
              <w:left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CUSIP No. 45784M 108</w:t>
            </w:r>
          </w:p>
        </w:tc>
        <w:tc>
          <w:tcPr>
            <w:tcW w:w="1160" w:type="dxa"/>
            <w:vAlign w:val="bottom"/>
          </w:tcPr>
          <w:p>
            <w:pPr>
              <w:spacing w:after="0"/>
              <w:rPr>
                <w:sz w:val="21"/>
                <w:szCs w:val="21"/>
                <w:color w:val="auto"/>
              </w:rPr>
            </w:pPr>
          </w:p>
        </w:tc>
        <w:tc>
          <w:tcPr>
            <w:tcW w:w="2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20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Page 4 of 7 Pages</w:t>
            </w:r>
          </w:p>
        </w:tc>
        <w:tc>
          <w:tcPr>
            <w:tcW w:w="54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5"/>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400" w:type="dxa"/>
            <w:vAlign w:val="bottom"/>
            <w:tcBorders>
              <w:right w:val="single" w:sz="8" w:color="auto"/>
            </w:tcBorders>
          </w:tcPr>
          <w:p>
            <w:pPr>
              <w:spacing w:after="0"/>
              <w:rPr>
                <w:sz w:val="18"/>
                <w:szCs w:val="18"/>
                <w:color w:val="auto"/>
              </w:rPr>
            </w:pPr>
          </w:p>
        </w:tc>
        <w:tc>
          <w:tcPr>
            <w:tcW w:w="36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NAMES OF REPORTING PERSONS</w:t>
            </w:r>
          </w:p>
        </w:tc>
        <w:tc>
          <w:tcPr>
            <w:tcW w:w="2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36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Kimberly Wasson</w:t>
            </w: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240" w:type="dxa"/>
            <w:vAlign w:val="bottom"/>
            <w:tcBorders>
              <w:bottom w:val="single" w:sz="8" w:color="auto"/>
            </w:tcBorders>
            <w:gridSpan w:val="6"/>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400" w:type="dxa"/>
            <w:vAlign w:val="bottom"/>
            <w:tcBorders>
              <w:right w:val="single" w:sz="8" w:color="auto"/>
            </w:tcBorders>
          </w:tcPr>
          <w:p>
            <w:pPr>
              <w:spacing w:after="0"/>
              <w:rPr>
                <w:sz w:val="19"/>
                <w:szCs w:val="19"/>
                <w:color w:val="auto"/>
              </w:rPr>
            </w:pPr>
          </w:p>
        </w:tc>
        <w:tc>
          <w:tcPr>
            <w:tcW w:w="6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CHECK THE APPROPRIATE BOX IF A MEMBER OF A GROUP</w:t>
            </w:r>
          </w:p>
        </w:tc>
        <w:tc>
          <w:tcPr>
            <w:tcW w:w="3200" w:type="dxa"/>
            <w:vAlign w:val="bottom"/>
          </w:tcPr>
          <w:p>
            <w:pPr>
              <w:spacing w:after="0"/>
              <w:rPr>
                <w:sz w:val="19"/>
                <w:szCs w:val="19"/>
                <w:color w:val="auto"/>
              </w:rPr>
            </w:pPr>
          </w:p>
        </w:tc>
        <w:tc>
          <w:tcPr>
            <w:tcW w:w="54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50"/>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5"/>
        </w:trPr>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400" w:type="dxa"/>
            <w:vAlign w:val="bottom"/>
            <w:tcBorders>
              <w:right w:val="single" w:sz="8" w:color="auto"/>
            </w:tcBorders>
          </w:tcPr>
          <w:p>
            <w:pPr>
              <w:spacing w:after="0"/>
              <w:rPr>
                <w:sz w:val="18"/>
                <w:szCs w:val="18"/>
                <w:color w:val="auto"/>
              </w:rPr>
            </w:pP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SEC USE ONLY</w:t>
            </w:r>
          </w:p>
        </w:tc>
        <w:tc>
          <w:tcPr>
            <w:tcW w:w="1120" w:type="dxa"/>
            <w:vAlign w:val="bottom"/>
            <w:tcBorders>
              <w:right w:val="single" w:sz="8" w:color="BFBFBF"/>
            </w:tcBorders>
            <w:shd w:val="clear" w:color="auto" w:fill="BFBFBF"/>
          </w:tcPr>
          <w:p>
            <w:pPr>
              <w:spacing w:after="0"/>
              <w:rPr>
                <w:sz w:val="18"/>
                <w:szCs w:val="18"/>
                <w:color w:val="auto"/>
              </w:rPr>
            </w:pPr>
          </w:p>
        </w:tc>
        <w:tc>
          <w:tcPr>
            <w:tcW w:w="1160" w:type="dxa"/>
            <w:vAlign w:val="bottom"/>
            <w:shd w:val="clear" w:color="auto" w:fill="BFBFBF"/>
          </w:tcPr>
          <w:p>
            <w:pPr>
              <w:spacing w:after="0"/>
              <w:rPr>
                <w:sz w:val="18"/>
                <w:szCs w:val="18"/>
                <w:color w:val="auto"/>
              </w:rPr>
            </w:pPr>
          </w:p>
        </w:tc>
        <w:tc>
          <w:tcPr>
            <w:tcW w:w="2640" w:type="dxa"/>
            <w:vAlign w:val="bottom"/>
            <w:tcBorders>
              <w:right w:val="single" w:sz="8" w:color="BFBFBF"/>
            </w:tcBorders>
            <w:shd w:val="clear" w:color="auto" w:fill="BFBFBF"/>
          </w:tcPr>
          <w:p>
            <w:pPr>
              <w:spacing w:after="0"/>
              <w:rPr>
                <w:sz w:val="18"/>
                <w:szCs w:val="18"/>
                <w:color w:val="auto"/>
              </w:rPr>
            </w:pPr>
          </w:p>
        </w:tc>
        <w:tc>
          <w:tcPr>
            <w:tcW w:w="3200" w:type="dxa"/>
            <w:vAlign w:val="bottom"/>
            <w:shd w:val="clear" w:color="auto" w:fill="BFBFBF"/>
          </w:tcPr>
          <w:p>
            <w:pPr>
              <w:spacing w:after="0"/>
              <w:rPr>
                <w:sz w:val="18"/>
                <w:szCs w:val="18"/>
                <w:color w:val="auto"/>
              </w:rPr>
            </w:pPr>
          </w:p>
        </w:tc>
        <w:tc>
          <w:tcPr>
            <w:tcW w:w="5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1120" w:type="dxa"/>
            <w:vAlign w:val="bottom"/>
            <w:tcBorders>
              <w:right w:val="single" w:sz="8" w:color="BFBFBF"/>
            </w:tcBorders>
            <w:shd w:val="clear" w:color="auto" w:fill="BFBFBF"/>
          </w:tcPr>
          <w:p>
            <w:pPr>
              <w:spacing w:after="0"/>
              <w:rPr>
                <w:sz w:val="24"/>
                <w:szCs w:val="24"/>
                <w:color w:val="auto"/>
              </w:rPr>
            </w:pPr>
          </w:p>
        </w:tc>
        <w:tc>
          <w:tcPr>
            <w:tcW w:w="1160" w:type="dxa"/>
            <w:vAlign w:val="bottom"/>
            <w:shd w:val="clear" w:color="auto" w:fill="BFBFBF"/>
          </w:tcPr>
          <w:p>
            <w:pPr>
              <w:spacing w:after="0"/>
              <w:rPr>
                <w:sz w:val="24"/>
                <w:szCs w:val="24"/>
                <w:color w:val="auto"/>
              </w:rPr>
            </w:pPr>
          </w:p>
        </w:tc>
        <w:tc>
          <w:tcPr>
            <w:tcW w:w="2640" w:type="dxa"/>
            <w:vAlign w:val="bottom"/>
            <w:tcBorders>
              <w:right w:val="single" w:sz="8" w:color="BFBFBF"/>
            </w:tcBorders>
            <w:shd w:val="clear" w:color="auto" w:fill="BFBFBF"/>
          </w:tcPr>
          <w:p>
            <w:pPr>
              <w:spacing w:after="0"/>
              <w:rPr>
                <w:sz w:val="24"/>
                <w:szCs w:val="24"/>
                <w:color w:val="auto"/>
              </w:rPr>
            </w:pPr>
          </w:p>
        </w:tc>
        <w:tc>
          <w:tcPr>
            <w:tcW w:w="3200" w:type="dxa"/>
            <w:vAlign w:val="bottom"/>
            <w:shd w:val="clear" w:color="auto" w:fill="BFBFBF"/>
          </w:tcPr>
          <w:p>
            <w:pPr>
              <w:spacing w:after="0"/>
              <w:rPr>
                <w:sz w:val="24"/>
                <w:szCs w:val="24"/>
                <w:color w:val="auto"/>
              </w:rPr>
            </w:pPr>
          </w:p>
        </w:tc>
        <w:tc>
          <w:tcPr>
            <w:tcW w:w="5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80" w:type="dxa"/>
            <w:vAlign w:val="bottom"/>
            <w:tcBorders>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BFBFBF"/>
            </w:tcBorders>
            <w:shd w:val="clear" w:color="auto" w:fill="BFBFBF"/>
          </w:tcPr>
          <w:p>
            <w:pPr>
              <w:spacing w:after="0"/>
              <w:rPr>
                <w:sz w:val="22"/>
                <w:szCs w:val="22"/>
                <w:color w:val="auto"/>
              </w:rPr>
            </w:pPr>
          </w:p>
        </w:tc>
        <w:tc>
          <w:tcPr>
            <w:tcW w:w="6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2280" w:type="dxa"/>
            <w:vAlign w:val="bottom"/>
            <w:tcBorders>
              <w:bottom w:val="single" w:sz="8" w:color="auto"/>
            </w:tcBorders>
            <w:gridSpan w:val="2"/>
            <w:shd w:val="clear" w:color="auto" w:fill="BFBFBF"/>
          </w:tcPr>
          <w:p>
            <w:pPr>
              <w:spacing w:after="0"/>
              <w:rPr>
                <w:sz w:val="22"/>
                <w:szCs w:val="22"/>
                <w:color w:val="auto"/>
              </w:rPr>
            </w:pPr>
          </w:p>
        </w:tc>
        <w:tc>
          <w:tcPr>
            <w:tcW w:w="2640" w:type="dxa"/>
            <w:vAlign w:val="bottom"/>
            <w:tcBorders>
              <w:bottom w:val="single" w:sz="8" w:color="auto"/>
              <w:right w:val="single" w:sz="8" w:color="BFBFBF"/>
            </w:tcBorders>
            <w:shd w:val="clear" w:color="auto" w:fill="BFBFBF"/>
          </w:tcPr>
          <w:p>
            <w:pPr>
              <w:spacing w:after="0"/>
              <w:rPr>
                <w:sz w:val="22"/>
                <w:szCs w:val="22"/>
                <w:color w:val="auto"/>
              </w:rPr>
            </w:pPr>
          </w:p>
        </w:tc>
        <w:tc>
          <w:tcPr>
            <w:tcW w:w="3200" w:type="dxa"/>
            <w:vAlign w:val="bottom"/>
            <w:tcBorders>
              <w:bottom w:val="single" w:sz="8" w:color="auto"/>
            </w:tcBorders>
            <w:shd w:val="clear" w:color="auto" w:fill="BFBFBF"/>
          </w:tcPr>
          <w:p>
            <w:pPr>
              <w:spacing w:after="0"/>
              <w:rPr>
                <w:sz w:val="22"/>
                <w:szCs w:val="22"/>
                <w:color w:val="auto"/>
              </w:rPr>
            </w:pPr>
          </w:p>
        </w:tc>
        <w:tc>
          <w:tcPr>
            <w:tcW w:w="54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400" w:type="dxa"/>
            <w:vAlign w:val="bottom"/>
            <w:tcBorders>
              <w:right w:val="single" w:sz="8" w:color="auto"/>
            </w:tcBorders>
          </w:tcPr>
          <w:p>
            <w:pPr>
              <w:spacing w:after="0"/>
              <w:rPr>
                <w:sz w:val="18"/>
                <w:szCs w:val="18"/>
                <w:color w:val="auto"/>
              </w:rPr>
            </w:pPr>
          </w:p>
        </w:tc>
        <w:tc>
          <w:tcPr>
            <w:tcW w:w="36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SOURCE OF FUNDS (SEE INSTRUCTIONS)</w:t>
            </w:r>
          </w:p>
        </w:tc>
        <w:tc>
          <w:tcPr>
            <w:tcW w:w="2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OO</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9440" w:type="dxa"/>
            <w:vAlign w:val="bottom"/>
            <w:tcBorders>
              <w:bottom w:val="single" w:sz="8" w:color="auto"/>
            </w:tcBorders>
            <w:gridSpan w:val="7"/>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400" w:type="dxa"/>
            <w:vAlign w:val="bottom"/>
            <w:tcBorders>
              <w:right w:val="single" w:sz="8" w:color="auto"/>
            </w:tcBorders>
          </w:tcPr>
          <w:p>
            <w:pPr>
              <w:spacing w:after="0"/>
              <w:rPr>
                <w:sz w:val="23"/>
                <w:szCs w:val="23"/>
                <w:color w:val="auto"/>
              </w:rPr>
            </w:pPr>
          </w:p>
        </w:tc>
        <w:tc>
          <w:tcPr>
            <w:tcW w:w="944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CHECK BOX IF DISCLOSURE OF LEGAL PROCEEDINGS IS REQUIRED PURSUANT TO ITEM 2(D) OR 2(E)</w:t>
            </w:r>
          </w:p>
        </w:tc>
        <w:tc>
          <w:tcPr>
            <w:tcW w:w="54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12"/>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3600" w:type="dxa"/>
            <w:vAlign w:val="bottom"/>
            <w:tcBorders>
              <w:bottom w:val="single" w:sz="8" w:color="auto"/>
            </w:tcBorders>
            <w:gridSpan w:val="5"/>
          </w:tcPr>
          <w:p>
            <w:pPr>
              <w:spacing w:after="0"/>
              <w:rPr>
                <w:sz w:val="16"/>
                <w:szCs w:val="16"/>
                <w:color w:val="auto"/>
              </w:rPr>
            </w:pPr>
          </w:p>
        </w:tc>
        <w:tc>
          <w:tcPr>
            <w:tcW w:w="26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400" w:type="dxa"/>
            <w:vAlign w:val="bottom"/>
            <w:tcBorders>
              <w:right w:val="single" w:sz="8" w:color="auto"/>
            </w:tcBorders>
          </w:tcPr>
          <w:p>
            <w:pPr>
              <w:spacing w:after="0"/>
              <w:rPr>
                <w:sz w:val="18"/>
                <w:szCs w:val="18"/>
                <w:color w:val="auto"/>
              </w:rPr>
            </w:pPr>
          </w:p>
        </w:tc>
        <w:tc>
          <w:tcPr>
            <w:tcW w:w="36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CITIZENSHIP OR PLACE OF ORGANIZATION</w:t>
            </w:r>
          </w:p>
        </w:tc>
        <w:tc>
          <w:tcPr>
            <w:tcW w:w="2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USA</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2"/>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SOLE VOTING POWER</w:t>
            </w:r>
          </w:p>
        </w:tc>
        <w:tc>
          <w:tcPr>
            <w:tcW w:w="2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2280" w:type="dxa"/>
            <w:vAlign w:val="bottom"/>
            <w:tcBorders>
              <w:bottom w:val="single" w:sz="8" w:color="auto"/>
            </w:tcBorders>
            <w:gridSpan w:val="2"/>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2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9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8,697,656</w:t>
            </w:r>
          </w:p>
        </w:tc>
        <w:tc>
          <w:tcPr>
            <w:tcW w:w="11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BENEFICIALLY</w:t>
            </w:r>
          </w:p>
        </w:tc>
        <w:tc>
          <w:tcPr>
            <w:tcW w:w="140" w:type="dxa"/>
            <w:vAlign w:val="bottom"/>
          </w:tcPr>
          <w:p>
            <w:pPr>
              <w:spacing w:after="0"/>
              <w:rPr>
                <w:sz w:val="17"/>
                <w:szCs w:val="17"/>
                <w:color w:val="auto"/>
              </w:rPr>
            </w:pPr>
          </w:p>
        </w:tc>
        <w:tc>
          <w:tcPr>
            <w:tcW w:w="540" w:type="dxa"/>
            <w:vAlign w:val="bottom"/>
            <w:tcBorders>
              <w:right w:val="single" w:sz="8" w:color="auto"/>
            </w:tcBorders>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9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OWNED BY EACH</w:t>
            </w: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920" w:type="dxa"/>
            <w:vAlign w:val="bottom"/>
            <w:tcBorders>
              <w:right w:val="single" w:sz="8" w:color="auto"/>
            </w:tcBorders>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SOLE DISPOSITIVE POWER</w:t>
            </w:r>
          </w:p>
        </w:tc>
        <w:tc>
          <w:tcPr>
            <w:tcW w:w="2640" w:type="dxa"/>
            <w:vAlign w:val="bottom"/>
          </w:tcPr>
          <w:p>
            <w:pPr>
              <w:spacing w:after="0"/>
              <w:rPr>
                <w:sz w:val="6"/>
                <w:szCs w:val="6"/>
                <w:color w:val="auto"/>
              </w:rPr>
            </w:pPr>
          </w:p>
        </w:tc>
        <w:tc>
          <w:tcPr>
            <w:tcW w:w="320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9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140" w:type="dxa"/>
            <w:vAlign w:val="bottom"/>
          </w:tcPr>
          <w:p>
            <w:pPr>
              <w:spacing w:after="0"/>
              <w:rPr>
                <w:sz w:val="12"/>
                <w:szCs w:val="12"/>
                <w:color w:val="auto"/>
              </w:rPr>
            </w:pPr>
          </w:p>
        </w:tc>
        <w:tc>
          <w:tcPr>
            <w:tcW w:w="540" w:type="dxa"/>
            <w:vAlign w:val="bottom"/>
            <w:tcBorders>
              <w:right w:val="single" w:sz="8" w:color="auto"/>
            </w:tcBorders>
            <w:vMerge w:val="restart"/>
          </w:tcPr>
          <w:p>
            <w:pPr>
              <w:jc w:val="center"/>
              <w:spacing w:after="0" w:line="367" w:lineRule="exact"/>
              <w:rPr>
                <w:sz w:val="20"/>
                <w:szCs w:val="20"/>
                <w:color w:val="auto"/>
              </w:rPr>
            </w:pPr>
            <w:r>
              <w:rPr>
                <w:rFonts w:ascii="Times New Roman" w:cs="Times New Roman" w:eastAsia="Times New Roman" w:hAnsi="Times New Roman"/>
                <w:sz w:val="32"/>
                <w:szCs w:val="32"/>
                <w:b w:val="1"/>
                <w:bCs w:val="1"/>
                <w:color w:val="auto"/>
              </w:rPr>
              <w:t>9</w:t>
            </w:r>
          </w:p>
        </w:tc>
        <w:tc>
          <w:tcPr>
            <w:tcW w:w="2280" w:type="dxa"/>
            <w:vAlign w:val="bottom"/>
            <w:gridSpan w:val="2"/>
            <w:vMerge w:val="continue"/>
          </w:tcPr>
          <w:p>
            <w:pPr>
              <w:spacing w:after="0"/>
              <w:rPr>
                <w:sz w:val="12"/>
                <w:szCs w:val="12"/>
                <w:color w:val="auto"/>
              </w:rPr>
            </w:pPr>
          </w:p>
        </w:tc>
        <w:tc>
          <w:tcPr>
            <w:tcW w:w="26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1920" w:type="dxa"/>
            <w:vAlign w:val="bottom"/>
            <w:tcBorders>
              <w:right w:val="single" w:sz="8" w:color="auto"/>
            </w:tcBorders>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vMerge w:val="continue"/>
          </w:tcPr>
          <w:p>
            <w:pPr>
              <w:spacing w:after="0"/>
              <w:rPr>
                <w:sz w:val="5"/>
                <w:szCs w:val="5"/>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160" w:type="dxa"/>
            <w:vAlign w:val="bottom"/>
          </w:tcPr>
          <w:p>
            <w:pPr>
              <w:spacing w:after="0"/>
              <w:rPr>
                <w:sz w:val="5"/>
                <w:szCs w:val="5"/>
                <w:color w:val="auto"/>
              </w:rPr>
            </w:pPr>
          </w:p>
        </w:tc>
        <w:tc>
          <w:tcPr>
            <w:tcW w:w="2640" w:type="dxa"/>
            <w:vAlign w:val="bottom"/>
          </w:tcPr>
          <w:p>
            <w:pPr>
              <w:spacing w:after="0"/>
              <w:rPr>
                <w:sz w:val="5"/>
                <w:szCs w:val="5"/>
                <w:color w:val="auto"/>
              </w:rPr>
            </w:pPr>
          </w:p>
        </w:tc>
        <w:tc>
          <w:tcPr>
            <w:tcW w:w="320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9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WITH</w:t>
            </w:r>
          </w:p>
        </w:tc>
        <w:tc>
          <w:tcPr>
            <w:tcW w:w="140" w:type="dxa"/>
            <w:vAlign w:val="bottom"/>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920" w:type="dxa"/>
            <w:vAlign w:val="bottom"/>
            <w:tcBorders>
              <w:right w:val="single" w:sz="8" w:color="auto"/>
            </w:tcBorders>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40" w:type="dxa"/>
            <w:vAlign w:val="bottom"/>
          </w:tcPr>
          <w:p>
            <w:pPr>
              <w:spacing w:after="0"/>
              <w:rPr>
                <w:sz w:val="4"/>
                <w:szCs w:val="4"/>
                <w:color w:val="auto"/>
              </w:rPr>
            </w:pPr>
          </w:p>
        </w:tc>
        <w:tc>
          <w:tcPr>
            <w:tcW w:w="320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920" w:type="dxa"/>
            <w:vAlign w:val="bottom"/>
            <w:tcBorders>
              <w:bottom w:val="single" w:sz="8" w:color="auto"/>
            </w:tcBorders>
            <w:gridSpan w:val="3"/>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4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8,697,656</w:t>
            </w: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spacing w:after="0"/>
              <w:rPr>
                <w:sz w:val="12"/>
                <w:szCs w:val="12"/>
                <w:color w:val="auto"/>
              </w:rPr>
            </w:pPr>
          </w:p>
        </w:tc>
        <w:tc>
          <w:tcPr>
            <w:tcW w:w="4920" w:type="dxa"/>
            <w:vAlign w:val="bottom"/>
            <w:tcBorders>
              <w:bottom w:val="single" w:sz="8" w:color="auto"/>
            </w:tcBorders>
            <w:gridSpan w:val="3"/>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45"/>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18"/>
                <w:szCs w:val="18"/>
                <w:color w:val="auto"/>
              </w:rPr>
            </w:pPr>
          </w:p>
        </w:tc>
        <w:tc>
          <w:tcPr>
            <w:tcW w:w="6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AGGREGATE AMOUNT BENEFICIALLY OWNED BY EACH REPORTING PERSON</w:t>
            </w: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8,697,656</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120" w:type="dxa"/>
            <w:vAlign w:val="bottom"/>
            <w:tcBorders>
              <w:bottom w:val="single" w:sz="8" w:color="auto"/>
            </w:tcBorders>
            <w:gridSpan w:val="4"/>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400" w:type="dxa"/>
            <w:vAlign w:val="bottom"/>
            <w:tcBorders>
              <w:right w:val="single" w:sz="8" w:color="auto"/>
            </w:tcBorders>
          </w:tcPr>
          <w:p>
            <w:pPr>
              <w:spacing w:after="0"/>
              <w:rPr>
                <w:sz w:val="23"/>
                <w:szCs w:val="23"/>
                <w:color w:val="auto"/>
              </w:rPr>
            </w:pPr>
          </w:p>
        </w:tc>
        <w:tc>
          <w:tcPr>
            <w:tcW w:w="944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CHECK BOX IF THE AGGREGATE AMOUNT IN ROW (11) EXCLUDES CERTAIN SHARES (SEE INSTRUCTIONS)</w:t>
            </w:r>
          </w:p>
        </w:tc>
        <w:tc>
          <w:tcPr>
            <w:tcW w:w="54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12"/>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16"/>
                <w:szCs w:val="16"/>
                <w:color w:val="auto"/>
              </w:rPr>
            </w:pPr>
          </w:p>
        </w:tc>
        <w:tc>
          <w:tcPr>
            <w:tcW w:w="4920" w:type="dxa"/>
            <w:vAlign w:val="bottom"/>
            <w:tcBorders>
              <w:bottom w:val="single" w:sz="8" w:color="auto"/>
            </w:tcBorders>
            <w:gridSpan w:val="3"/>
          </w:tcPr>
          <w:p>
            <w:pPr>
              <w:spacing w:after="0"/>
              <w:rPr>
                <w:sz w:val="16"/>
                <w:szCs w:val="16"/>
                <w:color w:val="auto"/>
              </w:rPr>
            </w:pPr>
          </w:p>
        </w:tc>
        <w:tc>
          <w:tcPr>
            <w:tcW w:w="320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400" w:type="dxa"/>
            <w:vAlign w:val="bottom"/>
            <w:tcBorders>
              <w:right w:val="single" w:sz="8" w:color="auto"/>
            </w:tcBorders>
          </w:tcPr>
          <w:p>
            <w:pPr>
              <w:spacing w:after="0"/>
              <w:rPr>
                <w:sz w:val="18"/>
                <w:szCs w:val="18"/>
                <w:color w:val="auto"/>
              </w:rPr>
            </w:pPr>
          </w:p>
        </w:tc>
        <w:tc>
          <w:tcPr>
            <w:tcW w:w="6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(11)</w:t>
            </w: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19.5%(1)</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4920" w:type="dxa"/>
            <w:vAlign w:val="bottom"/>
            <w:tcBorders>
              <w:bottom w:val="single" w:sz="8" w:color="auto"/>
            </w:tcBorders>
            <w:gridSpan w:val="3"/>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880" w:type="dxa"/>
            <w:vAlign w:val="bottom"/>
            <w:vMerge w:val="restart"/>
          </w:tcPr>
          <w:p>
            <w:pPr>
              <w:jc w:val="center"/>
              <w:ind w:left="265"/>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400" w:type="dxa"/>
            <w:vAlign w:val="bottom"/>
            <w:tcBorders>
              <w:right w:val="single" w:sz="8" w:color="auto"/>
            </w:tcBorders>
          </w:tcPr>
          <w:p>
            <w:pPr>
              <w:spacing w:after="0"/>
              <w:rPr>
                <w:sz w:val="18"/>
                <w:szCs w:val="18"/>
                <w:color w:val="auto"/>
              </w:rPr>
            </w:pPr>
          </w:p>
        </w:tc>
        <w:tc>
          <w:tcPr>
            <w:tcW w:w="6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32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80" w:type="dxa"/>
            <w:vAlign w:val="bottom"/>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foregoing percentage is based on 44,602,623 shares of common stock outstanding as of October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3720" w:type="dxa"/>
            <w:vAlign w:val="bottom"/>
            <w:tcBorders>
              <w:top w:val="single" w:sz="8" w:color="auto"/>
              <w:left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CUSIP No. 45784M 108</w:t>
            </w:r>
          </w:p>
        </w:tc>
        <w:tc>
          <w:tcPr>
            <w:tcW w:w="380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20" w:type="dxa"/>
            <w:vAlign w:val="bottom"/>
            <w:tcBorders>
              <w:top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Page 5 of 7 Pages</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statement on Schedule 13D (the “Schedule 13D”) relates to the common stock, par value $0.0001 per share (“Common Stock”), of Innventure, Inc., a Delaware corporation (the “Issuer”). The principal executive offices of the Issuer are located at 11755 Wilshire Blvd., Suite 2320, Los Angeles, California 90025.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left="1540" w:hanging="236"/>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jointly by WE-INN LLC, Gregory D. Wasson, and Kimberly Wasson (the “Reporting Persons”).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the Reporting Persons is 233 N Michigan Avenue, Suite 1410 Chicago, Illinois 60601.</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and Mrs. Wasson are the President and Executive Vice President, respectively, of WE-INN LLC.</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a party to a civil proceeding of a judicial or administrative body of competent jurisdiction and as a result of such proceeding was or is subject to a judgement, decree or final order enjoining future violations of or prohibiting or mandating activities subject to, federal or state securities laws or finding violation with respect to such laws.</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and Mrs. Wasson are citizens of the United States. WE-INN LLC is an Illinois limited liability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 2024, the Issuer acquired 100% of Innventure LLC by merger. Mr. and Mrs. Wasson jointly owned 100% of the member units of Innventure LLC indirectly through WE-INN LLC at the time of the acquisition. Mr. and Mrs. Wasson received 8,697,656 shares of the Issuer’s common stock as consideration for their ownership interest in Inventure LLC, representing 19.5% of the common stock issued as part of the transaction. The merger agreement provides that the former members of Innventure LLC will receive additional shares of Innventure, Inc. common stock if certain milestone conditions are met. The reporting persons’ right to receive additional shares pursuant to this earn-out right became fixed and irrevocable on October 2, 2024, the effective date of the merger.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Reporting Persons acquired the securities reported herein for investment in the ordinary course of business because of their belief that the Issuer represents an attractive investment based on the Issuer’s business prospects and strategy. The Reporting Persons reserve the right to acquire, or cause to be acquired, additional securities of the Issuer, to dispose of, or cause to be disposed of, such securities at any time or to formulate other purposes, plans or proposals regarding the Issuer or any of its securities, to the extent deemed advisable in light of general investment and trading policies of the Reporting Persons, market conditions or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p>
      <w:pPr>
        <w:ind w:left="940"/>
        <w:spacing w:after="0"/>
        <w:tabs>
          <w:tab w:leader="none" w:pos="4920" w:val="left"/>
          <w:tab w:leader="none" w:pos="8700" w:val="left"/>
        </w:tabs>
        <w:rPr>
          <w:sz w:val="20"/>
          <w:szCs w:val="20"/>
          <w:color w:val="auto"/>
        </w:rPr>
      </w:pPr>
      <w:r>
        <w:rPr>
          <w:rFonts w:ascii="Times New Roman" w:cs="Times New Roman" w:eastAsia="Times New Roman" w:hAnsi="Times New Roman"/>
          <w:sz w:val="18"/>
          <w:szCs w:val="18"/>
          <w:b w:val="1"/>
          <w:bCs w:val="1"/>
          <w:color w:val="auto"/>
        </w:rPr>
        <w:t>CUSIP No. 45784M 108</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7"/>
          <w:szCs w:val="17"/>
          <w:b w:val="1"/>
          <w:bCs w:val="1"/>
          <w:color w:val="auto"/>
        </w:rPr>
        <w:t>Page 6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-125095</wp:posOffset>
            </wp:positionV>
            <wp:extent cx="237426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7426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23571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57120" cy="17145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Except as set forth in this Schedule 13D, the Reporting Persons do not have any plan or proposal that would relate to, or result in, any of the following matters:</w:t>
      </w:r>
    </w:p>
    <w:p>
      <w:pPr>
        <w:spacing w:after="0" w:line="162" w:lineRule="exact"/>
        <w:rPr>
          <w:sz w:val="20"/>
          <w:szCs w:val="20"/>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of additional securities of the Issuer, or the disposition of securities of the Issuer;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extraordinary corporate transaction, such as a merger, reorganization or liquidation, involving the Issuer or any of its subsidiaries;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transfer of a material amount of assets of the Issuer or of any of its subsidiaries;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present board of directors or management of the Issuer, including any plans or proposals to change the number or term of directors or to fill any existing vacancies on the board;</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the present capitalization or dividend policy of the Issuer;</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change in the Issuer’s business or corporate structure;</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Issuer’s charter, bylaws or instruments corresponding thereto or other actions which may impede the acquisition of control of the issuer by any person;</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 of equity securities of the Issuer becoming eligible for termination of registration pursuant to Section 12(g)(4) of the Securities Exchange Act of 1934; or</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similar to any of those enumerated above.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Reporting Persons reserve the right to propose or participate in future transactions which may result in one or more of the above listed actions, including but not limited to, an extraordinary corporate transaction, such as a merger, reorganization or liquidation, sale of a material amount of assets of the Issuer or its subsidiaries, or other transactions which might have the effect of causing the common stock to become eligible for termination of registration under Section 12(g) of the Act. The Reporting Persons also retain the right to change their investment intent at any time, to acquire additional shares of common stock or other securities of the Issuer from time to time, or to sell or otherwise dispose of all or part of the common stock beneficially owned by them (or any shares of common stock into which such securities are converted) in any manner permitted by law. The Reporting Persons may engage from time to time in ordinary course transactions with financial institutions with respect to the securities described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hanging="4"/>
        <w:spacing w:after="0" w:line="282" w:lineRule="auto"/>
        <w:tabs>
          <w:tab w:leader="none" w:pos="9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 As described in Item 4, the Reporting Persons are deemed the beneficial owners of 8,697,656 shares of Common Stock, representing approximately 19.5% of the outstanding shares.</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aggregate percentage of Common Stock beneficially owned by the Reporting Persons is calculated based upon 44,602,623 shares of Common Stock outstanding, as reported by the Issuer in its Form S-4 file number 333-276714.</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Mr. and Mrs. Wasson have shared power to (i) vote or direct the voting and (ii) dispose or direct the disposition of 8,697,656 shares of Common Stock beneficially owned by Mr. and Mrs. Wasson but indirectly owned by WE-INN LLC, of which Mr. and Mrs. Wasson are President and Executive Vice President, respectively.</w:t>
      </w:r>
    </w:p>
    <w:p>
      <w:pPr>
        <w:spacing w:after="0" w:line="176" w:lineRule="exact"/>
        <w:rPr>
          <w:sz w:val="20"/>
          <w:szCs w:val="20"/>
          <w:color w:val="auto"/>
        </w:rPr>
      </w:pPr>
    </w:p>
    <w:p>
      <w:pPr>
        <w:ind w:left="660" w:hanging="4"/>
        <w:spacing w:after="0" w:line="282" w:lineRule="auto"/>
        <w:tabs>
          <w:tab w:leader="none" w:pos="9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transactions described in Items 3 and 4 above, the Reporting Persons have not effected any transactions in the Common Stock in the past 60 days.</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6" w:name="page7"/>
    <w:bookmarkEnd w:id="6"/>
    <w:p>
      <w:pPr>
        <w:ind w:left="940"/>
        <w:spacing w:after="0"/>
        <w:tabs>
          <w:tab w:leader="none" w:pos="4920" w:val="left"/>
          <w:tab w:leader="none" w:pos="8700" w:val="left"/>
        </w:tabs>
        <w:rPr>
          <w:sz w:val="20"/>
          <w:szCs w:val="20"/>
          <w:color w:val="auto"/>
        </w:rPr>
      </w:pPr>
      <w:r>
        <w:rPr>
          <w:rFonts w:ascii="Times New Roman" w:cs="Times New Roman" w:eastAsia="Times New Roman" w:hAnsi="Times New Roman"/>
          <w:sz w:val="18"/>
          <w:szCs w:val="18"/>
          <w:b w:val="1"/>
          <w:bCs w:val="1"/>
          <w:color w:val="auto"/>
        </w:rPr>
        <w:t>CUSIP No. 45784M 108</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-125095</wp:posOffset>
            </wp:positionV>
            <wp:extent cx="237426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7426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23571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57120" cy="17145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agreements described in Item 4 and Item 7 and relationships described in Item 2, as of the date hereof, there are no contracts, arrangements, understandings or relationships (legal or otherwise) among the person named in Item 2 hereof and between such person and any person with respect to any securities of the Issuer.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ind w:left="580" w:hanging="572"/>
        <w:spacing w:after="0" w:line="28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Support Agreement, dated October 24, 2023, by and among Learn CW Investment Corporation, Learn SPAC Holdco, Inc., Innventure LLC and the Innventure Members party thereto (incorporated by reference to Exhibit 10.5 of the Issuer’s Form S-4 filed on September 6, 2024).</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2*</w:t>
      </w:r>
      <w:r>
        <w:rPr>
          <w:sz w:val="20"/>
          <w:szCs w:val="20"/>
          <w:color w:val="auto"/>
        </w:rPr>
        <w:tab/>
      </w: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or its knowledge and belief, each of the undersigned certifies that the information set forth in this statement is true, complete and correct.</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October 7, 2024</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WE-INN LLC</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Gregory D.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Gregory D. Wasson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Kimberly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Kimberly Wasson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Gregory D.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Gregory D. Wasson</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Kimberly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Kimberly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24,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SPAC Holdco,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1755 Wilshire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2320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 90025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Lock-Up Agreement for Company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This letter (this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is being delivered to you in accordance with that certain Business Combination Agreement (as amended or modified from time to time,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entered into by and among Learn SPAC Holdco,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Learn CW Investment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LCW Merger Sub, Inc. (“</w:t>
      </w:r>
      <w:r>
        <w:rPr>
          <w:rFonts w:ascii="Times New Roman" w:cs="Times New Roman" w:eastAsia="Times New Roman" w:hAnsi="Times New Roman"/>
          <w:sz w:val="18"/>
          <w:szCs w:val="18"/>
          <w:b w:val="1"/>
          <w:bCs w:val="1"/>
          <w:color w:val="auto"/>
        </w:rPr>
        <w:t>LCW Merger Sub</w:t>
      </w:r>
      <w:r>
        <w:rPr>
          <w:rFonts w:ascii="Times New Roman" w:cs="Times New Roman" w:eastAsia="Times New Roman" w:hAnsi="Times New Roman"/>
          <w:sz w:val="18"/>
          <w:szCs w:val="18"/>
          <w:color w:val="auto"/>
        </w:rPr>
        <w:t>”), Innventure LLC (“</w:t>
      </w:r>
      <w:r>
        <w:rPr>
          <w:rFonts w:ascii="Times New Roman" w:cs="Times New Roman" w:eastAsia="Times New Roman" w:hAnsi="Times New Roman"/>
          <w:sz w:val="18"/>
          <w:szCs w:val="18"/>
          <w:b w:val="1"/>
          <w:bCs w:val="1"/>
          <w:color w:val="auto"/>
        </w:rPr>
        <w:t>Innventure</w:t>
      </w:r>
      <w:r>
        <w:rPr>
          <w:rFonts w:ascii="Times New Roman" w:cs="Times New Roman" w:eastAsia="Times New Roman" w:hAnsi="Times New Roman"/>
          <w:sz w:val="18"/>
          <w:szCs w:val="18"/>
          <w:color w:val="auto"/>
        </w:rPr>
        <w:t>”) and Innventure Merger Sub, Inc. (“</w:t>
      </w:r>
      <w:r>
        <w:rPr>
          <w:rFonts w:ascii="Times New Roman" w:cs="Times New Roman" w:eastAsia="Times New Roman" w:hAnsi="Times New Roman"/>
          <w:sz w:val="18"/>
          <w:szCs w:val="18"/>
          <w:b w:val="1"/>
          <w:bCs w:val="1"/>
          <w:color w:val="auto"/>
        </w:rPr>
        <w:t>Innventure Merger Sub</w:t>
      </w:r>
      <w:r>
        <w:rPr>
          <w:rFonts w:ascii="Times New Roman" w:cs="Times New Roman" w:eastAsia="Times New Roman" w:hAnsi="Times New Roman"/>
          <w:sz w:val="18"/>
          <w:szCs w:val="18"/>
          <w:color w:val="auto"/>
        </w:rPr>
        <w:t>”), pursuant to which, among other things, LCW Merger Sub will merge with and into Parent with Parent being the surviving company (the “</w:t>
      </w:r>
      <w:r>
        <w:rPr>
          <w:rFonts w:ascii="Times New Roman" w:cs="Times New Roman" w:eastAsia="Times New Roman" w:hAnsi="Times New Roman"/>
          <w:sz w:val="18"/>
          <w:szCs w:val="18"/>
          <w:b w:val="1"/>
          <w:bCs w:val="1"/>
          <w:color w:val="auto"/>
        </w:rPr>
        <w:t>LCW Merger</w:t>
      </w:r>
      <w:r>
        <w:rPr>
          <w:rFonts w:ascii="Times New Roman" w:cs="Times New Roman" w:eastAsia="Times New Roman" w:hAnsi="Times New Roman"/>
          <w:sz w:val="18"/>
          <w:szCs w:val="18"/>
          <w:color w:val="auto"/>
        </w:rPr>
        <w:t>”) and Innventure Merger Sub will merge with and into Innventure with Innventure being the surviving company (the “</w:t>
      </w:r>
      <w:r>
        <w:rPr>
          <w:rFonts w:ascii="Times New Roman" w:cs="Times New Roman" w:eastAsia="Times New Roman" w:hAnsi="Times New Roman"/>
          <w:sz w:val="18"/>
          <w:szCs w:val="18"/>
          <w:b w:val="1"/>
          <w:bCs w:val="1"/>
          <w:color w:val="auto"/>
        </w:rPr>
        <w:t>Innventure Merger</w:t>
      </w:r>
      <w:r>
        <w:rPr>
          <w:rFonts w:ascii="Times New Roman" w:cs="Times New Roman" w:eastAsia="Times New Roman" w:hAnsi="Times New Roman"/>
          <w:sz w:val="18"/>
          <w:szCs w:val="18"/>
          <w:color w:val="auto"/>
        </w:rPr>
        <w:t>”), and with the surviving companies resulting from the LCW Merger and the Innventure Merger being wholly-owned direct subsidiaries of the Company (collectively,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In order to induce Parent to proceed with the Transactions and for other good and valuable consideration, the receipt and sufficiency of which are hereby acknowledged, the undersigned (the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hereby agrees as follows:</w:t>
      </w:r>
    </w:p>
    <w:p>
      <w:pPr>
        <w:spacing w:after="0" w:line="158" w:lineRule="exact"/>
        <w:rPr>
          <w:sz w:val="20"/>
          <w:szCs w:val="20"/>
          <w:color w:val="auto"/>
        </w:rPr>
      </w:pPr>
    </w:p>
    <w:p>
      <w:pPr>
        <w:jc w:val="both"/>
        <w:ind w:left="240" w:hanging="232"/>
        <w:spacing w:after="0" w:line="252" w:lineRule="auto"/>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exceptions set forth herein, the Stockholder agrees not to, without the prior written consent of CWAM LC Sponsor LLC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(i) sell, offer to sell, contract or agree to sell, hypothecate, pledge, grant any option to purchase or otherwise transfer, dispose of or agree to transfer or dispose of, directly or indirectly, or establish or increase a put equivalent position or liquidate or decrease a call equivalent position within the meaning of Section 16 of the Securities Exchange Act of 1934, as amended, and the rules and regulations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promulgated thereunder, (A) any shares of common stock of the Company (“</w:t>
      </w:r>
      <w:r>
        <w:rPr>
          <w:rFonts w:ascii="Times New Roman" w:cs="Times New Roman" w:eastAsia="Times New Roman" w:hAnsi="Times New Roman"/>
          <w:sz w:val="18"/>
          <w:szCs w:val="18"/>
          <w:b w:val="1"/>
          <w:bCs w:val="1"/>
          <w:color w:val="auto"/>
        </w:rPr>
        <w:t>Company Stock</w:t>
      </w:r>
      <w:r>
        <w:rPr>
          <w:rFonts w:ascii="Times New Roman" w:cs="Times New Roman" w:eastAsia="Times New Roman" w:hAnsi="Times New Roman"/>
          <w:sz w:val="18"/>
          <w:szCs w:val="18"/>
          <w:color w:val="auto"/>
        </w:rPr>
        <w:t>”), or (B) any securities convertible into, exercisable for, exchangeable for or that represent the right to receive any shares of Company Stock (securities set forth under clause (A) and (B), collectively, the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whether now owned or hereinafter acquired, that is owned directly by such Stockholder (including securities held as custodian) or with respect to which such Stockholder has beneficial ownership within the rules and regulations of the Commission, (ii) enter into any swap or other arrangement that transfers to another, in whole or in part, any of the economic consequences of ownership of any of the Restricted Securities, whether any such transaction is to be settled by delivery of such securities, in cash or otherwise or (iii) publicly announce any intention to effect any transaction specified in clause (i) or (ii) (the actions specified in clauses (i)-(iii), collectively,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for a period of one year commencing from the Closing Date (as defined in the Business Combination Agreement)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w:t>
      </w:r>
    </w:p>
    <w:p>
      <w:pPr>
        <w:spacing w:after="0" w:line="6" w:lineRule="exact"/>
        <w:rPr>
          <w:rFonts w:ascii="Times New Roman" w:cs="Times New Roman" w:eastAsia="Times New Roman" w:hAnsi="Times New Roman"/>
          <w:sz w:val="18"/>
          <w:szCs w:val="18"/>
          <w:color w:val="auto"/>
        </w:rPr>
      </w:pPr>
    </w:p>
    <w:p>
      <w:pPr>
        <w:ind w:left="240" w:hanging="232"/>
        <w:spacing w:after="0" w:line="255" w:lineRule="auto"/>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restrictions set forth in Section 1 above with respect to the Restricted Securities held by any Stockholder, such Stockholder is permitted to Transfer such Restricted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-4445</wp:posOffset>
            </wp:positionV>
            <wp:extent cx="69862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 in the case of an individual:</w:t>
      </w:r>
    </w:p>
    <w:p>
      <w:pPr>
        <w:spacing w:after="0" w:line="27" w:lineRule="exact"/>
        <w:rPr>
          <w:sz w:val="20"/>
          <w:szCs w:val="20"/>
          <w:color w:val="auto"/>
        </w:rPr>
      </w:pPr>
    </w:p>
    <w:p>
      <w:pPr>
        <w:ind w:left="280" w:hanging="272"/>
        <w:spacing w:after="0" w:line="250" w:lineRule="auto"/>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gift to any person related to the Stockholder by blood, marriage, or domestic relationship (“</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a charitable organization or a trust or other entity formed for estate planning purposes for the benefit of an immediate family member,</w:t>
      </w:r>
    </w:p>
    <w:p>
      <w:pPr>
        <w:ind w:left="280" w:hanging="272"/>
        <w:spacing w:after="0"/>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intestacy or by virtue of laws of descent and distribution upon the death of such individual,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(iii)pursuant to a qualified domestic relations order;</w:t>
      </w:r>
    </w:p>
    <w:p>
      <w:pPr>
        <w:spacing w:after="0" w:line="9" w:lineRule="exact"/>
        <w:rPr>
          <w:sz w:val="20"/>
          <w:szCs w:val="20"/>
          <w:color w:val="auto"/>
        </w:rPr>
      </w:pPr>
    </w:p>
    <w:p>
      <w:pPr>
        <w:jc w:val="both"/>
        <w:ind w:left="280" w:hanging="272"/>
        <w:spacing w:after="0" w:line="255" w:lineRule="auto"/>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limited liability company, partnership, trust or other entity, to any stockholder, member, partner or trust beneficiary as part of a distribution, or to any corporation, partnership or other entity that is an affiliate (as defined in Rule 405 of the Securities Act of 1933, as amended) of the Stockholder;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 w:name="page10"/>
    <w:bookmarkEnd w:id="9"/>
    <w:p>
      <w:pPr>
        <w:jc w:val="both"/>
        <w:ind w:left="240" w:hanging="232"/>
        <w:spacing w:after="0" w:line="266" w:lineRule="auto"/>
        <w:tabs>
          <w:tab w:leader="none" w:pos="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“net” or “cashless” exercise of options or other rights to purchase shares of Company Stock held by such Stockholder in satisfaction of any tax withholding or exercise price obligations through cashless surrender or otherwise; provided that any shares of Company Stock issued upon exercise of such option or other rights shall remain subject to the terms of Section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-13335</wp:posOffset>
            </wp:positionV>
            <wp:extent cx="69862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each of the foregoing clauses (a) through (d) being a “</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clauses (a) and (b), these Permitted Transferees must enter into a written agreement, in substantially the form of this Lock-Up Agreement (it being understood that any references to “immediate family” in the agreement executed by such transferee shall expressly refer only to the immediate family of the Stockholder and not to the immediate family of the transferee), agreeing to be bound by the transfer restrictions set forth herein;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with respect to clauses (b) and (c), that any such transfer shall not involve a disposition for value.</w:t>
      </w:r>
    </w:p>
    <w:p>
      <w:pPr>
        <w:spacing w:after="0" w:line="183" w:lineRule="exact"/>
        <w:rPr>
          <w:sz w:val="20"/>
          <w:szCs w:val="20"/>
          <w:color w:val="auto"/>
        </w:rPr>
      </w:pPr>
    </w:p>
    <w:p>
      <w:pPr>
        <w:jc w:val="both"/>
        <w:ind w:left="240" w:hanging="232"/>
        <w:spacing w:after="0" w:line="254" w:lineRule="auto"/>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Period shall terminate upon the earlier of (a) the expiration of one year after the Closing Date, and (b) subsequent to the Closing Date, (i) if the closing price of the Company Stock equals or exceeds $12.00 per share (as adjusted for share subdivisions, share capitalizations, reorganizations, recapitalizations and the like) for any 20 trading days within any 30-trading day period commencing at least 150 days after the Closing Date, or (ii) the date which the Company completes a merger, liquidation, stock exchange, reorganization or other similar transaction after the Closing Date that results in all of the public stockholders of the Company having the right to exchange their Company Stock for cash securities or other property.</w:t>
      </w:r>
    </w:p>
    <w:p>
      <w:pPr>
        <w:spacing w:after="0" w:line="3" w:lineRule="exact"/>
        <w:rPr>
          <w:rFonts w:ascii="Times New Roman" w:cs="Times New Roman" w:eastAsia="Times New Roman" w:hAnsi="Times New Roman"/>
          <w:sz w:val="18"/>
          <w:szCs w:val="18"/>
          <w:color w:val="auto"/>
        </w:rPr>
      </w:pPr>
    </w:p>
    <w:p>
      <w:pPr>
        <w:jc w:val="both"/>
        <w:ind w:left="240" w:hanging="232"/>
        <w:spacing w:after="0" w:line="250" w:lineRule="auto"/>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the Company, Parent, Sponsor, and any duly appointed transfer agent for the registration or transfer of the securities described herein, are hereby authorized to decline to make any transfer of securities if such transfer would constitute a violation or breach of this Lock-Up Agreement.</w:t>
      </w:r>
    </w:p>
    <w:p>
      <w:pPr>
        <w:spacing w:after="0" w:line="1" w:lineRule="exact"/>
        <w:rPr>
          <w:rFonts w:ascii="Times New Roman" w:cs="Times New Roman" w:eastAsia="Times New Roman" w:hAnsi="Times New Roman"/>
          <w:sz w:val="18"/>
          <w:szCs w:val="18"/>
          <w:color w:val="auto"/>
        </w:rPr>
      </w:pPr>
    </w:p>
    <w:p>
      <w:pPr>
        <w:jc w:val="both"/>
        <w:ind w:left="240" w:hanging="232"/>
        <w:spacing w:after="0" w:line="250" w:lineRule="auto"/>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Lock-Up Agreement may be amended, supplemented or modified only by execution of a written instrument signed by the undersigned Stockholder, the Company and Sponsor (and with respect to the Company, only with the consent of a majority of the Company’s Board of Directors, which shall include a majority of the Company’s independent Directors).</w:t>
      </w:r>
    </w:p>
    <w:p>
      <w:pPr>
        <w:spacing w:after="0" w:line="1" w:lineRule="exact"/>
        <w:rPr>
          <w:rFonts w:ascii="Times New Roman" w:cs="Times New Roman" w:eastAsia="Times New Roman" w:hAnsi="Times New Roman"/>
          <w:sz w:val="18"/>
          <w:szCs w:val="18"/>
          <w:color w:val="auto"/>
        </w:rPr>
      </w:pPr>
    </w:p>
    <w:p>
      <w:pPr>
        <w:jc w:val="both"/>
        <w:ind w:left="240" w:hanging="232"/>
        <w:spacing w:after="0" w:line="253" w:lineRule="auto"/>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Lock-Up Agreement shall be binding upon and inure solely to the benefit of the parties hereto and their respective successors and permitted assigns; provided, however, each of the parties hereto agrees that each of Parent and Sponsor is an intended third party beneficiary of this Lock-Up Agreement. This Lock-Up Agreement shall not be assigned by any party hereto, by operation of law or otherwise, without the prior written consent of the other party and Sponsor and any assignment without such consent shall be null and void; provided, that no such assignment shall relieve the assigning party of its obligations hereunder.</w:t>
      </w:r>
    </w:p>
    <w:p>
      <w:pPr>
        <w:spacing w:after="0" w:line="209" w:lineRule="exact"/>
        <w:rPr>
          <w:rFonts w:ascii="Times New Roman" w:cs="Times New Roman" w:eastAsia="Times New Roman" w:hAnsi="Times New Roman"/>
          <w:sz w:val="18"/>
          <w:szCs w:val="18"/>
          <w:color w:val="auto"/>
        </w:rPr>
      </w:pPr>
    </w:p>
    <w:p>
      <w:pPr>
        <w:jc w:val="both"/>
        <w:ind w:left="240" w:hanging="232"/>
        <w:spacing w:after="0" w:line="252" w:lineRule="auto"/>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Lock-Up Agreement and any action, proceeding, claim or dispute (whether in contract, tort or otherwise) (each, an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that may be based upon, arise out of or relate to this Lock-Up Agreement or the negotiation, execution or performance hereof shall be governed by, construed and enforced in accordance with the laws (both substantive and procedural) of the State of Delaware, without regard to the conflicts of law principles thereof. All Actions arising out of or relating to this Lock-Up Agreement shall be heard and determined exclusively in the Court of Chancery of the State of Delaware, or to the extent such Court does not have subject matter jurisdiction, any federal court within the State of Delaware (and any courts having jurisdiction over appeals therefrom)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Each party hereto hereby (i) submits to the exclusive personal and subject matter jurisdiction of any Specified Court for the purpose of any Action arising out of or relating to this Lock-Up Agreement by any party hereto and (ii) irrevocably waives, and agrees not to assert by way of motion, defense, or otherwise, in any such Action, any claim that it is not subject to the personal or subject matter jurisdiction of the above named courts, that its property is exempt or immune from attachment or execution, that the Action is brought in an inconvenient forum, that the venue of the Action is improper, or that this Agreement or the transactions contemplated hereby may not be enforced in or by any Specified Court. Each party hereto agrees that a final judgment in any Action shall be conclusive and may be enforced in other jurisdictions by suit on the judgment or in any other manner provided by laws.</w:t>
      </w:r>
    </w:p>
    <w:p>
      <w:pPr>
        <w:spacing w:after="0" w:line="6" w:lineRule="exact"/>
        <w:rPr>
          <w:rFonts w:ascii="Times New Roman" w:cs="Times New Roman" w:eastAsia="Times New Roman" w:hAnsi="Times New Roman"/>
          <w:sz w:val="18"/>
          <w:szCs w:val="18"/>
          <w:color w:val="auto"/>
        </w:rPr>
      </w:pPr>
    </w:p>
    <w:p>
      <w:pPr>
        <w:ind w:left="240" w:hanging="232"/>
        <w:spacing w:after="0" w:line="260" w:lineRule="auto"/>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Lock-Up Agreement shall become effective on the date hereof and terminate on the earlier of (i) the expiration of the Lock-up Period, or (ii) the termination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-2084070</wp:posOffset>
            </wp:positionV>
            <wp:extent cx="69862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Capitalized terms used herein but not defined shall be defined as set forth in the Business Combination Agreement.</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party has duly executed this Lock-Up Agreement, as of the date first written above.</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[Stockholder]</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6480175</wp:posOffset>
            </wp:positionH>
            <wp:positionV relativeFrom="paragraph">
              <wp:posOffset>8890</wp:posOffset>
            </wp:positionV>
            <wp:extent cx="4286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8625" cy="17145"/>
                    </a:xfrm>
                    <a:prstGeom prst="rect">
                      <a:avLst/>
                    </a:prstGeom>
                    <a:noFill/>
                  </pic:spPr>
                </pic:pic>
              </a:graphicData>
            </a:graphic>
          </wp:anchor>
        </w:drawing>
      </w:r>
    </w:p>
    <w:p>
      <w:pPr>
        <w:spacing w:after="0" w:line="2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6480175</wp:posOffset>
            </wp:positionH>
            <wp:positionV relativeFrom="paragraph">
              <wp:posOffset>8890</wp:posOffset>
            </wp:positionV>
            <wp:extent cx="4286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8625" cy="17145"/>
                    </a:xfrm>
                    <a:prstGeom prst="rect">
                      <a:avLst/>
                    </a:prstGeom>
                    <a:noFill/>
                  </pic:spPr>
                </pic:pic>
              </a:graphicData>
            </a:graphic>
          </wp:anchor>
        </w:drawing>
      </w:r>
    </w:p>
    <w:p>
      <w:pPr>
        <w:spacing w:after="0" w:line="2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6480175</wp:posOffset>
            </wp:positionH>
            <wp:positionV relativeFrom="paragraph">
              <wp:posOffset>8890</wp:posOffset>
            </wp:positionV>
            <wp:extent cx="4286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8625" cy="17145"/>
                    </a:xfrm>
                    <a:prstGeom prst="rect">
                      <a:avLst/>
                    </a:prstGeom>
                    <a:noFill/>
                  </pic:spPr>
                </pic:pic>
              </a:graphicData>
            </a:graphic>
          </wp:anchor>
        </w:drawing>
      </w:r>
    </w:p>
    <w:p>
      <w:pPr>
        <w:spacing w:after="0" w:line="21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266065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79"/>
          </w:cols>
          <w:pgMar w:left="680" w:top="117"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Acknowledged and agreed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LEARN SPAC HOLDCO,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6518275</wp:posOffset>
            </wp:positionH>
            <wp:positionV relativeFrom="paragraph">
              <wp:posOffset>8890</wp:posOffset>
            </wp:positionV>
            <wp:extent cx="4286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86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6518275</wp:posOffset>
            </wp:positionH>
            <wp:positionV relativeFrom="paragraph">
              <wp:posOffset>8890</wp:posOffset>
            </wp:positionV>
            <wp:extent cx="4286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86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6518275</wp:posOffset>
            </wp:positionH>
            <wp:positionV relativeFrom="paragraph">
              <wp:posOffset>8890</wp:posOffset>
            </wp:positionV>
            <wp:extent cx="4286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8625" cy="17145"/>
                    </a:xfrm>
                    <a:prstGeom prst="rect">
                      <a:avLst/>
                    </a:prstGeom>
                    <a:noFill/>
                  </pic:spPr>
                </pic:pic>
              </a:graphicData>
            </a:graphic>
          </wp:anchor>
        </w:drawing>
      </w:r>
    </w:p>
    <w:p>
      <w:pPr>
        <w:spacing w:after="0" w:line="21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214630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839"/>
      </w:cols>
      <w:pgMar w:left="62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3"/>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2024-10-07T20:46:06Z</dcterms:created>
  <dcterms:modified xsi:type="dcterms:W3CDTF">2024-10-07T20:46:06Z</dcterms:modified>
</cp:coreProperties>
</file>