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March 3, 2026</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sectPr>
      </w:pPr>
    </w:p>
    <w:p>
      <w:pPr>
        <w:spacing w:after="0" w:line="306"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286"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4"/>
          <w:szCs w:val="24"/>
          <w:color w:val="auto"/>
        </w:rPr>
      </w:pPr>
    </w:p>
    <w:p>
      <w:pPr>
        <w:sectPr>
          <w:pgSz w:w="11900" w:h="16838" w:orient="portrait"/>
          <w:cols w:equalWidth="0" w:num="3">
            <w:col w:w="3840" w:space="720"/>
            <w:col w:w="2520" w:space="720"/>
            <w:col w:w="3440"/>
          </w:cols>
          <w:pgMar w:left="320" w:top="1245"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245" w:right="339" w:bottom="1440" w:gutter="0" w:footer="0" w:header="0"/>
          <w:type w:val="continuous"/>
        </w:sectPr>
      </w:pPr>
    </w:p>
    <w:p>
      <w:pPr>
        <w:spacing w:after="0" w:line="198" w:lineRule="exact"/>
        <w:rPr>
          <w:sz w:val="24"/>
          <w:szCs w:val="24"/>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4"/>
          <w:szCs w:val="24"/>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4"/>
          <w:szCs w:val="24"/>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1"/>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4"/>
          <w:szCs w:val="24"/>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color w:val="auto"/>
        </w:rPr>
        <w:t>Indicate by check mark whether the registrant is an emerging growth company as defined in Rule 405 of the Securities Act of 1933 (17 CFR §230.405 of this chapter) or Rule 12b-2 of the Securities Exchange Act of 1934 (17 CFR §240.12b-2 of this chapter).</w:t>
      </w:r>
    </w:p>
    <w:p>
      <w:pPr>
        <w:spacing w:after="0" w:line="10" w:lineRule="exact"/>
        <w:rPr>
          <w:sz w:val="24"/>
          <w:szCs w:val="24"/>
          <w:color w:val="auto"/>
        </w:rPr>
      </w:pPr>
    </w:p>
    <w:p>
      <w:pPr>
        <w:spacing w:after="0" w:line="207" w:lineRule="exact"/>
        <w:tabs>
          <w:tab w:leader="none" w:pos="2260" w:val="left"/>
        </w:tabs>
        <w:rPr>
          <w:sz w:val="20"/>
          <w:szCs w:val="20"/>
          <w:color w:val="auto"/>
        </w:rPr>
      </w:pPr>
      <w:r>
        <w:rPr>
          <w:rFonts w:ascii="Times New Roman" w:cs="Times New Roman" w:eastAsia="Times New Roman" w:hAnsi="Times New Roman"/>
          <w:sz w:val="18"/>
          <w:szCs w:val="18"/>
          <w:b w:val="1"/>
          <w:bCs w:val="1"/>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40" w:lineRule="exact"/>
        <w:rPr>
          <w:sz w:val="24"/>
          <w:szCs w:val="24"/>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655955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5" w:right="339" w:bottom="1440" w:gutter="0" w:footer="0" w:header="0"/>
          <w:type w:val="continuous"/>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2, 2026, Michael Otworth and John Scott, executive officers of Innventure, Inc. (the “Company”), filed Form 4s reporting the withholding by the Company of shares of common stock to satisfy applicable tax withholding obligations arising in connection with the settlement of vested restricted stock units (“RSUs”) on February 26, 2026 (the “Settlement Date”).</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withheld a portion of the shares otherwise issuable upon settlement of the RSUs to satisfy required tax withholding obligations. The number of shares withheld was calculated based on the closing price of the Company’s common stock on the Settlement Date.</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withholding of shares to satisfy tax obligations reported on the Form 4s was non-discretionary and did not reflect any open market sale of shares by Mr. Otworth or Dr. Scott. The withholding transaction was approved in accordance with Rule 16b-3 under the Securities Exchange Act of 1934, as amended, is in accordance with the terms of the award agreements for the RSU awards, and is exempt from Section 16(b).</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vesting and settlement, Mr. Otworth continues to beneficially own 3,274,030 shares of the Company’s common stock and Dr. Scott continues to beneficially own 1,814,998 shares of the Company’s common stock, reflecting their ongoing alignment with stockholders.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740" w:type="dxa"/>
            <w:vAlign w:val="bottom"/>
          </w:tcPr>
          <w:p>
            <w:pPr>
              <w:ind w:left="404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257"/>
        </w:trPr>
        <w:tc>
          <w:tcPr>
            <w:tcW w:w="150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104</w:t>
            </w:r>
          </w:p>
        </w:tc>
        <w:tc>
          <w:tcPr>
            <w:tcW w:w="9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r>
      <w:tr>
        <w:trPr>
          <w:trHeight w:val="1208"/>
        </w:trPr>
        <w:tc>
          <w:tcPr>
            <w:tcW w:w="1500" w:type="dxa"/>
            <w:vAlign w:val="bottom"/>
            <w:tcBorders>
              <w:bottom w:val="single" w:sz="8" w:color="9A9A9A"/>
            </w:tcBorders>
          </w:tcPr>
          <w:p>
            <w:pPr>
              <w:spacing w:after="0"/>
              <w:rPr>
                <w:sz w:val="24"/>
                <w:szCs w:val="24"/>
                <w:color w:val="auto"/>
              </w:rPr>
            </w:pPr>
          </w:p>
        </w:tc>
        <w:tc>
          <w:tcPr>
            <w:tcW w:w="97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80"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62"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r>
              <w:rPr>
                <w:rFonts w:ascii="Times New Roman" w:cs="Times New Roman" w:eastAsia="Times New Roman" w:hAnsi="Times New Roman"/>
                <w:sz w:val="18"/>
                <w:szCs w:val="18"/>
                <w:color w:val="auto"/>
              </w:rPr>
              <w:t>Date: March 3, 2026</w:t>
            </w: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By:</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3740" w:type="dxa"/>
            <w:vAlign w:val="bottom"/>
          </w:tcPr>
          <w:p>
            <w:pPr>
              <w:spacing w:after="0"/>
              <w:rPr>
                <w:sz w:val="3"/>
                <w:szCs w:val="3"/>
                <w:color w:val="auto"/>
              </w:rPr>
            </w:pPr>
          </w:p>
        </w:tc>
        <w:tc>
          <w:tcPr>
            <w:tcW w:w="3000" w:type="dxa"/>
            <w:vAlign w:val="bottom"/>
            <w:vMerge w:val="restart"/>
          </w:tcPr>
          <w:p>
            <w:pPr>
              <w:ind w:left="2240"/>
              <w:spacing w:after="0"/>
              <w:rPr>
                <w:sz w:val="20"/>
                <w:szCs w:val="20"/>
                <w:color w:val="auto"/>
              </w:rPr>
            </w:pPr>
            <w:r>
              <w:rPr>
                <w:rFonts w:ascii="Times New Roman" w:cs="Times New Roman" w:eastAsia="Times New Roman" w:hAnsi="Times New Roman"/>
                <w:sz w:val="18"/>
                <w:szCs w:val="18"/>
                <w:color w:val="auto"/>
              </w:rPr>
              <w:t>Name:</w:t>
            </w:r>
          </w:p>
        </w:tc>
        <w:tc>
          <w:tcPr>
            <w:tcW w:w="44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740" w:type="dxa"/>
            <w:vAlign w:val="bottom"/>
          </w:tcPr>
          <w:p>
            <w:pPr>
              <w:spacing w:after="0"/>
              <w:rPr>
                <w:sz w:val="20"/>
                <w:szCs w:val="20"/>
                <w:color w:val="auto"/>
              </w:rPr>
            </w:pPr>
          </w:p>
        </w:tc>
        <w:tc>
          <w:tcPr>
            <w:tcW w:w="3000" w:type="dxa"/>
            <w:vAlign w:val="bottom"/>
            <w:vMerge w:val="continue"/>
          </w:tcPr>
          <w:p>
            <w:pPr>
              <w:spacing w:after="0"/>
              <w:rPr>
                <w:sz w:val="20"/>
                <w:szCs w:val="20"/>
                <w:color w:val="auto"/>
              </w:rPr>
            </w:pP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3740" w:type="dxa"/>
            <w:vAlign w:val="bottom"/>
          </w:tcPr>
          <w:p>
            <w:pPr>
              <w:spacing w:after="0"/>
              <w:rPr>
                <w:sz w:val="24"/>
                <w:szCs w:val="24"/>
                <w:color w:val="auto"/>
              </w:rPr>
            </w:pPr>
          </w:p>
        </w:tc>
        <w:tc>
          <w:tcPr>
            <w:tcW w:w="3000" w:type="dxa"/>
            <w:vAlign w:val="bottom"/>
          </w:tcPr>
          <w:p>
            <w:pPr>
              <w:ind w:left="2240"/>
              <w:spacing w:after="0"/>
              <w:rPr>
                <w:sz w:val="20"/>
                <w:szCs w:val="20"/>
                <w:color w:val="auto"/>
              </w:rPr>
            </w:pPr>
            <w:r>
              <w:rPr>
                <w:rFonts w:ascii="Times New Roman" w:cs="Times New Roman" w:eastAsia="Times New Roman" w:hAnsi="Times New Roman"/>
                <w:sz w:val="18"/>
                <w:szCs w:val="18"/>
                <w:color w:val="auto"/>
              </w:rPr>
              <w:t>Title:</w:t>
            </w:r>
          </w:p>
        </w:tc>
        <w:tc>
          <w:tcPr>
            <w:tcW w:w="44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3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2026-03-03T07:23:52Z</dcterms:created>
  <dcterms:modified xsi:type="dcterms:W3CDTF">2026-03-03T07:23:52Z</dcterms:modified>
</cp:coreProperties>
</file>