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554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54291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Yablunosky David</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6900 TAVISTOCK LAKES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Innventure,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12/09/2024</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103"/>
        <w:spacing w:after="0"/>
        <w:rPr>
          <w:sz w:val="20"/>
          <w:szCs w:val="20"/>
          <w:color w:val="auto"/>
        </w:rPr>
      </w:pPr>
      <w:r>
        <w:rPr>
          <w:rFonts w:ascii="Times New Roman" w:cs="Times New Roman" w:eastAsia="Times New Roman" w:hAnsi="Times New Roman"/>
          <w:sz w:val="16"/>
          <w:szCs w:val="16"/>
          <w:color w:val="0000FF"/>
        </w:rPr>
        <w:t>CFO and CAO</w:t>
      </w:r>
    </w:p>
    <w:p>
      <w:pPr>
        <w:spacing w:after="0" w:line="263" w:lineRule="exact"/>
        <w:rPr>
          <w:sz w:val="24"/>
          <w:szCs w:val="24"/>
          <w:color w:val="auto"/>
        </w:rPr>
      </w:pPr>
    </w:p>
    <w:p>
      <w:pPr>
        <w:sectPr>
          <w:pgSz w:w="11900" w:h="16838" w:orient="portrait"/>
          <w:cols w:equalWidth="0" w:num="3">
            <w:col w:w="3220" w:space="680"/>
            <w:col w:w="3117" w:space="720"/>
            <w:col w:w="3343"/>
          </w:cols>
          <w:pgMar w:left="460" w:top="214" w:right="359" w:bottom="1440" w:gutter="0" w:footer="0" w:header="0"/>
          <w:type w:val="continuous"/>
        </w:sectPr>
      </w:pP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700" w:type="dxa"/>
            <w:vAlign w:val="bottom"/>
            <w:shd w:val="clear" w:color="auto" w:fill="9A9A9A"/>
          </w:tcPr>
          <w:p>
            <w:pPr>
              <w:spacing w:after="0"/>
              <w:rPr>
                <w:sz w:val="3"/>
                <w:szCs w:val="3"/>
                <w:color w:val="auto"/>
              </w:rPr>
            </w:pPr>
          </w:p>
        </w:tc>
        <w:tc>
          <w:tcPr>
            <w:tcW w:w="3600" w:type="dxa"/>
            <w:vAlign w:val="bottom"/>
            <w:gridSpan w:val="5"/>
            <w:vMerge w:val="restart"/>
          </w:tcPr>
          <w:p>
            <w:pPr>
              <w:jc w:val="center"/>
              <w:ind w:right="75"/>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0" w:type="dxa"/>
            <w:vAlign w:val="bottom"/>
            <w:gridSpan w:val="5"/>
            <w:vMerge w:val="continue"/>
          </w:tcPr>
          <w:p>
            <w:pPr>
              <w:spacing w:after="0"/>
              <w:rPr>
                <w:sz w:val="9"/>
                <w:szCs w:val="9"/>
                <w:color w:val="auto"/>
              </w:rPr>
            </w:pPr>
          </w:p>
        </w:tc>
        <w:tc>
          <w:tcPr>
            <w:tcW w:w="36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FL</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32827</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(State)</w:t>
            </w:r>
          </w:p>
        </w:tc>
        <w:tc>
          <w:tcPr>
            <w:tcW w:w="1700" w:type="dxa"/>
            <w:vAlign w:val="bottom"/>
            <w:tcBorders>
              <w:top w:val="single" w:sz="8" w:color="EEEEEE"/>
            </w:tcBorders>
            <w:vMerge w:val="restart"/>
          </w:tcPr>
          <w:p>
            <w:pPr>
              <w:ind w:left="500"/>
              <w:spacing w:after="0"/>
              <w:rPr>
                <w:sz w:val="20"/>
                <w:szCs w:val="20"/>
                <w:color w:val="auto"/>
              </w:rPr>
            </w:pPr>
            <w:r>
              <w:rPr>
                <w:rFonts w:ascii="Arial" w:cs="Arial" w:eastAsia="Arial" w:hAnsi="Arial"/>
                <w:sz w:val="13"/>
                <w:szCs w:val="13"/>
                <w:color w:val="auto"/>
              </w:rPr>
              <w:t>(Zip)</w:t>
            </w:r>
          </w:p>
        </w:tc>
        <w:tc>
          <w:tcPr>
            <w:tcW w:w="46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9"/>
          </w:tcPr>
          <w:p>
            <w:pPr>
              <w:jc w:val="center"/>
              <w:ind w:right="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1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2"/>
          </w:tcPr>
          <w:p>
            <w:pPr>
              <w:ind w:left="11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60" w:type="dxa"/>
            <w:vAlign w:val="bottom"/>
            <w:gridSpan w:val="2"/>
          </w:tcPr>
          <w:p>
            <w:pPr>
              <w:ind w:left="11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60" w:type="dxa"/>
            <w:vAlign w:val="bottom"/>
            <w:gridSpan w:val="2"/>
          </w:tcPr>
          <w:p>
            <w:pPr>
              <w:ind w:left="118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6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ind w:left="1260"/>
              <w:spacing w:after="0"/>
              <w:rPr>
                <w:sz w:val="20"/>
                <w:szCs w:val="20"/>
                <w:color w:val="auto"/>
              </w:rPr>
            </w:pPr>
            <w:r>
              <w:rPr>
                <w:rFonts w:ascii="Times New Roman" w:cs="Times New Roman" w:eastAsia="Times New Roman" w:hAnsi="Times New Roman"/>
                <w:sz w:val="16"/>
                <w:szCs w:val="16"/>
                <w:color w:val="0000FF"/>
              </w:rPr>
              <w:t>12/09/2024</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6"/>
                <w:szCs w:val="16"/>
                <w:color w:val="0000FF"/>
              </w:rPr>
              <w:t>336,066</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right"/>
              <w:ind w:right="13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jc w:val="right"/>
              <w:ind w:right="198"/>
              <w:spacing w:after="0"/>
              <w:rPr>
                <w:sz w:val="20"/>
                <w:szCs w:val="20"/>
                <w:color w:val="auto"/>
              </w:rPr>
            </w:pPr>
            <w:r>
              <w:rPr>
                <w:rFonts w:ascii="Times New Roman" w:cs="Times New Roman" w:eastAsia="Times New Roman" w:hAnsi="Times New Roman"/>
                <w:sz w:val="16"/>
                <w:szCs w:val="16"/>
                <w:color w:val="0000FF"/>
              </w:rPr>
              <w:t>336,066</w:t>
            </w:r>
          </w:p>
        </w:tc>
        <w:tc>
          <w:tcPr>
            <w:tcW w:w="9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Community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National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31,630</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Bank</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Custodian</w:t>
      </w:r>
    </w:p>
    <w:p>
      <w:pPr>
        <w:spacing w:after="0" w:line="9"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6"/>
          <w:szCs w:val="16"/>
          <w:color w:val="0000FF"/>
        </w:rPr>
        <w:t>FBO David</w:t>
      </w:r>
    </w:p>
    <w:p>
      <w:pPr>
        <w:spacing w:after="0" w:line="16"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6"/>
          <w:szCs w:val="16"/>
          <w:color w:val="0000FF"/>
        </w:rPr>
        <w:t>Yablunosky</w:t>
      </w:r>
    </w:p>
    <w:p>
      <w:pPr>
        <w:spacing w:after="0" w:line="16"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6"/>
          <w:szCs w:val="16"/>
          <w:color w:val="0000FF"/>
        </w:rPr>
        <w:t>Roth IRA</w:t>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12/09/2024</w:t>
            </w:r>
          </w:p>
        </w:tc>
        <w:tc>
          <w:tcPr>
            <w:tcW w:w="10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163,934</w:t>
            </w:r>
          </w:p>
        </w:tc>
        <w:tc>
          <w:tcPr>
            <w:tcW w:w="220" w:type="dxa"/>
            <w:vAlign w:val="bottom"/>
          </w:tcPr>
          <w:p>
            <w:pPr>
              <w:spacing w:after="0"/>
              <w:rPr>
                <w:sz w:val="17"/>
                <w:szCs w:val="17"/>
                <w:color w:val="auto"/>
              </w:rPr>
            </w:pPr>
          </w:p>
        </w:tc>
        <w:tc>
          <w:tcPr>
            <w:tcW w:w="900" w:type="dxa"/>
            <w:vAlign w:val="bottom"/>
          </w:tcPr>
          <w:p>
            <w:pPr>
              <w:ind w:left="80"/>
              <w:spacing w:after="0" w:line="201" w:lineRule="exact"/>
              <w:rPr>
                <w:sz w:val="20"/>
                <w:szCs w:val="20"/>
                <w:color w:val="auto"/>
              </w:rPr>
            </w:pPr>
            <w:r>
              <w:rPr>
                <w:rFonts w:ascii="Times New Roman" w:cs="Times New Roman" w:eastAsia="Times New Roman" w:hAnsi="Times New Roman"/>
                <w:sz w:val="13"/>
                <w:szCs w:val="13"/>
                <w:color w:val="0000FF"/>
              </w:rPr>
              <w:t>10/02/2025</w:t>
            </w:r>
            <w:r>
              <w:rPr>
                <w:rFonts w:ascii="Times New Roman" w:cs="Times New Roman" w:eastAsia="Times New Roman" w:hAnsi="Times New Roman"/>
                <w:sz w:val="20"/>
                <w:szCs w:val="20"/>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12/09/2034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163,934</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163,934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7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in three equal installments on May 1, 2025, May 1, 2026, and May 1, 2027, subject to the Reporting Person's continuous service to the Issuer until the applicable vesting date.</w:t>
      </w:r>
    </w:p>
    <w:p>
      <w:pPr>
        <w:spacing w:after="0" w:line="22" w:lineRule="exact"/>
        <w:rPr>
          <w:rFonts w:ascii="Times New Roman" w:cs="Times New Roman" w:eastAsia="Times New Roman" w:hAnsi="Times New Roman"/>
          <w:sz w:val="13"/>
          <w:szCs w:val="13"/>
          <w:color w:val="008000"/>
        </w:rPr>
      </w:pPr>
    </w:p>
    <w:p>
      <w:pPr>
        <w:ind w:left="40" w:right="300" w:hanging="2"/>
        <w:spacing w:after="0" w:line="277"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nonqualified stock options ("Stock Options"), exercisable solely in the Issuer's Common Stock granted by the Issuer to the Reporting Person on December 9, 2024 pursuant to the Innventure, Inc. 2024 Equity and Incentive Compensation Plan, vest and become exercisable with respect to (i) 25% of the shares of Common Stock underlying the Stock Options on May 1, 2025 and (ii) 75% of the shares of Common Stock underlying the Stock Options in eight substantially equal installments on each three-month anniversary thereafter, subject to the Reporting Person's continuous service to the Issuer until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Suzanne Niemeyer, Attorney- </w:t>
      </w:r>
      <w:r>
        <w:rPr>
          <w:rFonts w:ascii="Times New Roman" w:cs="Times New Roman" w:eastAsia="Times New Roman" w:hAnsi="Times New Roman"/>
          <w:sz w:val="31"/>
          <w:szCs w:val="31"/>
          <w:color w:val="0000FF"/>
          <w:vertAlign w:val="subscript"/>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66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2137"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2024-12-11T17:45:18Z</dcterms:created>
  <dcterms:modified xsi:type="dcterms:W3CDTF">2024-12-11T17:45:18Z</dcterms:modified>
</cp:coreProperties>
</file>