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Times;serif" w:hAnsi="Times New Roman;Times;serif"/>
          <w:b/>
          <w:color w:val="000000"/>
          <w:sz w:val="20"/>
        </w:rPr>
      </w:pPr>
      <w:bookmarkStart w:id="0" w:name="ny20038573x4_424b3.htm"/>
      <w:bookmarkStart w:id="1" w:name="ksny20038573x4_424b3"/>
      <w:bookmarkEnd w:id="0"/>
      <w:bookmarkEnd w:id="1"/>
      <w:r>
        <w:rPr>
          <w:rFonts w:ascii="Times New Roman;Times;serif" w:hAnsi="Times New Roman;Times;serif"/>
          <w:b/>
          <w:color w:val="000000"/>
          <w:sz w:val="20"/>
        </w:rPr>
        <w:t>Filed pursuant to Rule 424(b)(3)</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Registration No. 333-276714</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Prospectus Supplement No. 5</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(To Prospectus dated September 10, 2024)</w:t>
      </w:r>
    </w:p>
    <w:p>
      <w:pPr>
        <w:pStyle w:val="TextBody"/>
        <w:bidi w:val="0"/>
        <w:spacing w:before="0" w:after="0"/>
        <w:jc w:val="center"/>
        <w:rPr>
          <w:color w:val="000000"/>
        </w:rPr>
      </w:pPr>
      <w:r>
        <w:rPr>
          <w:color w:val="000000"/>
        </w:rPr>
        <w:t> </w:t>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INNVENTURE, INC.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our Current Report on Form 8-K, which was filed with the Securities and Exchange Commission (the “SEC”) on November 14, 2024 (the “Current Report”). Accordingly, we have attached the Current Report to this prospectus supplement. Capitalized terms used in this prospectus supplement and not otherwise defined herein have the meanings specified in the Prospectus.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Shares of our common stock, par value $0.0001 per share (our “Common Stock”), are listed on The Nasdaq Stock Market, LLC under the symbol “INV.” On November 13, 2024, the closing price of our Common Stock was $10.64 per share.</w:t>
      </w:r>
    </w:p>
    <w:p>
      <w:pPr>
        <w:pStyle w:val="TextBody"/>
        <w:bidi w:val="0"/>
        <w:spacing w:before="0" w:after="0"/>
        <w:jc w:val="both"/>
        <w:rPr>
          <w:color w:val="000000"/>
        </w:rPr>
      </w:pPr>
      <w:r>
        <w:rPr>
          <w:color w:val="000000"/>
        </w:rPr>
        <w:t> </w:t>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Investing in our securities involves risks that are described in the “Risk Factors” section of the Prospectus.</w:t>
      </w:r>
    </w:p>
    <w:p>
      <w:pPr>
        <w:pStyle w:val="TextBody"/>
        <w:bidi w:val="0"/>
        <w:spacing w:before="0" w:after="0"/>
        <w:jc w:val="both"/>
        <w:rPr>
          <w:color w:val="000000"/>
        </w:rPr>
      </w:pPr>
      <w:r>
        <w:rPr>
          <w:color w:val="000000"/>
        </w:rPr>
        <w:t> </w:t>
      </w:r>
    </w:p>
    <w:p>
      <w:pPr>
        <w:pStyle w:val="TextBody"/>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supplement is November 14, 2024.</w:t>
      </w:r>
    </w:p>
    <w:p>
      <w:pPr>
        <w:pStyle w:val="TextBody"/>
        <w:bidi w:val="0"/>
        <w:spacing w:before="0" w:after="0"/>
        <w:jc w:val="center"/>
        <w:rPr>
          <w:b/>
        </w:rPr>
      </w:pPr>
      <w:r>
        <w:rPr>
          <w:b/>
        </w:rPr>
      </w:r>
    </w:p>
    <w:p>
      <w:pPr>
        <w:pStyle w:val="HorizontalLine"/>
        <w:pBdr>
          <w:bottom w:val="single" w:sz="12" w:space="0" w:color="808080"/>
        </w:pBdr>
        <w:bidi w:val="0"/>
        <w:spacing w:before="200" w:after="20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pPr>
      <w:r>
        <w:rPr/>
        <w:t>false000200155700020015572024-11-142024-11-14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before="0" w:after="0"/>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bidi w:val="0"/>
        <w:spacing w:before="0" w:after="0"/>
        <w:jc w:val="center"/>
        <w:rPr>
          <w:color w:val="000000"/>
        </w:rPr>
      </w:pPr>
      <w:r>
        <w:rPr>
          <w:color w:val="000000"/>
        </w:rPr>
        <w:t xml:space="preserve">  </w:t>
      </w:r>
    </w:p>
    <w:p>
      <w:pPr>
        <w:pStyle w:val="HorizontalLine"/>
        <w:pBdr>
          <w:bottom w:val="single" w:sz="12" w:space="0" w:color="808080"/>
        </w:pBdr>
        <w:bidi w:val="0"/>
        <w:jc w:val="center"/>
        <w:rPr/>
      </w:pPr>
      <w:r>
        <w:rPr/>
      </w:r>
    </w:p>
    <w:p>
      <w:pPr>
        <w:pStyle w:val="TextBody"/>
        <w:bidi w:val="0"/>
        <w:spacing w:before="0" w:after="0"/>
        <w:jc w:val="center"/>
        <w:rPr>
          <w:b/>
        </w:rPr>
      </w:pPr>
      <w:r>
        <w:rPr>
          <w:b/>
        </w:rPr>
      </w:r>
    </w:p>
    <w:p>
      <w:pPr>
        <w:pStyle w:val="TextBody"/>
        <w:bidi w:val="0"/>
        <w:spacing w:before="0" w:after="0"/>
        <w:jc w:val="center"/>
        <w:rPr>
          <w:rFonts w:ascii="Times New Roman;Times;serif" w:hAnsi="Times New Roman;Times;serif"/>
          <w:b/>
          <w:color w:val="000000"/>
          <w:sz w:val="36"/>
        </w:rPr>
      </w:pPr>
      <w:r>
        <w:rPr>
          <w:rFonts w:ascii="Times New Roman;Times;serif" w:hAnsi="Times New Roman;Times;serif"/>
          <w:b/>
          <w:color w:val="000000"/>
          <w:sz w:val="36"/>
        </w:rPr>
        <w:t>FORM 8-K</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CURRENT REPORT</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Pursuant to Section 13 OR 15(d) of The Securities Exchange Act of 1934</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 xml:space="preserve">Date of Report (Date of earliest event reported): </w:t>
      </w:r>
      <w:r>
        <w:rPr>
          <w:rFonts w:ascii="Times New Roman;Times;serif" w:hAnsi="Times New Roman;Times;serif"/>
          <w:b/>
          <w:color w:val="000000"/>
          <w:sz w:val="20"/>
        </w:rPr>
        <w:t>November 14, 2024</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center"/>
        <w:rPr>
          <w:b/>
        </w:rPr>
      </w:pPr>
      <w:r>
        <w:rPr>
          <w:b/>
        </w:rPr>
      </w:r>
    </w:p>
    <w:p>
      <w:pPr>
        <w:pStyle w:val="TextBody"/>
        <w:bidi w:val="0"/>
        <w:spacing w:before="0" w:after="0"/>
        <w:jc w:val="center"/>
        <w:rPr>
          <w:rFonts w:ascii="Times New Roman;Times;serif" w:hAnsi="Times New Roman;Times;serif"/>
          <w:b/>
          <w:color w:val="000000"/>
          <w:sz w:val="48"/>
        </w:rPr>
      </w:pPr>
      <w:r>
        <w:rPr>
          <w:rFonts w:ascii="Times New Roman;Times;serif" w:hAnsi="Times New Roman;Times;serif"/>
          <w:b/>
          <w:color w:val="000000"/>
          <w:sz w:val="48"/>
        </w:rPr>
        <w:t>Innventure,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(Exact name of registrant as specified in its charter)</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2f80b99af82a489f838c534900e07b7b"/>
      <w:bookmarkStart w:id="3" w:name="z2f80b99af82a489f838c534900e07b7b"/>
      <w:bookmarkEnd w:id="3"/>
    </w:p>
    <w:tbl>
      <w:tblPr>
        <w:tblW w:w="10020" w:type="dxa"/>
        <w:jc w:val="left"/>
        <w:tblInd w:w="0" w:type="dxa"/>
        <w:tblLayout w:type="fixed"/>
        <w:tblCellMar>
          <w:top w:w="0" w:type="dxa"/>
          <w:left w:w="0" w:type="dxa"/>
          <w:bottom w:w="0" w:type="dxa"/>
          <w:right w:w="0" w:type="dxa"/>
        </w:tblCellMar>
      </w:tblPr>
      <w:tblGrid>
        <w:gridCol w:w="4130"/>
        <w:gridCol w:w="2615"/>
        <w:gridCol w:w="3275"/>
      </w:tblGrid>
      <w:tr>
        <w:trPr/>
        <w:tc>
          <w:tcPr>
            <w:tcW w:w="4130" w:type="dxa"/>
            <w:tcBorders/>
            <w:vAlign w:val="center"/>
          </w:tcPr>
          <w:p>
            <w:pPr>
              <w:pStyle w:val="TableContents"/>
              <w:bidi w:val="0"/>
              <w:spacing w:before="0" w:after="0"/>
              <w:jc w:val="center"/>
              <w:rPr>
                <w:b/>
              </w:rPr>
            </w:pPr>
            <w:r>
              <w:rPr>
                <w:b/>
              </w:rPr>
              <w:t>Delaware</w:t>
            </w:r>
          </w:p>
        </w:tc>
        <w:tc>
          <w:tcPr>
            <w:tcW w:w="2615" w:type="dxa"/>
            <w:tcBorders/>
            <w:vAlign w:val="center"/>
          </w:tcPr>
          <w:p>
            <w:pPr>
              <w:pStyle w:val="TableContents"/>
              <w:bidi w:val="0"/>
              <w:spacing w:before="0" w:after="0"/>
              <w:jc w:val="center"/>
              <w:rPr>
                <w:b/>
              </w:rPr>
            </w:pPr>
            <w:r>
              <w:rPr>
                <w:b/>
              </w:rPr>
              <w:t>001-42303</w:t>
            </w:r>
          </w:p>
        </w:tc>
        <w:tc>
          <w:tcPr>
            <w:tcW w:w="3275" w:type="dxa"/>
            <w:tcBorders/>
            <w:vAlign w:val="center"/>
          </w:tcPr>
          <w:p>
            <w:pPr>
              <w:pStyle w:val="TableContents"/>
              <w:bidi w:val="0"/>
              <w:spacing w:before="0" w:after="0"/>
              <w:jc w:val="center"/>
              <w:rPr>
                <w:b/>
              </w:rPr>
            </w:pPr>
            <w:r>
              <w:rPr>
                <w:b/>
              </w:rPr>
              <w:t>93-4440048</w:t>
            </w:r>
          </w:p>
        </w:tc>
      </w:tr>
      <w:tr>
        <w:trPr/>
        <w:tc>
          <w:tcPr>
            <w:tcW w:w="4130" w:type="dxa"/>
            <w:tcBorders/>
            <w:vAlign w:val="center"/>
          </w:tcPr>
          <w:p>
            <w:pPr>
              <w:pStyle w:val="TableContents"/>
              <w:bidi w:val="0"/>
              <w:spacing w:before="0" w:after="0"/>
              <w:jc w:val="center"/>
              <w:rPr/>
            </w:pPr>
            <w:r>
              <w:rPr/>
              <w:t>(State or other jurisdiction of incorporation)</w:t>
            </w:r>
          </w:p>
        </w:tc>
        <w:tc>
          <w:tcPr>
            <w:tcW w:w="2615" w:type="dxa"/>
            <w:tcBorders/>
            <w:vAlign w:val="center"/>
          </w:tcPr>
          <w:p>
            <w:pPr>
              <w:pStyle w:val="TableContents"/>
              <w:bidi w:val="0"/>
              <w:spacing w:before="0" w:after="0"/>
              <w:jc w:val="center"/>
              <w:rPr/>
            </w:pPr>
            <w:r>
              <w:rPr/>
              <w:t>(Commission File Number)</w:t>
            </w:r>
          </w:p>
        </w:tc>
        <w:tc>
          <w:tcPr>
            <w:tcW w:w="3275" w:type="dxa"/>
            <w:tcBorders/>
            <w:vAlign w:val="center"/>
          </w:tcPr>
          <w:p>
            <w:pPr>
              <w:pStyle w:val="TableContents"/>
              <w:bidi w:val="0"/>
              <w:spacing w:before="0" w:after="0"/>
              <w:jc w:val="center"/>
              <w:rPr/>
            </w:pPr>
            <w:r>
              <w:rPr/>
              <w:t>(IRS Employer Identification No.)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f998c7fba98449b1b541bfa18909e107"/>
      <w:bookmarkStart w:id="5" w:name="zf998c7fba98449b1b541bfa18909e107"/>
      <w:bookmarkEnd w:id="5"/>
    </w:p>
    <w:tbl>
      <w:tblPr>
        <w:tblW w:w="4975" w:type="dxa"/>
        <w:jc w:val="left"/>
        <w:tblInd w:w="0" w:type="dxa"/>
        <w:tblLayout w:type="fixed"/>
        <w:tblCellMar>
          <w:top w:w="0" w:type="dxa"/>
          <w:left w:w="0" w:type="dxa"/>
          <w:bottom w:w="0" w:type="dxa"/>
          <w:right w:w="0" w:type="dxa"/>
        </w:tblCellMar>
      </w:tblPr>
      <w:tblGrid>
        <w:gridCol w:w="3830"/>
        <w:gridCol w:w="60"/>
        <w:gridCol w:w="1085"/>
      </w:tblGrid>
      <w:tr>
        <w:trPr/>
        <w:tc>
          <w:tcPr>
            <w:tcW w:w="3830" w:type="dxa"/>
            <w:tcBorders/>
            <w:vAlign w:val="center"/>
          </w:tcPr>
          <w:p>
            <w:pPr>
              <w:pStyle w:val="TableContents"/>
              <w:bidi w:val="0"/>
              <w:spacing w:before="0" w:after="0"/>
              <w:jc w:val="center"/>
              <w:rPr>
                <w:b/>
              </w:rPr>
            </w:pPr>
            <w:r>
              <w:rPr>
                <w:b/>
              </w:rPr>
              <w:t>6900 Tavistock Lakes Blvd, Suite 400</w:t>
            </w:r>
          </w:p>
        </w:tc>
        <w:tc>
          <w:tcPr>
            <w:tcW w:w="6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3830" w:type="dxa"/>
            <w:tcBorders/>
            <w:vAlign w:val="center"/>
          </w:tcPr>
          <w:p>
            <w:pPr>
              <w:pStyle w:val="TableContents"/>
              <w:bidi w:val="0"/>
              <w:spacing w:before="0" w:after="0"/>
              <w:jc w:val="center"/>
              <w:rPr>
                <w:b/>
              </w:rPr>
            </w:pPr>
            <w:r>
              <w:rPr>
                <w:b/>
              </w:rPr>
              <w:t>Orlando, Florida</w:t>
            </w:r>
          </w:p>
        </w:tc>
        <w:tc>
          <w:tcPr>
            <w:tcW w:w="6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b/>
              </w:rPr>
            </w:pPr>
            <w:r>
              <w:rPr>
                <w:b/>
              </w:rPr>
              <w:t>32827</w:t>
            </w:r>
          </w:p>
        </w:tc>
      </w:tr>
      <w:tr>
        <w:trPr/>
        <w:tc>
          <w:tcPr>
            <w:tcW w:w="3830" w:type="dxa"/>
            <w:tcBorders/>
            <w:vAlign w:val="center"/>
          </w:tcPr>
          <w:p>
            <w:pPr>
              <w:pStyle w:val="TableContents"/>
              <w:bidi w:val="0"/>
              <w:spacing w:before="0" w:after="0"/>
              <w:jc w:val="center"/>
              <w:rPr/>
            </w:pPr>
            <w:r>
              <w:rPr/>
              <w:t>(Address of principal executive offices)</w:t>
            </w:r>
          </w:p>
        </w:tc>
        <w:tc>
          <w:tcPr>
            <w:tcW w:w="6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pPr>
            <w:r>
              <w:rPr/>
              <w:t>(Zip Code)</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 xml:space="preserve">Registrant’s telephone number, including area code:  </w:t>
      </w:r>
      <w:r>
        <w:rPr>
          <w:rFonts w:ascii="Times New Roman;Times;serif" w:hAnsi="Times New Roman;Times;serif"/>
          <w:b/>
          <w:color w:val="000000"/>
          <w:sz w:val="20"/>
        </w:rPr>
        <w:t>(321) 209-6787</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Not applicable</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(Former name or former address, if changed since last report.)</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d71eae5860634565ae3338508ecad426"/>
      <w:bookmarkStart w:id="7" w:name="zd71eae5860634565ae3338508ecad426"/>
      <w:bookmarkEnd w:id="7"/>
    </w:p>
    <w:tbl>
      <w:tblPr>
        <w:tblW w:w="8740" w:type="dxa"/>
        <w:jc w:val="left"/>
        <w:tblInd w:w="0" w:type="dxa"/>
        <w:tblLayout w:type="fixed"/>
        <w:tblCellMar>
          <w:top w:w="0" w:type="dxa"/>
          <w:left w:w="0" w:type="dxa"/>
          <w:bottom w:w="0" w:type="dxa"/>
          <w:right w:w="0" w:type="dxa"/>
        </w:tblCellMar>
      </w:tblPr>
      <w:tblGrid>
        <w:gridCol w:w="230"/>
        <w:gridCol w:w="8510"/>
      </w:tblGrid>
      <w:tr>
        <w:trPr/>
        <w:tc>
          <w:tcPr>
            <w:tcW w:w="230" w:type="dxa"/>
            <w:tcBorders/>
            <w:vAlign w:val="center"/>
          </w:tcPr>
          <w:p>
            <w:pPr>
              <w:pStyle w:val="TableContents"/>
              <w:bidi w:val="0"/>
              <w:spacing w:before="0" w:after="0"/>
              <w:jc w:val="left"/>
              <w:rPr/>
            </w:pPr>
            <w:r>
              <w:rPr/>
              <w:t>☐</w:t>
            </w:r>
          </w:p>
        </w:tc>
        <w:tc>
          <w:tcPr>
            <w:tcW w:w="8510" w:type="dxa"/>
            <w:tcBorders/>
            <w:vAlign w:val="center"/>
          </w:tcPr>
          <w:p>
            <w:pPr>
              <w:pStyle w:val="TableContents"/>
              <w:bidi w:val="0"/>
              <w:spacing w:before="0" w:after="0"/>
              <w:jc w:val="left"/>
              <w:rPr/>
            </w:pPr>
            <w:r>
              <w:rPr/>
              <w:t>Written communications pursuant to Rule 425 under the Securities Act (17 CFR 230.425)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b370ea9427d54636b9df70e5fc227d54"/>
      <w:bookmarkStart w:id="9" w:name="zb370ea9427d54636b9df70e5fc227d54"/>
      <w:bookmarkEnd w:id="9"/>
    </w:p>
    <w:tbl>
      <w:tblPr>
        <w:tblW w:w="8770" w:type="dxa"/>
        <w:jc w:val="left"/>
        <w:tblInd w:w="0" w:type="dxa"/>
        <w:tblLayout w:type="fixed"/>
        <w:tblCellMar>
          <w:top w:w="0" w:type="dxa"/>
          <w:left w:w="0" w:type="dxa"/>
          <w:bottom w:w="0" w:type="dxa"/>
          <w:right w:w="0" w:type="dxa"/>
        </w:tblCellMar>
      </w:tblPr>
      <w:tblGrid>
        <w:gridCol w:w="230"/>
        <w:gridCol w:w="8540"/>
      </w:tblGrid>
      <w:tr>
        <w:trPr/>
        <w:tc>
          <w:tcPr>
            <w:tcW w:w="230" w:type="dxa"/>
            <w:tcBorders/>
            <w:vAlign w:val="center"/>
          </w:tcPr>
          <w:p>
            <w:pPr>
              <w:pStyle w:val="TableContents"/>
              <w:bidi w:val="0"/>
              <w:spacing w:before="0" w:after="0"/>
              <w:jc w:val="left"/>
              <w:rPr/>
            </w:pPr>
            <w:r>
              <w:rPr/>
              <w:t>☐</w:t>
            </w:r>
          </w:p>
        </w:tc>
        <w:tc>
          <w:tcPr>
            <w:tcW w:w="8540" w:type="dxa"/>
            <w:tcBorders/>
            <w:vAlign w:val="center"/>
          </w:tcPr>
          <w:p>
            <w:pPr>
              <w:pStyle w:val="TableContents"/>
              <w:bidi w:val="0"/>
              <w:spacing w:before="0" w:after="0"/>
              <w:jc w:val="left"/>
              <w:rPr/>
            </w:pPr>
            <w:r>
              <w:rPr/>
              <w:t>Soliciting material pursuant to Rule 14a-12 under the Exchange Act (17 CFR 240.14a-12)</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b193a121869c43f39b2860dd0d29cb7f"/>
      <w:bookmarkStart w:id="11" w:name="zb193a121869c43f39b2860dd0d29cb7f"/>
      <w:bookmarkEnd w:id="11"/>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Pre-commencement communications pursuant to Rule 14d-2(b) under the Exchange Act (17 CFR 240.14d-2(b))</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e714a5217fe340549c23892ebd756c83"/>
      <w:bookmarkStart w:id="13" w:name="ze714a5217fe340549c23892ebd756c83"/>
      <w:bookmarkEnd w:id="13"/>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pPr>
            <w:r>
              <w:rPr/>
              <w:t>☐</w:t>
            </w:r>
          </w:p>
        </w:tc>
        <w:tc>
          <w:tcPr>
            <w:tcW w:w="9975" w:type="dxa"/>
            <w:tcBorders/>
            <w:vAlign w:val="center"/>
          </w:tcPr>
          <w:p>
            <w:pPr>
              <w:pStyle w:val="TableContents"/>
              <w:bidi w:val="0"/>
              <w:spacing w:before="0" w:after="0"/>
              <w:jc w:val="left"/>
              <w:rPr/>
            </w:pPr>
            <w:r>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Securities registered pursuant to Section 12(b) of the 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26eb2adbcaf7454e9b0b6831a884e964"/>
      <w:bookmarkStart w:id="15" w:name="z26eb2adbcaf7454e9b0b6831a884e964"/>
      <w:bookmarkEnd w:id="15"/>
    </w:p>
    <w:tbl>
      <w:tblPr>
        <w:tblW w:w="10205" w:type="dxa"/>
        <w:jc w:val="left"/>
        <w:tblInd w:w="0" w:type="dxa"/>
        <w:tblLayout w:type="fixed"/>
        <w:tblCellMar>
          <w:top w:w="0" w:type="dxa"/>
          <w:left w:w="0" w:type="dxa"/>
          <w:bottom w:w="28" w:type="dxa"/>
          <w:right w:w="0" w:type="dxa"/>
        </w:tblCellMar>
      </w:tblPr>
      <w:tblGrid>
        <w:gridCol w:w="4221"/>
        <w:gridCol w:w="1792"/>
        <w:gridCol w:w="4192"/>
      </w:tblGrid>
      <w:tr>
        <w:trPr/>
        <w:tc>
          <w:tcPr>
            <w:tcW w:w="4221" w:type="dxa"/>
            <w:tcBorders>
              <w:bottom w:val="single" w:sz="12" w:space="0" w:color="000000"/>
            </w:tcBorders>
            <w:vAlign w:val="center"/>
          </w:tcPr>
          <w:p>
            <w:pPr>
              <w:pStyle w:val="TableContents"/>
              <w:bidi w:val="0"/>
              <w:spacing w:before="0" w:after="0"/>
              <w:jc w:val="center"/>
              <w:rPr/>
            </w:pPr>
            <w:r>
              <w:rPr/>
              <w:t>Title of each class</w:t>
            </w:r>
          </w:p>
        </w:tc>
        <w:tc>
          <w:tcPr>
            <w:tcW w:w="1792" w:type="dxa"/>
            <w:tcBorders>
              <w:bottom w:val="single" w:sz="12" w:space="0" w:color="000000"/>
            </w:tcBorders>
            <w:vAlign w:val="center"/>
          </w:tcPr>
          <w:p>
            <w:pPr>
              <w:pStyle w:val="TableContents"/>
              <w:bidi w:val="0"/>
              <w:spacing w:before="0" w:after="0"/>
              <w:jc w:val="center"/>
              <w:rPr/>
            </w:pPr>
            <w:r>
              <w:rPr/>
              <w:t>Trading Symbol(s)</w:t>
            </w:r>
          </w:p>
        </w:tc>
        <w:tc>
          <w:tcPr>
            <w:tcW w:w="4192" w:type="dxa"/>
            <w:tcBorders>
              <w:bottom w:val="single" w:sz="12" w:space="0" w:color="000000"/>
            </w:tcBorders>
            <w:vAlign w:val="center"/>
          </w:tcPr>
          <w:p>
            <w:pPr>
              <w:pStyle w:val="TableContents"/>
              <w:bidi w:val="0"/>
              <w:spacing w:before="0" w:after="0"/>
              <w:jc w:val="center"/>
              <w:rPr/>
            </w:pPr>
            <w:r>
              <w:rPr/>
              <w:t>Name of each exchange on which registered</w:t>
            </w:r>
          </w:p>
        </w:tc>
      </w:tr>
      <w:tr>
        <w:trPr/>
        <w:tc>
          <w:tcPr>
            <w:tcW w:w="4221" w:type="dxa"/>
            <w:tcBorders/>
            <w:tcMar>
              <w:bottom w:w="0" w:type="dxa"/>
            </w:tcMar>
            <w:vAlign w:val="center"/>
          </w:tcPr>
          <w:p>
            <w:pPr>
              <w:pStyle w:val="TableContents"/>
              <w:bidi w:val="0"/>
              <w:spacing w:before="0" w:after="0"/>
              <w:jc w:val="center"/>
              <w:rPr/>
            </w:pPr>
            <w:r>
              <w:rPr/>
              <w:t>Common Stock, par value $0.0001 per share</w:t>
            </w:r>
          </w:p>
        </w:tc>
        <w:tc>
          <w:tcPr>
            <w:tcW w:w="1792" w:type="dxa"/>
            <w:tcBorders/>
            <w:tcMar>
              <w:bottom w:w="0" w:type="dxa"/>
            </w:tcMar>
            <w:vAlign w:val="center"/>
          </w:tcPr>
          <w:p>
            <w:pPr>
              <w:pStyle w:val="TableContents"/>
              <w:bidi w:val="0"/>
              <w:spacing w:before="0" w:after="0"/>
              <w:jc w:val="center"/>
              <w:rPr/>
            </w:pPr>
            <w:r>
              <w:rPr/>
              <w:t>INV</w:t>
            </w:r>
          </w:p>
        </w:tc>
        <w:tc>
          <w:tcPr>
            <w:tcW w:w="4192" w:type="dxa"/>
            <w:tcBorders/>
            <w:tcMar>
              <w:bottom w:w="0" w:type="dxa"/>
            </w:tcMar>
            <w:vAlign w:val="center"/>
          </w:tcPr>
          <w:p>
            <w:pPr>
              <w:pStyle w:val="TableContents"/>
              <w:bidi w:val="0"/>
              <w:spacing w:before="0" w:after="0"/>
              <w:jc w:val="center"/>
              <w:rPr/>
            </w:pPr>
            <w:r>
              <w:rPr/>
              <w:t>The Nasdaq Stock Market, LLC</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rPr>
      </w:pPr>
      <w:r>
        <w:rPr>
          <w:color w:val="000000"/>
        </w:rPr>
        <w:t> </w:t>
      </w:r>
    </w:p>
    <w:p>
      <w:pPr>
        <w:pStyle w:val="TextBody"/>
        <w:bidi w:val="0"/>
        <w:spacing w:before="0" w:after="0"/>
        <w:jc w:val="right"/>
        <w:rPr>
          <w:rFonts w:ascii="Times New Roman;Times;serif" w:hAnsi="Times New Roman;Times;serif"/>
          <w:color w:val="000000"/>
          <w:sz w:val="20"/>
        </w:rPr>
      </w:pPr>
      <w:r>
        <w:rPr>
          <w:rFonts w:ascii="Times New Roman;Times;serif" w:hAnsi="Times New Roman;Times;serif"/>
          <w:color w:val="000000"/>
          <w:sz w:val="20"/>
        </w:rPr>
        <w:t>Emerging growth company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7b4d7868d6094ed9958439775e4bc85c"/>
      <w:bookmarkStart w:id="17" w:name="z7b4d7868d6094ed9958439775e4bc85c"/>
      <w:bookmarkEnd w:id="17"/>
    </w:p>
    <w:tbl>
      <w:tblPr>
        <w:tblW w:w="5755" w:type="dxa"/>
        <w:jc w:val="left"/>
        <w:tblInd w:w="0" w:type="dxa"/>
        <w:tblLayout w:type="fixed"/>
        <w:tblCellMar>
          <w:top w:w="0" w:type="dxa"/>
          <w:left w:w="0" w:type="dxa"/>
          <w:bottom w:w="0" w:type="dxa"/>
          <w:right w:w="0" w:type="dxa"/>
        </w:tblCellMar>
      </w:tblPr>
      <w:tblGrid>
        <w:gridCol w:w="965"/>
        <w:gridCol w:w="4790"/>
      </w:tblGrid>
      <w:tr>
        <w:trPr/>
        <w:tc>
          <w:tcPr>
            <w:tcW w:w="965" w:type="dxa"/>
            <w:tcBorders/>
            <w:vAlign w:val="center"/>
          </w:tcPr>
          <w:p>
            <w:pPr>
              <w:pStyle w:val="TableContents"/>
              <w:bidi w:val="0"/>
              <w:spacing w:before="0" w:after="0"/>
              <w:jc w:val="left"/>
              <w:rPr>
                <w:b/>
              </w:rPr>
            </w:pPr>
            <w:r>
              <w:rPr>
                <w:b/>
              </w:rPr>
              <w:t>Item 2.02</w:t>
            </w:r>
          </w:p>
        </w:tc>
        <w:tc>
          <w:tcPr>
            <w:tcW w:w="4790" w:type="dxa"/>
            <w:tcBorders/>
            <w:vAlign w:val="center"/>
          </w:tcPr>
          <w:p>
            <w:pPr>
              <w:pStyle w:val="TableContents"/>
              <w:bidi w:val="0"/>
              <w:spacing w:before="0" w:after="0"/>
              <w:jc w:val="left"/>
              <w:rPr>
                <w:b/>
              </w:rPr>
            </w:pPr>
            <w:r>
              <w:rPr>
                <w:b/>
              </w:rPr>
              <w:t>Results of Operations and Financial Condition.</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On November 14, 2024, Innventure, Inc. (the “Company”) issued a press release, attached hereto as Exhibit 99.1 and incorporated herein by reference, announcing the Company’s financial results for the third quarter ended September 30, 2024, and certain other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information contained in Item 7.01 concerning the presentation to the Company’s investors is hereby incorporated into this Item 2.02 by reference.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e6152e30deb04961ac634032019bac74"/>
      <w:bookmarkStart w:id="19" w:name="ze6152e30deb04961ac634032019bac74"/>
      <w:bookmarkEnd w:id="19"/>
    </w:p>
    <w:tbl>
      <w:tblPr>
        <w:tblW w:w="3655" w:type="dxa"/>
        <w:jc w:val="left"/>
        <w:tblInd w:w="0" w:type="dxa"/>
        <w:tblLayout w:type="fixed"/>
        <w:tblCellMar>
          <w:top w:w="0" w:type="dxa"/>
          <w:left w:w="0" w:type="dxa"/>
          <w:bottom w:w="0" w:type="dxa"/>
          <w:right w:w="0" w:type="dxa"/>
        </w:tblCellMar>
      </w:tblPr>
      <w:tblGrid>
        <w:gridCol w:w="965"/>
        <w:gridCol w:w="2690"/>
      </w:tblGrid>
      <w:tr>
        <w:trPr/>
        <w:tc>
          <w:tcPr>
            <w:tcW w:w="965" w:type="dxa"/>
            <w:tcBorders/>
            <w:vAlign w:val="center"/>
          </w:tcPr>
          <w:p>
            <w:pPr>
              <w:pStyle w:val="TableContents"/>
              <w:bidi w:val="0"/>
              <w:spacing w:before="0" w:after="0"/>
              <w:jc w:val="left"/>
              <w:rPr>
                <w:b/>
              </w:rPr>
            </w:pPr>
            <w:r>
              <w:rPr>
                <w:b/>
              </w:rPr>
              <w:t>Item 7.01</w:t>
            </w:r>
          </w:p>
        </w:tc>
        <w:tc>
          <w:tcPr>
            <w:tcW w:w="2690" w:type="dxa"/>
            <w:tcBorders/>
            <w:vAlign w:val="center"/>
          </w:tcPr>
          <w:p>
            <w:pPr>
              <w:pStyle w:val="TableContents"/>
              <w:bidi w:val="0"/>
              <w:spacing w:before="0" w:after="0"/>
              <w:jc w:val="left"/>
              <w:rPr>
                <w:b/>
              </w:rPr>
            </w:pPr>
            <w:r>
              <w:rPr>
                <w:b/>
              </w:rPr>
              <w:t>Regulation FD Disclosure.</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The slide presentation attached hereto as Exhibit 99.2, and incorporated herein by reference, will be presented to certain investors of the Company on November 14, 2024 and may be used by the Company in various other presentations to investors.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90826db055d3460da62f16f2e9027328"/>
      <w:bookmarkStart w:id="21" w:name="z90826db055d3460da62f16f2e9027328"/>
      <w:bookmarkEnd w:id="21"/>
    </w:p>
    <w:tbl>
      <w:tblPr>
        <w:tblW w:w="4510" w:type="dxa"/>
        <w:jc w:val="left"/>
        <w:tblInd w:w="0" w:type="dxa"/>
        <w:tblLayout w:type="fixed"/>
        <w:tblCellMar>
          <w:top w:w="0" w:type="dxa"/>
          <w:left w:w="0" w:type="dxa"/>
          <w:bottom w:w="0" w:type="dxa"/>
          <w:right w:w="0" w:type="dxa"/>
        </w:tblCellMar>
      </w:tblPr>
      <w:tblGrid>
        <w:gridCol w:w="965"/>
        <w:gridCol w:w="3545"/>
      </w:tblGrid>
      <w:tr>
        <w:trPr/>
        <w:tc>
          <w:tcPr>
            <w:tcW w:w="965" w:type="dxa"/>
            <w:tcBorders/>
            <w:vAlign w:val="center"/>
          </w:tcPr>
          <w:p>
            <w:pPr>
              <w:pStyle w:val="TableContents"/>
              <w:bidi w:val="0"/>
              <w:spacing w:before="0" w:after="0"/>
              <w:jc w:val="left"/>
              <w:rPr>
                <w:b/>
              </w:rPr>
            </w:pPr>
            <w:r>
              <w:rPr>
                <w:b/>
              </w:rPr>
              <w:t>Item 9.01</w:t>
            </w:r>
          </w:p>
        </w:tc>
        <w:tc>
          <w:tcPr>
            <w:tcW w:w="3545" w:type="dxa"/>
            <w:tcBorders/>
            <w:vAlign w:val="center"/>
          </w:tcPr>
          <w:p>
            <w:pPr>
              <w:pStyle w:val="TableContents"/>
              <w:bidi w:val="0"/>
              <w:spacing w:before="0" w:after="0"/>
              <w:jc w:val="left"/>
              <w:rPr>
                <w:b/>
              </w:rPr>
            </w:pPr>
            <w:r>
              <w:rPr>
                <w:b/>
              </w:rPr>
              <w:t>Financial Statements and Exhibits.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 Exhibits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94593adee2ed49f49861dd7a7e58bd8f"/>
      <w:bookmarkStart w:id="23" w:name="z94593adee2ed49f49861dd7a7e58bd8f"/>
      <w:bookmarkEnd w:id="23"/>
    </w:p>
    <w:tbl>
      <w:tblPr>
        <w:tblW w:w="9295" w:type="dxa"/>
        <w:jc w:val="left"/>
        <w:tblInd w:w="0" w:type="dxa"/>
        <w:tblLayout w:type="fixed"/>
        <w:tblCellMar>
          <w:top w:w="0" w:type="dxa"/>
          <w:left w:w="0" w:type="dxa"/>
          <w:bottom w:w="0" w:type="dxa"/>
          <w:right w:w="0" w:type="dxa"/>
        </w:tblCellMar>
      </w:tblPr>
      <w:tblGrid>
        <w:gridCol w:w="1685"/>
        <w:gridCol w:w="7610"/>
      </w:tblGrid>
      <w:tr>
        <w:trPr/>
        <w:tc>
          <w:tcPr>
            <w:tcW w:w="1685" w:type="dxa"/>
            <w:tcBorders/>
            <w:vAlign w:val="center"/>
          </w:tcPr>
          <w:p>
            <w:pPr>
              <w:pStyle w:val="TableContents"/>
              <w:bidi w:val="0"/>
              <w:spacing w:before="0" w:after="0"/>
              <w:jc w:val="center"/>
              <w:rPr>
                <w:b/>
              </w:rPr>
            </w:pPr>
            <w:r>
              <w:rPr>
                <w:b/>
              </w:rPr>
              <w:t>Exhibit Number</w:t>
            </w:r>
          </w:p>
        </w:tc>
        <w:tc>
          <w:tcPr>
            <w:tcW w:w="7610" w:type="dxa"/>
            <w:tcBorders/>
            <w:vAlign w:val="center"/>
          </w:tcPr>
          <w:p>
            <w:pPr>
              <w:pStyle w:val="TableContents"/>
              <w:bidi w:val="0"/>
              <w:spacing w:before="0" w:after="0"/>
              <w:jc w:val="left"/>
              <w:rPr>
                <w:rFonts w:ascii="Times New Roman;Times;serif" w:hAnsi="Times New Roman;Times;serif"/>
                <w:b/>
              </w:rPr>
            </w:pPr>
            <w:r>
              <w:rPr>
                <w:rFonts w:ascii="Times New Roman;Times;serif" w:hAnsi="Times New Roman;Times;serif"/>
                <w:b/>
              </w:rPr>
              <w:t>Description of Exhibit</w:t>
            </w:r>
          </w:p>
        </w:tc>
      </w:tr>
      <w:tr>
        <w:trPr/>
        <w:tc>
          <w:tcPr>
            <w:tcW w:w="1685" w:type="dxa"/>
            <w:tcBorders/>
            <w:vAlign w:val="center"/>
          </w:tcPr>
          <w:p>
            <w:pPr>
              <w:pStyle w:val="TableContents"/>
              <w:bidi w:val="0"/>
              <w:spacing w:before="0" w:after="0"/>
              <w:jc w:val="center"/>
              <w:rPr/>
            </w:pPr>
            <w:hyperlink w:anchor="Exhibit99.1">
              <w:r>
                <w:rPr>
                  <w:rStyle w:val="InternetLink"/>
                </w:rPr>
                <w:t>99.1</w:t>
              </w:r>
            </w:hyperlink>
          </w:p>
        </w:tc>
        <w:tc>
          <w:tcPr>
            <w:tcW w:w="7610" w:type="dxa"/>
            <w:tcBorders/>
            <w:vAlign w:val="center"/>
          </w:tcPr>
          <w:p>
            <w:pPr>
              <w:pStyle w:val="TableContents"/>
              <w:bidi w:val="0"/>
              <w:spacing w:before="0" w:after="0"/>
              <w:jc w:val="left"/>
              <w:rPr/>
            </w:pPr>
            <w:r>
              <w:rPr/>
              <w:t>Press Release by Innventure, Inc. dated November 14, 2024</w:t>
            </w:r>
          </w:p>
        </w:tc>
      </w:tr>
      <w:tr>
        <w:trPr/>
        <w:tc>
          <w:tcPr>
            <w:tcW w:w="1685" w:type="dxa"/>
            <w:tcBorders/>
            <w:vAlign w:val="center"/>
          </w:tcPr>
          <w:p>
            <w:pPr>
              <w:pStyle w:val="TableContents"/>
              <w:bidi w:val="0"/>
              <w:spacing w:before="0" w:after="0"/>
              <w:jc w:val="center"/>
              <w:rPr/>
            </w:pPr>
            <w:hyperlink w:anchor="Exhibit99.2">
              <w:r>
                <w:rPr>
                  <w:rStyle w:val="InternetLink"/>
                </w:rPr>
                <w:t>99.2</w:t>
              </w:r>
            </w:hyperlink>
          </w:p>
        </w:tc>
        <w:tc>
          <w:tcPr>
            <w:tcW w:w="7610" w:type="dxa"/>
            <w:tcBorders/>
            <w:vAlign w:val="center"/>
          </w:tcPr>
          <w:p>
            <w:pPr>
              <w:pStyle w:val="TableContents"/>
              <w:bidi w:val="0"/>
              <w:spacing w:before="0" w:after="0"/>
              <w:jc w:val="left"/>
              <w:rPr/>
            </w:pPr>
            <w:r>
              <w:rPr/>
              <w:t>Innventure, Inc. presentation to investors</w:t>
            </w:r>
          </w:p>
        </w:tc>
      </w:tr>
      <w:tr>
        <w:trPr/>
        <w:tc>
          <w:tcPr>
            <w:tcW w:w="1685" w:type="dxa"/>
            <w:tcBorders/>
            <w:vAlign w:val="center"/>
          </w:tcPr>
          <w:p>
            <w:pPr>
              <w:pStyle w:val="TableContents"/>
              <w:bidi w:val="0"/>
              <w:spacing w:before="0" w:after="0"/>
              <w:jc w:val="center"/>
              <w:rPr/>
            </w:pPr>
            <w:r>
              <w:rPr/>
              <w:t>104</w:t>
            </w:r>
          </w:p>
        </w:tc>
        <w:tc>
          <w:tcPr>
            <w:tcW w:w="7610" w:type="dxa"/>
            <w:tcBorders/>
            <w:vAlign w:val="center"/>
          </w:tcPr>
          <w:p>
            <w:pPr>
              <w:pStyle w:val="TableContents"/>
              <w:bidi w:val="0"/>
              <w:spacing w:before="0" w:after="0"/>
              <w:jc w:val="left"/>
              <w:rPr/>
            </w:pPr>
            <w:r>
              <w:rPr/>
              <w:t>Cover Page Interactive Data File (embedded within the Inline XBRL document)</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98c45f8c26744f08a943d79dfa51ccfb"/>
      <w:bookmarkStart w:id="25" w:name="z98c45f8c26744f08a943d79dfa51ccfb"/>
      <w:bookmarkEnd w:id="25"/>
    </w:p>
    <w:tbl>
      <w:tblPr>
        <w:tblW w:w="5715" w:type="dxa"/>
        <w:jc w:val="left"/>
        <w:tblInd w:w="0" w:type="dxa"/>
        <w:tblLayout w:type="fixed"/>
        <w:tblCellMar>
          <w:top w:w="0" w:type="dxa"/>
          <w:left w:w="0" w:type="dxa"/>
          <w:bottom w:w="0" w:type="dxa"/>
          <w:right w:w="0" w:type="dxa"/>
        </w:tblCellMar>
      </w:tblPr>
      <w:tblGrid>
        <w:gridCol w:w="2570"/>
        <w:gridCol w:w="365"/>
        <w:gridCol w:w="2780"/>
      </w:tblGrid>
      <w:tr>
        <w:trPr/>
        <w:tc>
          <w:tcPr>
            <w:tcW w:w="2570" w:type="dxa"/>
            <w:tcBorders/>
            <w:vAlign w:val="center"/>
          </w:tcPr>
          <w:p>
            <w:pPr>
              <w:pStyle w:val="TableContents"/>
              <w:bidi w:val="0"/>
              <w:spacing w:before="0" w:after="0"/>
              <w:jc w:val="left"/>
              <w:rPr/>
            </w:pPr>
            <w:r>
              <w:rPr/>
              <w:t> </w:t>
            </w:r>
          </w:p>
        </w:tc>
        <w:tc>
          <w:tcPr>
            <w:tcW w:w="3145" w:type="dxa"/>
            <w:gridSpan w:val="2"/>
            <w:tcBorders/>
            <w:vAlign w:val="center"/>
          </w:tcPr>
          <w:p>
            <w:pPr>
              <w:pStyle w:val="TableContents"/>
              <w:bidi w:val="0"/>
              <w:spacing w:before="0" w:after="0"/>
              <w:jc w:val="left"/>
              <w:rPr>
                <w:b/>
              </w:rPr>
            </w:pPr>
            <w:r>
              <w:rPr>
                <w:b/>
              </w:rPr>
              <w:t>INNVENTURE, INC.</w:t>
            </w:r>
          </w:p>
        </w:tc>
      </w:tr>
      <w:tr>
        <w:trPr/>
        <w:tc>
          <w:tcPr>
            <w:tcW w:w="25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0"/>
              <w:jc w:val="left"/>
              <w:rPr/>
            </w:pPr>
            <w:r>
              <w:rPr/>
              <w:t> </w:t>
            </w:r>
          </w:p>
        </w:tc>
      </w:tr>
      <w:tr>
        <w:trPr/>
        <w:tc>
          <w:tcPr>
            <w:tcW w:w="2570" w:type="dxa"/>
            <w:tcBorders/>
            <w:vAlign w:val="center"/>
          </w:tcPr>
          <w:p>
            <w:pPr>
              <w:pStyle w:val="TableContents"/>
              <w:bidi w:val="0"/>
              <w:spacing w:before="0" w:after="0"/>
              <w:jc w:val="left"/>
              <w:rPr/>
            </w:pPr>
            <w:r>
              <w:rPr/>
              <w:t>Date:  November 14, 2024</w:t>
            </w:r>
          </w:p>
        </w:tc>
        <w:tc>
          <w:tcPr>
            <w:tcW w:w="365" w:type="dxa"/>
            <w:tcBorders/>
            <w:vAlign w:val="center"/>
          </w:tcPr>
          <w:p>
            <w:pPr>
              <w:pStyle w:val="TableContents"/>
              <w:bidi w:val="0"/>
              <w:spacing w:before="0" w:after="0"/>
              <w:jc w:val="left"/>
              <w:rPr/>
            </w:pPr>
            <w:r>
              <w:rPr/>
              <w:t>By:</w:t>
            </w:r>
          </w:p>
        </w:tc>
        <w:tc>
          <w:tcPr>
            <w:tcW w:w="2780" w:type="dxa"/>
            <w:tcBorders>
              <w:bottom w:val="single" w:sz="12" w:space="0" w:color="000000"/>
            </w:tcBorders>
            <w:tcMar>
              <w:bottom w:w="28" w:type="dxa"/>
            </w:tcMar>
            <w:vAlign w:val="center"/>
          </w:tcPr>
          <w:p>
            <w:pPr>
              <w:pStyle w:val="TableContents"/>
              <w:bidi w:val="0"/>
              <w:spacing w:before="0" w:after="0"/>
              <w:jc w:val="left"/>
              <w:rPr/>
            </w:pPr>
            <w:r>
              <w:rPr/>
              <w:t>/s/ David Yablunosky</w:t>
            </w:r>
          </w:p>
        </w:tc>
      </w:tr>
      <w:tr>
        <w:trPr/>
        <w:tc>
          <w:tcPr>
            <w:tcW w:w="25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0"/>
              <w:jc w:val="left"/>
              <w:rPr/>
            </w:pPr>
            <w:r>
              <w:rPr/>
              <w:t>Name: David Yablunosky</w:t>
            </w:r>
          </w:p>
        </w:tc>
      </w:tr>
      <w:tr>
        <w:trPr/>
        <w:tc>
          <w:tcPr>
            <w:tcW w:w="25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c>
          <w:tcPr>
            <w:tcW w:w="2780" w:type="dxa"/>
            <w:tcBorders/>
            <w:vAlign w:val="center"/>
          </w:tcPr>
          <w:p>
            <w:pPr>
              <w:pStyle w:val="TableContents"/>
              <w:bidi w:val="0"/>
              <w:spacing w:before="0" w:after="0"/>
              <w:jc w:val="left"/>
              <w:rPr/>
            </w:pPr>
            <w:r>
              <w:rPr/>
              <w:t>Title: Chief Financial Officer</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26" w:name="Exhibit99.1"/>
      <w:bookmarkEnd w:id="26"/>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Reports Third Quarter 2024 Results</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Accelsius delivered first revenue generating system during third quarter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ORLANDO, Fla. (November 14, 2024) – Innventure, Inc. (NASDAQ: INV) (“Innventure”), a technology commercialization platform, today announced financial results for the quarter ended September 30, 2024.</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We are incredibly excited about Innventure’s accomplishments during the third quarter, which subsequently culminated in early October with the close of our business combination and first day of trading on the Nasdaq,” said Bill Haskell, Innventure’s Chief Executive Officer. “Our operating companies continue to outperform our expectations, with both AeroFlexx and Accelsius now delivering commercial product to the marketplace.”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Mr. Haskell continued, “We look forward to sharing more as we scale these companies and launch new companies in the future. I’d like to thank the entire Innventure team for their tireless work making our vision an ever expanding reality. Now as a public company, we can accelerate execution against our mission to bring breakthrough technologies to market and deliver long-term value for our shareholders.”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Conference Call and Webcast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 conference call to discuss these results has been scheduled for 8:30 a.m. ET on Thursday, November 14, 2024.  Interested parties can join the call via teleconference by registering at this link: </w:t>
      </w:r>
      <w:r>
        <w:rPr>
          <w:rFonts w:ascii="Times New Roman" w:hAnsi="Times New Roman"/>
          <w:color w:val="000000"/>
          <w:sz w:val="20"/>
          <w:u w:val="single"/>
        </w:rPr>
        <w:t>https://register.vevent.com/register/BIc433d3bf08f34d37b56270335fc659fe</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After registering, you will be provided dial in details and a unique dial-in PIN. Registration is open through the live call, but to ensure you are connected for the full call, we suggest registering in advance. Webcast information and conference call materials will be made available on Innventure’s Investor Relations website here: </w:t>
      </w:r>
      <w:r>
        <w:rPr>
          <w:rFonts w:ascii="Times New Roman" w:hAnsi="Times New Roman"/>
          <w:color w:val="000000"/>
          <w:sz w:val="20"/>
          <w:u w:val="single"/>
        </w:rPr>
        <w:t>https://ir.innventure.com/</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Innventure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Innventure founds, funds, and operates companies with a focus on transformative, sustainable technology solutions acquired or licensed from multinational corporations. As owner-operators, Innventure takes what it believes to be breakthrough technologies from early evaluation to scaled commercialization utilizing an approach designed to help mitigate risk as it builds disruptive companies it believes have the potential to achieve a target enterprise value of at least $1 billion. Innventure defines ‘‘disruptive’’ as innovations that have the ability to significantly change the way businesses, industries, markets and/or consumers operate.</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contains forward-looking statements, including statements about the Company’s business model and its and its operating companies’ prospects. In addition, any statements that refer to projections, forecasts or other characterizations of future events or circumstances, including any underlying assumptions, are forward-looking statements. Forward-looking statements generally relate to future events or the Company’s future financial or operating performance and may refer to projections and forecasts.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are based on the current expectations of the Company’s management and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discussed and identified in other public filings made with the Securities and Exchange Commission by the Company and the following: (a) expectations regarding the Company’s and the Innventure Companies’ (as defined below) strategies and future financial performance, including their future business plans, expansion and acquisition plans or objectives, prospective performance and opportunities and competitors, revenues, products and services, pricing, operating expenses, market trends, liquidity, cash flows and uses of cash, capital expenditures, and the Company’s ability to invest in growth initiatives; (b) the implementation, market acceptance and success of the Company’s and the Innventure Companies’ business models and growth strategies; (c) the Company’s future capital requirements and sources and uses of cash; (d) the Company’s ability to meet the various conditions, including the available cash and performance targets, and access any of the installments draws under the WTI Line of Credit; (e) the Company’s ability to meet the various conditions and satisfy the various limitations under the Standby Equity Purchase Agreement (the “SEPA”) with YA II PN, Ltd., including exchange caps, issuances and subscriptions based on trading volumes, to access the funds available under the SEPA; (f) that the Company will have sufficient capital following the completion of the Business Combination to operate as anticipated; (g) the Company’s ability to obtain funding for its operations and future growth; (h) developments and projections relating to the Company’s and the Innventure Companies’ competitors and industry; (i) the Innventure Companies’ ability to meet, and to continue to meet, applicable regulatory requirements for the use of their products and the numerous regulatory requirements generally applicable to their products and facilities; (j) the outcome of any legal proceedings that may be instituted against the Company in connection with the completion of the Business Combination; (k) the Company’s ability to find future opportunities to license or acquire breakthrough technology solutions from multinational corporations (“MNCs”) and to satisfy the requirements imposed by or to avoid disagreements with its current and future MNC partners; (l) the risk that the Company may be deemed an investment company under the Investment Company Act, which would impose burdensome compliance requirements and restrictions on its activities; (m) the Company’s ability to sufficiently protect the intellectual property rights of itself and its subsidiaries, and to avoid or resolve in a timely and cost-effective manner any disputes that may arise relating to its use of the intellectual property of third parties; (n) the risk of a cyber-attack or a failure of the Company’s information technology and data security infrastructure; (o) the ability to recognize the anticipated benefits of the Business Combination; (p) unexpected costs related to the Business Combination; (q) geopolitical risk and changes in applicable laws or regulations; (r) potential adverse effects of other economic, business, and/or competitive factors; and (s) operational risks related to the Company and its subsidiaries.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Media Contact: </w:t>
      </w:r>
      <w:r>
        <w:rPr>
          <w:rFonts w:ascii="Times New Roman" w:hAnsi="Times New Roman"/>
          <w:color w:val="000000"/>
          <w:sz w:val="20"/>
        </w:rPr>
        <w:t>Laurie Steinberg, Solebury Strategic Communications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press@innventure.com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Investor Relations Contact:</w:t>
      </w:r>
      <w:r>
        <w:rPr>
          <w:rFonts w:ascii="Times New Roman" w:hAnsi="Times New Roman"/>
          <w:color w:val="000000"/>
          <w:sz w:val="20"/>
        </w:rPr>
        <w:t xml:space="preserve"> Sloan Bohlen, Solebury Strategic Communications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investorrelations@innventure.com</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LLC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unit and per unit amounts) (Unaudited)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zb25ec2bbd6e544e5ad9725deca111681"/>
      <w:bookmarkStart w:id="28" w:name="zb25ec2bbd6e544e5ad9725deca111681"/>
      <w:bookmarkEnd w:id="28"/>
    </w:p>
    <w:tbl>
      <w:tblPr>
        <w:tblW w:w="10205" w:type="dxa"/>
        <w:jc w:val="left"/>
        <w:tblInd w:w="0" w:type="dxa"/>
        <w:tblLayout w:type="fixed"/>
        <w:tblCellMar>
          <w:top w:w="0" w:type="dxa"/>
          <w:left w:w="0" w:type="dxa"/>
          <w:bottom w:w="0" w:type="dxa"/>
          <w:right w:w="0" w:type="dxa"/>
        </w:tblCellMar>
      </w:tblPr>
      <w:tblGrid>
        <w:gridCol w:w="7309"/>
        <w:gridCol w:w="60"/>
        <w:gridCol w:w="230"/>
        <w:gridCol w:w="1099"/>
        <w:gridCol w:w="95"/>
        <w:gridCol w:w="60"/>
        <w:gridCol w:w="193"/>
        <w:gridCol w:w="1046"/>
        <w:gridCol w:w="113"/>
      </w:tblGrid>
      <w:tr>
        <w:trPr/>
        <w:tc>
          <w:tcPr>
            <w:tcW w:w="7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September 30,</w:t>
            </w:r>
          </w:p>
          <w:p>
            <w:pPr>
              <w:pStyle w:val="TableContents"/>
              <w:bidi w:val="0"/>
              <w:spacing w:before="0" w:after="0"/>
              <w:jc w:val="center"/>
              <w:rPr>
                <w:b/>
                <w:color w:val="000000"/>
              </w:rPr>
            </w:pPr>
            <w:r>
              <w:rPr>
                <w:b/>
                <w:color w:val="00000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2023</w:t>
            </w:r>
          </w:p>
        </w:tc>
        <w:tc>
          <w:tcPr>
            <w:tcW w:w="113" w:type="dxa"/>
            <w:tcBorders/>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0"/>
              <w:jc w:val="center"/>
              <w:rPr>
                <w:b/>
                <w:color w:val="000000"/>
              </w:rPr>
            </w:pPr>
            <w:r>
              <w:rPr>
                <w:b/>
                <w:color w:val="000000"/>
              </w:rPr>
              <w:t>(Unaudited)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180" w:right="0" w:hanging="180"/>
              <w:jc w:val="left"/>
              <w:rPr>
                <w:b/>
                <w:color w:val="000000"/>
              </w:rPr>
            </w:pPr>
            <w:r>
              <w:rPr>
                <w:b/>
                <w:color w:val="000000"/>
              </w:rPr>
              <w:t>Assets</w:t>
            </w:r>
          </w:p>
        </w:tc>
        <w:tc>
          <w:tcPr>
            <w:tcW w:w="60"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360" w:right="0" w:hanging="180"/>
              <w:jc w:val="left"/>
              <w:rPr>
                <w:color w:val="000000"/>
              </w:rPr>
            </w:pPr>
            <w:r>
              <w:rPr>
                <w:color w:val="000000"/>
              </w:rPr>
              <w:t>Cash, cash equivalents and restricted cash</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0"/>
              <w:jc w:val="left"/>
              <w:rPr>
                <w:color w:val="000000"/>
              </w:rPr>
            </w:pPr>
            <w:r>
              <w:rPr>
                <w:color w:val="000000"/>
              </w:rPr>
              <w:t>$</w:t>
            </w:r>
          </w:p>
        </w:tc>
        <w:tc>
          <w:tcPr>
            <w:tcW w:w="1099" w:type="dxa"/>
            <w:tcBorders/>
            <w:shd w:fill="CCEEFF" w:val="clear"/>
            <w:vAlign w:val="bottom"/>
          </w:tcPr>
          <w:p>
            <w:pPr>
              <w:pStyle w:val="TableContents"/>
              <w:bidi w:val="0"/>
              <w:spacing w:before="0" w:after="0"/>
              <w:jc w:val="right"/>
              <w:rPr>
                <w:color w:val="000000"/>
              </w:rPr>
            </w:pPr>
            <w:r>
              <w:rPr>
                <w:color w:val="000000"/>
              </w:rPr>
              <w:t>16,297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0"/>
              <w:jc w:val="left"/>
              <w:rPr>
                <w:color w:val="000000"/>
              </w:rPr>
            </w:pPr>
            <w:r>
              <w:rPr>
                <w:color w:val="000000"/>
              </w:rPr>
              <w:t>$</w:t>
            </w:r>
          </w:p>
        </w:tc>
        <w:tc>
          <w:tcPr>
            <w:tcW w:w="1046" w:type="dxa"/>
            <w:tcBorders/>
            <w:shd w:fill="CCEEFF" w:val="clear"/>
            <w:vAlign w:val="bottom"/>
          </w:tcPr>
          <w:p>
            <w:pPr>
              <w:pStyle w:val="TableContents"/>
              <w:bidi w:val="0"/>
              <w:spacing w:before="0" w:after="0"/>
              <w:jc w:val="right"/>
              <w:rPr>
                <w:color w:val="000000"/>
              </w:rPr>
            </w:pPr>
            <w:r>
              <w:rPr>
                <w:color w:val="000000"/>
              </w:rPr>
              <w:t>2,575</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Prepaid expenses and other current assets</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1,884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487</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360" w:right="0" w:hanging="180"/>
              <w:jc w:val="left"/>
              <w:rPr>
                <w:color w:val="000000"/>
              </w:rPr>
            </w:pPr>
            <w:r>
              <w:rPr>
                <w:color w:val="000000"/>
              </w:rPr>
              <w:t>Inventory</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2,824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Due from related parties</w:t>
            </w:r>
          </w:p>
        </w:tc>
        <w:tc>
          <w:tcPr>
            <w:tcW w:w="60" w:type="dxa"/>
            <w:tcBorders/>
            <w:vAlign w:val="bottom"/>
          </w:tcPr>
          <w:p>
            <w:pPr>
              <w:pStyle w:val="TableContents"/>
              <w:bidi w:val="0"/>
              <w:spacing w:before="0" w:after="283"/>
              <w:jc w:val="left"/>
              <w:rPr/>
            </w:pPr>
            <w:r>
              <w:rPr/>
              <w:t> </w:t>
            </w:r>
          </w:p>
        </w:tc>
        <w:tc>
          <w:tcPr>
            <w:tcW w:w="23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2,602</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b/>
                <w:color w:val="000000"/>
              </w:rPr>
            </w:pPr>
            <w:r>
              <w:rPr>
                <w:b/>
                <w:color w:val="000000"/>
              </w:rPr>
              <w:t>Total Current Assets</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b/>
                <w:color w:val="000000"/>
              </w:rPr>
            </w:pPr>
            <w:r>
              <w:rPr>
                <w:b/>
                <w:color w:val="000000"/>
              </w:rPr>
              <w:t>21,215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b/>
                <w:color w:val="000000"/>
              </w:rPr>
            </w:pPr>
            <w:r>
              <w:rPr>
                <w:b/>
                <w:color w:val="000000"/>
              </w:rPr>
              <w:t>5,664</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180" w:right="0" w:hanging="180"/>
              <w:jc w:val="left"/>
              <w:rPr>
                <w:color w:val="000000"/>
              </w:rPr>
            </w:pPr>
            <w:r>
              <w:rPr>
                <w:color w:val="000000"/>
              </w:rPr>
              <w:t>Investments</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32,359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14,167</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color w:val="000000"/>
              </w:rPr>
            </w:pPr>
            <w:r>
              <w:rPr>
                <w:color w:val="000000"/>
              </w:rPr>
              <w:t>Property, plant and equipment, net</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1,227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637</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180" w:right="0" w:hanging="180"/>
              <w:jc w:val="left"/>
              <w:rPr>
                <w:color w:val="000000"/>
              </w:rPr>
            </w:pPr>
            <w:r>
              <w:rPr>
                <w:color w:val="000000"/>
              </w:rPr>
              <w:t>Other assets</w:t>
            </w:r>
          </w:p>
        </w:tc>
        <w:tc>
          <w:tcPr>
            <w:tcW w:w="60" w:type="dxa"/>
            <w:tcBorders/>
            <w:vAlign w:val="bottom"/>
          </w:tcPr>
          <w:p>
            <w:pPr>
              <w:pStyle w:val="TableContents"/>
              <w:bidi w:val="0"/>
              <w:spacing w:before="0" w:after="283"/>
              <w:jc w:val="left"/>
              <w:rPr/>
            </w:pPr>
            <w:r>
              <w:rPr/>
              <w:t> </w:t>
            </w:r>
          </w:p>
        </w:tc>
        <w:tc>
          <w:tcPr>
            <w:tcW w:w="23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1,096</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b/>
                <w:color w:val="000000"/>
              </w:rPr>
            </w:pPr>
            <w:r>
              <w:rPr>
                <w:b/>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55,731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21,564</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b/>
                <w:color w:val="000000"/>
              </w:rPr>
            </w:pPr>
            <w:r>
              <w:rPr>
                <w:b/>
                <w:color w:val="000000"/>
              </w:rPr>
              <w:t>Liabilities and Unitholders’ Capital</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Accounts payable</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4,932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93</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360" w:right="0" w:hanging="180"/>
              <w:jc w:val="left"/>
              <w:rPr>
                <w:color w:val="000000"/>
              </w:rPr>
            </w:pPr>
            <w:r>
              <w:rPr>
                <w:color w:val="000000"/>
              </w:rPr>
              <w:t>Accrued employee benefits</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7,617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3,779</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Accrued expenses</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1,929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1,009</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360" w:right="0" w:hanging="180"/>
              <w:jc w:val="left"/>
              <w:rPr>
                <w:color w:val="000000"/>
              </w:rPr>
            </w:pPr>
            <w:r>
              <w:rPr>
                <w:color w:val="000000"/>
              </w:rPr>
              <w:t>Related party payables</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815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347</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Related party notes payable - current</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13,932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1,000</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360" w:right="0" w:hanging="180"/>
              <w:jc w:val="left"/>
              <w:rPr>
                <w:color w:val="000000"/>
              </w:rPr>
            </w:pPr>
            <w:r>
              <w:rPr>
                <w:color w:val="000000"/>
              </w:rPr>
              <w:t>Notes payable - current</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693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912</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Patent installment payable - current</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525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775</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360" w:right="0" w:hanging="180"/>
              <w:jc w:val="left"/>
              <w:rPr>
                <w:color w:val="000000"/>
              </w:rPr>
            </w:pPr>
            <w:r>
              <w:rPr>
                <w:color w:val="000000"/>
              </w:rPr>
              <w:t>Liability for future preferred stock issuance</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10,870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Other current liabilities</w:t>
            </w:r>
          </w:p>
        </w:tc>
        <w:tc>
          <w:tcPr>
            <w:tcW w:w="60" w:type="dxa"/>
            <w:tcBorders/>
            <w:vAlign w:val="bottom"/>
          </w:tcPr>
          <w:p>
            <w:pPr>
              <w:pStyle w:val="TableContents"/>
              <w:bidi w:val="0"/>
              <w:spacing w:before="0" w:after="283"/>
              <w:jc w:val="left"/>
              <w:rPr/>
            </w:pPr>
            <w:r>
              <w:rPr/>
              <w:t> </w:t>
            </w:r>
          </w:p>
        </w:tc>
        <w:tc>
          <w:tcPr>
            <w:tcW w:w="23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253</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b/>
                <w:color w:val="000000"/>
              </w:rPr>
            </w:pPr>
            <w:r>
              <w:rPr>
                <w:b/>
                <w:color w:val="000000"/>
              </w:rPr>
              <w:t>Total Current Liabilities</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b/>
                <w:color w:val="000000"/>
              </w:rPr>
            </w:pPr>
            <w:r>
              <w:rPr>
                <w:b/>
                <w:color w:val="000000"/>
              </w:rPr>
              <w:t>41,601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b/>
                <w:color w:val="000000"/>
              </w:rPr>
            </w:pPr>
            <w:r>
              <w:rPr>
                <w:b/>
                <w:color w:val="000000"/>
              </w:rPr>
              <w:t>8,168</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180" w:right="0" w:hanging="180"/>
              <w:jc w:val="left"/>
              <w:rPr>
                <w:color w:val="000000"/>
              </w:rPr>
            </w:pPr>
            <w:r>
              <w:rPr>
                <w:color w:val="000000"/>
              </w:rPr>
              <w:t>Notes payable, net of current portion</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282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999</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color w:val="000000"/>
              </w:rPr>
            </w:pPr>
            <w:r>
              <w:rPr>
                <w:color w:val="000000"/>
              </w:rPr>
              <w:t>Convertible promissory note, net</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1,120</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180" w:right="0" w:hanging="180"/>
              <w:jc w:val="left"/>
              <w:rPr>
                <w:color w:val="000000"/>
              </w:rPr>
            </w:pPr>
            <w:r>
              <w:rPr>
                <w:color w:val="000000"/>
              </w:rPr>
              <w:t>Convertible promissory note due to related party, net</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3,381</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color w:val="000000"/>
              </w:rPr>
            </w:pPr>
            <w:r>
              <w:rPr>
                <w:color w:val="000000"/>
              </w:rPr>
              <w:t>Embedded derivative liability</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1,994</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180" w:right="0" w:hanging="180"/>
              <w:jc w:val="left"/>
              <w:rPr>
                <w:color w:val="000000"/>
              </w:rPr>
            </w:pPr>
            <w:r>
              <w:rPr>
                <w:color w:val="000000"/>
              </w:rPr>
              <w:t>Patent installment payable, net of current</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13,075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13,075</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color w:val="000000"/>
              </w:rPr>
            </w:pPr>
            <w:r>
              <w:rPr>
                <w:color w:val="000000"/>
              </w:rPr>
              <w:t>Other liabilities</w:t>
            </w:r>
          </w:p>
        </w:tc>
        <w:tc>
          <w:tcPr>
            <w:tcW w:w="60" w:type="dxa"/>
            <w:tcBorders/>
            <w:shd w:fill="CCEEFF" w:val="clear"/>
            <w:vAlign w:val="bottom"/>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683</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180" w:right="0" w:hanging="180"/>
              <w:jc w:val="left"/>
              <w:rPr>
                <w:b/>
                <w:color w:val="000000"/>
              </w:rPr>
            </w:pPr>
            <w:r>
              <w:rPr>
                <w:b/>
                <w:color w:val="000000"/>
              </w:rPr>
              <w:t>Total Liabilities</w:t>
            </w:r>
          </w:p>
        </w:tc>
        <w:tc>
          <w:tcPr>
            <w:tcW w:w="60" w:type="dxa"/>
            <w:tcBorders/>
            <w:vAlign w:val="bottom"/>
          </w:tcPr>
          <w:p>
            <w:pPr>
              <w:pStyle w:val="TableContents"/>
              <w:bidi w:val="0"/>
              <w:spacing w:before="0" w:after="283"/>
              <w:jc w:val="left"/>
              <w:rPr/>
            </w:pPr>
            <w:r>
              <w:rPr/>
              <w:t> </w:t>
            </w:r>
          </w:p>
        </w:tc>
        <w:tc>
          <w:tcPr>
            <w:tcW w:w="23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9"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55,459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29,420</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180" w:right="0" w:hanging="180"/>
              <w:jc w:val="left"/>
              <w:rPr>
                <w:b/>
                <w:color w:val="000000"/>
              </w:rPr>
            </w:pPr>
            <w:r>
              <w:rPr>
                <w:b/>
                <w:color w:val="000000"/>
              </w:rPr>
              <w:t>Commitments and Contingencies</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180" w:right="0" w:hanging="180"/>
              <w:jc w:val="left"/>
              <w:rPr>
                <w:b/>
                <w:color w:val="000000"/>
              </w:rPr>
            </w:pPr>
            <w:r>
              <w:rPr>
                <w:b/>
                <w:color w:val="000000"/>
              </w:rPr>
              <w:t>Mezzanine Capital</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360" w:right="0" w:hanging="180"/>
              <w:jc w:val="left"/>
              <w:rPr>
                <w:color w:val="000000"/>
              </w:rPr>
            </w:pPr>
            <w:r>
              <w:rPr>
                <w:color w:val="000000"/>
              </w:rPr>
              <w:t>Redeemable Class I Units, no par value, 1,000,000 units authorized, issued and outstanding</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4,477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2,912</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Redeemable Class PCTA Units, no par value, 3,982,675 units authorized, issued and outstanding</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18,103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7,718</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b/>
                <w:color w:val="000000"/>
              </w:rPr>
            </w:pPr>
            <w:r>
              <w:rPr>
                <w:b/>
                <w:color w:val="000000"/>
              </w:rPr>
              <w:t>Unitholders' Deficit</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Class B Preferred Units, no par value, 6,722,562 and 4,639,557 units authorized, 5,609,951 and 4,109,961 units issued and outstanding</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51,683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38,122</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360" w:right="0" w:hanging="180"/>
              <w:jc w:val="left"/>
              <w:rPr>
                <w:color w:val="000000"/>
              </w:rPr>
            </w:pPr>
            <w:r>
              <w:rPr>
                <w:color w:val="000000"/>
              </w:rPr>
              <w:t>Class B-1 Preferred Units, no par value, 2,600,000 units authorized, 342,608 units issued and outstanding</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3,323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3,323</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Class A Units, no par value, 10,975,000 units authorized, 10,875,000 units issued and outstanding</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1,950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1,950</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360" w:right="0" w:hanging="180"/>
              <w:jc w:val="left"/>
              <w:rPr>
                <w:color w:val="000000"/>
              </w:rPr>
            </w:pPr>
            <w:r>
              <w:rPr>
                <w:color w:val="000000"/>
              </w:rPr>
              <w:t>Class C Units, no par value, 1,585,125 units authorized, 1,570,125 units issued and outstanding</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981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844</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Accumulated deficit</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0"/>
              <w:jc w:val="right"/>
              <w:rPr>
                <w:color w:val="000000"/>
              </w:rPr>
            </w:pPr>
            <w:r>
              <w:rPr>
                <w:color w:val="000000"/>
              </w:rPr>
              <w:t>(90,952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46" w:type="dxa"/>
            <w:tcBorders/>
            <w:vAlign w:val="bottom"/>
          </w:tcPr>
          <w:p>
            <w:pPr>
              <w:pStyle w:val="TableContents"/>
              <w:bidi w:val="0"/>
              <w:spacing w:before="0" w:after="0"/>
              <w:jc w:val="right"/>
              <w:rPr>
                <w:color w:val="000000"/>
              </w:rPr>
            </w:pPr>
            <w:r>
              <w:rPr>
                <w:color w:val="000000"/>
              </w:rPr>
              <w:t>(64,284</w:t>
            </w:r>
          </w:p>
        </w:tc>
        <w:tc>
          <w:tcPr>
            <w:tcW w:w="113" w:type="dxa"/>
            <w:tcBorders/>
            <w:vAlign w:val="bottom"/>
          </w:tcPr>
          <w:p>
            <w:pPr>
              <w:pStyle w:val="TableContents"/>
              <w:bidi w:val="0"/>
              <w:spacing w:before="0" w:after="0"/>
              <w:jc w:val="left"/>
              <w:rPr>
                <w:color w:val="000000"/>
              </w:rPr>
            </w:pPr>
            <w:r>
              <w:rPr>
                <w:color w:val="000000"/>
              </w:rPr>
              <w:t>)</w:t>
            </w:r>
          </w:p>
        </w:tc>
      </w:tr>
      <w:tr>
        <w:trPr/>
        <w:tc>
          <w:tcPr>
            <w:tcW w:w="7309" w:type="dxa"/>
            <w:tcBorders/>
            <w:shd w:fill="CCEEFF" w:val="clear"/>
            <w:vAlign w:val="bottom"/>
          </w:tcPr>
          <w:p>
            <w:pPr>
              <w:pStyle w:val="TableContents"/>
              <w:bidi w:val="0"/>
              <w:spacing w:before="0" w:after="0"/>
              <w:ind w:left="360" w:right="0" w:hanging="180"/>
              <w:jc w:val="left"/>
              <w:rPr>
                <w:color w:val="000000"/>
              </w:rPr>
            </w:pPr>
            <w:r>
              <w:rPr>
                <w:color w:val="00000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0"/>
              <w:jc w:val="right"/>
              <w:rPr>
                <w:color w:val="000000"/>
              </w:rPr>
            </w:pPr>
            <w:r>
              <w:rPr>
                <w:color w:val="000000"/>
              </w:rPr>
              <w:t>(2,373</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046" w:type="dxa"/>
            <w:tcBorders/>
            <w:shd w:fill="CCEEFF" w:val="clear"/>
            <w:vAlign w:val="bottom"/>
          </w:tcPr>
          <w:p>
            <w:pPr>
              <w:pStyle w:val="TableContents"/>
              <w:bidi w:val="0"/>
              <w:spacing w:before="0" w:after="0"/>
              <w:jc w:val="right"/>
              <w:rPr>
                <w:color w:val="000000"/>
              </w:rPr>
            </w:pPr>
            <w:r>
              <w:rPr>
                <w:color w:val="000000"/>
              </w:rPr>
              <w:t>—</w:t>
            </w:r>
          </w:p>
        </w:tc>
        <w:tc>
          <w:tcPr>
            <w:tcW w:w="113"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360" w:right="0" w:hanging="180"/>
              <w:jc w:val="left"/>
              <w:rPr>
                <w:color w:val="000000"/>
              </w:rPr>
            </w:pPr>
            <w:r>
              <w:rPr>
                <w:color w:val="000000"/>
              </w:rPr>
              <w:t>Non-controlling interest</w:t>
            </w:r>
          </w:p>
        </w:tc>
        <w:tc>
          <w:tcPr>
            <w:tcW w:w="60" w:type="dxa"/>
            <w:tcBorders/>
            <w:vAlign w:val="bottom"/>
          </w:tcPr>
          <w:p>
            <w:pPr>
              <w:pStyle w:val="TableContents"/>
              <w:bidi w:val="0"/>
              <w:spacing w:before="0" w:after="283"/>
              <w:jc w:val="left"/>
              <w:rPr/>
            </w:pPr>
            <w:r>
              <w:rPr/>
              <w:t> </w:t>
            </w:r>
          </w:p>
        </w:tc>
        <w:tc>
          <w:tcPr>
            <w:tcW w:w="23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13,080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1,559</w:t>
            </w:r>
          </w:p>
        </w:tc>
        <w:tc>
          <w:tcPr>
            <w:tcW w:w="113"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b/>
                <w:color w:val="000000"/>
              </w:rPr>
            </w:pPr>
            <w:r>
              <w:rPr>
                <w:b/>
                <w:color w:val="000000"/>
              </w:rPr>
              <w:t>Total Unitholders’ Deficit</w:t>
            </w:r>
          </w:p>
        </w:tc>
        <w:tc>
          <w:tcPr>
            <w:tcW w:w="60" w:type="dxa"/>
            <w:tcBorders/>
            <w:shd w:fill="CCEEFF" w:val="clear"/>
            <w:vAlign w:val="bottom"/>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(22,308</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(18,486</w:t>
            </w:r>
          </w:p>
        </w:tc>
        <w:tc>
          <w:tcPr>
            <w:tcW w:w="113" w:type="dxa"/>
            <w:tcBorders/>
            <w:shd w:fill="CCEEFF" w:val="clear"/>
            <w:vAlign w:val="bottom"/>
          </w:tcPr>
          <w:p>
            <w:pPr>
              <w:pStyle w:val="TableContents"/>
              <w:bidi w:val="0"/>
              <w:spacing w:before="0" w:after="0"/>
              <w:jc w:val="left"/>
              <w:rPr>
                <w:b/>
                <w:color w:val="000000"/>
              </w:rPr>
            </w:pPr>
            <w:r>
              <w:rPr>
                <w:b/>
                <w:color w:val="000000"/>
              </w:rPr>
              <w:t>)</w:t>
            </w:r>
          </w:p>
        </w:tc>
      </w:tr>
      <w:tr>
        <w:trPr/>
        <w:tc>
          <w:tcPr>
            <w:tcW w:w="7309" w:type="dxa"/>
            <w:tcBorders/>
            <w:vAlign w:val="bottom"/>
          </w:tcPr>
          <w:p>
            <w:pPr>
              <w:pStyle w:val="TableContents"/>
              <w:bidi w:val="0"/>
              <w:spacing w:before="0" w:after="0"/>
              <w:ind w:left="180" w:right="0" w:hanging="180"/>
              <w:jc w:val="left"/>
              <w:rPr>
                <w:b/>
                <w:color w:val="000000"/>
              </w:rPr>
            </w:pPr>
            <w:r>
              <w:rPr>
                <w:b/>
                <w:color w:val="000000"/>
              </w:rPr>
              <w:t>Total Liabilities, Mezzanine Capital, and Unitholders' Deficit</w:t>
            </w:r>
          </w:p>
        </w:tc>
        <w:tc>
          <w:tcPr>
            <w:tcW w:w="60" w:type="dxa"/>
            <w:tcBorders/>
            <w:vAlign w:val="bottom"/>
          </w:tcPr>
          <w:p>
            <w:pPr>
              <w:pStyle w:val="TableContents"/>
              <w:bidi w:val="0"/>
              <w:spacing w:before="0" w:after="283"/>
              <w:jc w:val="left"/>
              <w:rPr/>
            </w:pPr>
            <w:r>
              <w:rPr/>
              <w:t> </w:t>
            </w:r>
          </w:p>
        </w:tc>
        <w:tc>
          <w:tcPr>
            <w:tcW w:w="23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099"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55,731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046"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21,564</w:t>
            </w:r>
          </w:p>
        </w:tc>
        <w:tc>
          <w:tcPr>
            <w:tcW w:w="113" w:type="dxa"/>
            <w:tcBorders/>
            <w:vAlign w:val="bottom"/>
          </w:tcPr>
          <w:p>
            <w:pPr>
              <w:pStyle w:val="TableContents"/>
              <w:bidi w:val="0"/>
              <w:spacing w:before="0" w:after="283"/>
              <w:jc w:val="left"/>
              <w:rPr/>
            </w:pPr>
            <w:r>
              <w:rPr/>
              <w:t> </w:t>
            </w:r>
          </w:p>
        </w:tc>
      </w:tr>
    </w:tbl>
    <w:p>
      <w:pPr>
        <w:pStyle w:val="TextBody"/>
        <w:bidi w:val="0"/>
        <w:spacing w:before="0" w:after="0"/>
        <w:jc w:val="center"/>
        <w:rPr>
          <w:rFonts w:ascii="Times New Roman" w:hAnsi="Times New Roman"/>
          <w:i/>
          <w:color w:val="000000"/>
        </w:rPr>
      </w:pPr>
      <w:r>
        <w:rPr>
          <w:rFonts w:ascii="Times New Roman" w:hAnsi="Times New Roman"/>
          <w:i/>
          <w:color w:val="000000"/>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LLC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Income (Loss)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unit and per unit amounts) (Unaudited)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 w:name="z6d45f97ae7334fbe9e058f0107a88433"/>
      <w:bookmarkStart w:id="30" w:name="z6d45f97ae7334fbe9e058f0107a88433"/>
      <w:bookmarkEnd w:id="30"/>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September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Nine months ended</w:t>
            </w:r>
          </w:p>
          <w:p>
            <w:pPr>
              <w:pStyle w:val="TableContents"/>
              <w:bidi w:val="0"/>
              <w:spacing w:before="0" w:after="0"/>
              <w:jc w:val="center"/>
              <w:rPr>
                <w:b/>
                <w:color w:val="000000"/>
              </w:rPr>
            </w:pPr>
            <w:r>
              <w:rPr>
                <w:b/>
                <w:color w:val="000000"/>
              </w:rPr>
              <w:t>September 30,</w:t>
            </w:r>
          </w:p>
        </w:tc>
        <w:tc>
          <w:tcPr>
            <w:tcW w:w="110"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10"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180"/>
              <w:jc w:val="left"/>
              <w:rPr>
                <w:b/>
                <w:color w:val="000000"/>
              </w:rPr>
            </w:pPr>
            <w:r>
              <w:rPr>
                <w:b/>
                <w:color w:val="000000"/>
              </w:rPr>
              <w:t>Revenue</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360" w:right="0" w:hanging="180"/>
              <w:jc w:val="left"/>
              <w:rPr>
                <w:color w:val="000000"/>
              </w:rPr>
            </w:pPr>
            <w:r>
              <w:rPr>
                <w:color w:val="000000"/>
              </w:rPr>
              <w:t>Management fee income - related parties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222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224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669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1100" w:type="dxa"/>
            <w:tcBorders/>
            <w:shd w:fill="CCEEFF" w:val="clear"/>
            <w:vAlign w:val="bottom"/>
          </w:tcPr>
          <w:p>
            <w:pPr>
              <w:pStyle w:val="TableContents"/>
              <w:bidi w:val="0"/>
              <w:spacing w:before="0" w:after="0"/>
              <w:jc w:val="right"/>
              <w:rPr>
                <w:color w:val="000000"/>
              </w:rPr>
            </w:pPr>
            <w:r>
              <w:rPr>
                <w:color w:val="000000"/>
              </w:rPr>
              <w:t>668</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80"/>
              <w:jc w:val="left"/>
              <w:rPr>
                <w:color w:val="000000"/>
              </w:rPr>
            </w:pPr>
            <w:r>
              <w:rPr>
                <w:color w:val="000000"/>
              </w:rPr>
              <w:t>Consulting 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225</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360" w:right="0" w:hanging="180"/>
              <w:jc w:val="left"/>
              <w:rPr>
                <w:color w:val="000000"/>
              </w:rPr>
            </w:pPr>
            <w:r>
              <w:rPr>
                <w:color w:val="000000"/>
              </w:rPr>
              <w:t>Product sales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180"/>
              <w:jc w:val="left"/>
              <w:rPr>
                <w:b/>
                <w:color w:val="000000"/>
              </w:rPr>
            </w:pPr>
            <w:r>
              <w:rPr>
                <w:b/>
                <w:color w:val="000000"/>
              </w:rPr>
              <w:t>Total 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317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274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764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893</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80" w:right="0" w:hanging="180"/>
              <w:jc w:val="left"/>
              <w:rPr>
                <w:b/>
                <w:color w:val="000000"/>
              </w:rPr>
            </w:pPr>
            <w:r>
              <w:rPr>
                <w:b/>
                <w:color w:val="000000"/>
              </w:rPr>
              <w:t>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80"/>
              <w:jc w:val="left"/>
              <w:rPr>
                <w:color w:val="000000"/>
              </w:rPr>
            </w:pPr>
            <w:r>
              <w:rPr>
                <w:color w:val="000000"/>
              </w:rPr>
              <w:t>Cost of sales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777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777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360" w:right="0" w:hanging="180"/>
              <w:jc w:val="left"/>
              <w:rPr>
                <w:color w:val="000000"/>
              </w:rPr>
            </w:pPr>
            <w:r>
              <w:rPr>
                <w:color w:val="000000"/>
              </w:rPr>
              <w:t>General and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9,052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4,054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25,323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9,878</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80"/>
              <w:jc w:val="left"/>
              <w:rPr>
                <w:color w:val="000000"/>
              </w:rPr>
            </w:pPr>
            <w:r>
              <w:rPr>
                <w:color w:val="000000"/>
              </w:rPr>
              <w:t>Sales and marketing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1,629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696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4,178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1,901</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360" w:right="0" w:hanging="180"/>
              <w:jc w:val="left"/>
              <w:rPr>
                <w:color w:val="000000"/>
              </w:rPr>
            </w:pPr>
            <w:r>
              <w:rPr>
                <w:color w:val="000000"/>
              </w:rPr>
              <w:t>Research and development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5,978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2,822</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180"/>
              <w:jc w:val="left"/>
              <w:rPr>
                <w:b/>
                <w:color w:val="000000"/>
              </w:rPr>
            </w:pPr>
            <w:r>
              <w:rPr>
                <w:b/>
                <w:color w:val="000000"/>
              </w:rPr>
              <w:t>Total Operating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13,991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5,990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36,256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14,601</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180"/>
              <w:jc w:val="left"/>
              <w:rPr>
                <w:b/>
                <w:color w:val="000000"/>
              </w:rPr>
            </w:pPr>
            <w:r>
              <w:rPr>
                <w:b/>
                <w:color w:val="000000"/>
              </w:rPr>
              <w:t>Loss from Operations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(13,674</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(5,716</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(35,492</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b/>
                <w:color w:val="000000"/>
              </w:rPr>
            </w:pPr>
            <w:r>
              <w:rPr>
                <w:b/>
                <w:color w:val="000000"/>
              </w:rPr>
              <w:t>(13,708</w:t>
            </w:r>
          </w:p>
        </w:tc>
        <w:tc>
          <w:tcPr>
            <w:tcW w:w="110" w:type="dxa"/>
            <w:tcBorders/>
            <w:vAlign w:val="bottom"/>
          </w:tcPr>
          <w:p>
            <w:pPr>
              <w:pStyle w:val="TableContents"/>
              <w:bidi w:val="0"/>
              <w:spacing w:before="0" w:after="0"/>
              <w:jc w:val="left"/>
              <w:rPr>
                <w:b/>
                <w:color w:val="000000"/>
              </w:rPr>
            </w:pPr>
            <w:r>
              <w:rPr>
                <w:b/>
                <w:color w:val="000000"/>
              </w:rPr>
              <w:t>)</w:t>
            </w:r>
          </w:p>
        </w:tc>
      </w:tr>
      <w:tr>
        <w:trPr/>
        <w:tc>
          <w:tcPr>
            <w:tcW w:w="4610" w:type="dxa"/>
            <w:tcBorders/>
            <w:shd w:fill="CCEEFF" w:val="clear"/>
            <w:vAlign w:val="bottom"/>
          </w:tcPr>
          <w:p>
            <w:pPr>
              <w:pStyle w:val="TableContents"/>
              <w:bidi w:val="0"/>
              <w:spacing w:before="0" w:after="0"/>
              <w:ind w:left="180" w:right="0" w:hanging="180"/>
              <w:jc w:val="left"/>
              <w:rPr>
                <w:b/>
                <w:color w:val="000000"/>
              </w:rPr>
            </w:pPr>
            <w:r>
              <w:rPr>
                <w:b/>
                <w:color w:val="000000"/>
              </w:rPr>
              <w:t>Non-operating (Expense) and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80"/>
              <w:jc w:val="left"/>
              <w:rPr>
                <w:color w:val="000000"/>
              </w:rPr>
            </w:pPr>
            <w:r>
              <w:rPr>
                <w:color w:val="000000"/>
              </w:rPr>
              <w:t>Interest expense,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(852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(364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(1,300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(841</w:t>
            </w:r>
          </w:p>
        </w:tc>
        <w:tc>
          <w:tcPr>
            <w:tcW w:w="110" w:type="dxa"/>
            <w:tcBorders/>
            <w:vAlign w:val="bottom"/>
          </w:tcPr>
          <w:p>
            <w:pPr>
              <w:pStyle w:val="TableContents"/>
              <w:bidi w:val="0"/>
              <w:spacing w:before="0" w:after="0"/>
              <w:jc w:val="left"/>
              <w:rPr>
                <w:color w:val="000000"/>
              </w:rPr>
            </w:pPr>
            <w:r>
              <w:rPr>
                <w:color w:val="000000"/>
              </w:rPr>
              <w:t>)</w:t>
            </w:r>
          </w:p>
        </w:tc>
      </w:tr>
      <w:tr>
        <w:trPr/>
        <w:tc>
          <w:tcPr>
            <w:tcW w:w="4610" w:type="dxa"/>
            <w:tcBorders/>
            <w:shd w:fill="CCEEFF" w:val="clear"/>
            <w:vAlign w:val="bottom"/>
          </w:tcPr>
          <w:p>
            <w:pPr>
              <w:pStyle w:val="TableContents"/>
              <w:bidi w:val="0"/>
              <w:spacing w:before="0" w:after="0"/>
              <w:ind w:left="360" w:right="0" w:hanging="180"/>
              <w:jc w:val="left"/>
              <w:rPr>
                <w:color w:val="000000"/>
              </w:rPr>
            </w:pPr>
            <w:r>
              <w:rPr>
                <w:color w:val="000000"/>
              </w:rPr>
              <w:t>Net (loss) gain on investments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7,148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(12,148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11,547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(2,718</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610" w:type="dxa"/>
            <w:tcBorders/>
            <w:vAlign w:val="bottom"/>
          </w:tcPr>
          <w:p>
            <w:pPr>
              <w:pStyle w:val="TableContents"/>
              <w:bidi w:val="0"/>
              <w:spacing w:before="0" w:after="0"/>
              <w:ind w:left="360" w:right="0" w:hanging="180"/>
              <w:jc w:val="left"/>
              <w:rPr>
                <w:color w:val="000000"/>
              </w:rPr>
            </w:pPr>
            <w:r>
              <w:rPr>
                <w:color w:val="000000"/>
              </w:rPr>
              <w:t>Net (loss) gain on investments – due to related parties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(308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436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(468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99</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360" w:right="0" w:hanging="180"/>
              <w:jc w:val="left"/>
              <w:rPr>
                <w:color w:val="000000"/>
              </w:rPr>
            </w:pPr>
            <w:r>
              <w:rPr>
                <w:color w:val="000000"/>
              </w:rPr>
              <w:t>Change in fair value of embedded derivative liability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(451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(478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(492</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610" w:type="dxa"/>
            <w:tcBorders/>
            <w:vAlign w:val="bottom"/>
          </w:tcPr>
          <w:p>
            <w:pPr>
              <w:pStyle w:val="TableContents"/>
              <w:bidi w:val="0"/>
              <w:spacing w:before="0" w:after="0"/>
              <w:ind w:left="360" w:right="0" w:hanging="180"/>
              <w:jc w:val="left"/>
              <w:rPr>
                <w:color w:val="000000"/>
              </w:rPr>
            </w:pPr>
            <w:r>
              <w:rPr>
                <w:color w:val="000000"/>
              </w:rPr>
              <w:t>Equity method investment income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109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(673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893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color w:val="000000"/>
              </w:rPr>
            </w:pPr>
            <w:r>
              <w:rPr>
                <w:color w:val="000000"/>
              </w:rPr>
              <w:t>(291</w:t>
            </w:r>
          </w:p>
        </w:tc>
        <w:tc>
          <w:tcPr>
            <w:tcW w:w="110" w:type="dxa"/>
            <w:tcBorders/>
            <w:vAlign w:val="bottom"/>
          </w:tcPr>
          <w:p>
            <w:pPr>
              <w:pStyle w:val="TableContents"/>
              <w:bidi w:val="0"/>
              <w:spacing w:before="0" w:after="0"/>
              <w:jc w:val="left"/>
              <w:rPr>
                <w:color w:val="000000"/>
              </w:rPr>
            </w:pPr>
            <w:r>
              <w:rPr>
                <w:color w:val="000000"/>
              </w:rPr>
              <w:t>)</w:t>
            </w:r>
          </w:p>
        </w:tc>
      </w:tr>
      <w:tr>
        <w:trPr/>
        <w:tc>
          <w:tcPr>
            <w:tcW w:w="4610" w:type="dxa"/>
            <w:tcBorders/>
            <w:shd w:fill="CCEEFF" w:val="clear"/>
            <w:vAlign w:val="bottom"/>
          </w:tcPr>
          <w:p>
            <w:pPr>
              <w:pStyle w:val="TableContents"/>
              <w:bidi w:val="0"/>
              <w:spacing w:before="0" w:after="0"/>
              <w:ind w:left="360" w:right="0" w:hanging="180"/>
              <w:jc w:val="left"/>
              <w:rPr>
                <w:color w:val="000000"/>
              </w:rPr>
            </w:pPr>
            <w:r>
              <w:rPr>
                <w:color w:val="000000"/>
              </w:rPr>
              <w:t>Loss on conversion of promissory notes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(1,119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80"/>
              <w:jc w:val="left"/>
              <w:rPr>
                <w:color w:val="000000"/>
              </w:rPr>
            </w:pPr>
            <w:r>
              <w:rPr>
                <w:color w:val="000000"/>
              </w:rPr>
              <w:t>Other expenses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80" w:right="0" w:hanging="180"/>
              <w:jc w:val="left"/>
              <w:rPr>
                <w:b/>
                <w:color w:val="000000"/>
              </w:rPr>
            </w:pPr>
            <w:r>
              <w:rPr>
                <w:b/>
                <w:color w:val="000000"/>
              </w:rPr>
              <w:t>Total Non-operating (Expense)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6,033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(13,200</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9,011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(4,243</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r>
        <w:trPr/>
        <w:tc>
          <w:tcPr>
            <w:tcW w:w="4610" w:type="dxa"/>
            <w:tcBorders/>
            <w:vAlign w:val="bottom"/>
          </w:tcPr>
          <w:p>
            <w:pPr>
              <w:pStyle w:val="TableContents"/>
              <w:bidi w:val="0"/>
              <w:spacing w:before="0" w:after="0"/>
              <w:ind w:left="360" w:right="0" w:hanging="180"/>
              <w:jc w:val="left"/>
              <w:rPr>
                <w:color w:val="000000"/>
              </w:rPr>
            </w:pPr>
            <w:r>
              <w:rPr>
                <w:color w:val="000000"/>
              </w:rPr>
              <w:t>Income tax expense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80" w:right="0" w:hanging="180"/>
              <w:jc w:val="left"/>
              <w:rPr>
                <w:b/>
                <w:color w:val="000000"/>
              </w:rPr>
            </w:pPr>
            <w:r>
              <w:rPr>
                <w:b/>
                <w:color w:val="000000"/>
              </w:rPr>
              <w:t>Net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(7,641</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(18,916</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(26,481</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(17,951</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r>
        <w:trPr/>
        <w:tc>
          <w:tcPr>
            <w:tcW w:w="4610" w:type="dxa"/>
            <w:tcBorders/>
            <w:vAlign w:val="bottom"/>
          </w:tcPr>
          <w:p>
            <w:pPr>
              <w:pStyle w:val="TableContents"/>
              <w:bidi w:val="0"/>
              <w:spacing w:before="0" w:after="0"/>
              <w:ind w:left="360" w:right="0" w:hanging="180"/>
              <w:jc w:val="left"/>
              <w:rPr>
                <w:color w:val="000000"/>
              </w:rPr>
            </w:pPr>
            <w:r>
              <w:rPr>
                <w:color w:val="000000"/>
              </w:rPr>
              <w:t>Less: Loss attributable to non-controlling interest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(5,430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(11,762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(101</w:t>
            </w:r>
          </w:p>
        </w:tc>
        <w:tc>
          <w:tcPr>
            <w:tcW w:w="110" w:type="dxa"/>
            <w:tcBorders/>
            <w:vAlign w:val="bottom"/>
          </w:tcPr>
          <w:p>
            <w:pPr>
              <w:pStyle w:val="TableContents"/>
              <w:bidi w:val="0"/>
              <w:spacing w:before="0" w:after="0"/>
              <w:jc w:val="left"/>
              <w:rPr>
                <w:color w:val="000000"/>
              </w:rPr>
            </w:pPr>
            <w:r>
              <w:rPr>
                <w:color w:val="000000"/>
              </w:rPr>
              <w:t>)</w:t>
            </w:r>
          </w:p>
        </w:tc>
      </w:tr>
      <w:tr>
        <w:trPr/>
        <w:tc>
          <w:tcPr>
            <w:tcW w:w="4610" w:type="dxa"/>
            <w:tcBorders/>
            <w:shd w:fill="CCEEFF" w:val="clear"/>
            <w:vAlign w:val="bottom"/>
          </w:tcPr>
          <w:p>
            <w:pPr>
              <w:pStyle w:val="TableContents"/>
              <w:bidi w:val="0"/>
              <w:spacing w:before="0" w:after="0"/>
              <w:ind w:left="180" w:right="0" w:hanging="180"/>
              <w:jc w:val="left"/>
              <w:rPr>
                <w:b/>
                <w:color w:val="000000"/>
              </w:rPr>
            </w:pPr>
            <w:r>
              <w:rPr>
                <w:b/>
                <w:color w:val="000000"/>
              </w:rPr>
              <w:t>Net Loss Attributable to Innventure LLC Unitholders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(2,211</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(18,871</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(14,719</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(17,850</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r>
        <w:trPr/>
        <w:tc>
          <w:tcPr>
            <w:tcW w:w="461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80" w:right="0" w:hanging="180"/>
              <w:jc w:val="left"/>
              <w:rPr>
                <w:b/>
                <w:color w:val="000000"/>
              </w:rPr>
            </w:pPr>
            <w:r>
              <w:rPr>
                <w:b/>
                <w:color w:val="000000"/>
              </w:rPr>
              <w:t>Net Loss Attributable to Class A Unitholders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color w:val="000000"/>
              </w:rPr>
            </w:pPr>
            <w:r>
              <w:rPr>
                <w:b/>
                <w:color w:val="000000"/>
              </w:rPr>
              <w:t>$</w:t>
            </w:r>
          </w:p>
        </w:tc>
        <w:tc>
          <w:tcPr>
            <w:tcW w:w="1100" w:type="dxa"/>
            <w:tcBorders/>
            <w:shd w:fill="CCEEFF" w:val="clear"/>
            <w:vAlign w:val="bottom"/>
          </w:tcPr>
          <w:p>
            <w:pPr>
              <w:pStyle w:val="TableContents"/>
              <w:bidi w:val="0"/>
              <w:spacing w:before="0" w:after="0"/>
              <w:jc w:val="right"/>
              <w:rPr>
                <w:b/>
                <w:color w:val="000000"/>
              </w:rPr>
            </w:pPr>
            <w:r>
              <w:rPr>
                <w:b/>
                <w:color w:val="000000"/>
              </w:rPr>
              <w:t>(10,233</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color w:val="000000"/>
              </w:rPr>
            </w:pPr>
            <w:r>
              <w:rPr>
                <w:b/>
                <w:color w:val="000000"/>
              </w:rPr>
              <w:t>$</w:t>
            </w:r>
          </w:p>
        </w:tc>
        <w:tc>
          <w:tcPr>
            <w:tcW w:w="1100" w:type="dxa"/>
            <w:tcBorders/>
            <w:shd w:fill="CCEEFF" w:val="clear"/>
            <w:vAlign w:val="bottom"/>
          </w:tcPr>
          <w:p>
            <w:pPr>
              <w:pStyle w:val="TableContents"/>
              <w:bidi w:val="0"/>
              <w:spacing w:before="0" w:after="0"/>
              <w:jc w:val="right"/>
              <w:rPr>
                <w:b/>
                <w:color w:val="000000"/>
              </w:rPr>
            </w:pPr>
            <w:r>
              <w:rPr>
                <w:b/>
                <w:color w:val="000000"/>
              </w:rPr>
              <w:t>(9,177</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color w:val="000000"/>
              </w:rPr>
            </w:pPr>
            <w:r>
              <w:rPr>
                <w:b/>
                <w:color w:val="000000"/>
              </w:rPr>
              <w:t>$</w:t>
            </w:r>
          </w:p>
        </w:tc>
        <w:tc>
          <w:tcPr>
            <w:tcW w:w="1100" w:type="dxa"/>
            <w:tcBorders/>
            <w:shd w:fill="CCEEFF" w:val="clear"/>
            <w:vAlign w:val="bottom"/>
          </w:tcPr>
          <w:p>
            <w:pPr>
              <w:pStyle w:val="TableContents"/>
              <w:bidi w:val="0"/>
              <w:spacing w:before="0" w:after="0"/>
              <w:jc w:val="right"/>
              <w:rPr>
                <w:b/>
                <w:color w:val="000000"/>
              </w:rPr>
            </w:pPr>
            <w:r>
              <w:rPr>
                <w:b/>
                <w:color w:val="000000"/>
              </w:rPr>
              <w:t>(29,010</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color w:val="000000"/>
              </w:rPr>
            </w:pPr>
            <w:r>
              <w:rPr>
                <w:b/>
                <w:color w:val="000000"/>
              </w:rPr>
              <w:t>$</w:t>
            </w:r>
          </w:p>
        </w:tc>
        <w:tc>
          <w:tcPr>
            <w:tcW w:w="1100" w:type="dxa"/>
            <w:tcBorders/>
            <w:shd w:fill="CCEEFF" w:val="clear"/>
            <w:vAlign w:val="bottom"/>
          </w:tcPr>
          <w:p>
            <w:pPr>
              <w:pStyle w:val="TableContents"/>
              <w:bidi w:val="0"/>
              <w:spacing w:before="0" w:after="0"/>
              <w:jc w:val="right"/>
              <w:rPr>
                <w:b/>
                <w:color w:val="000000"/>
              </w:rPr>
            </w:pPr>
            <w:r>
              <w:rPr>
                <w:b/>
                <w:color w:val="000000"/>
              </w:rPr>
              <w:t>(16,848</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r>
        <w:trPr/>
        <w:tc>
          <w:tcPr>
            <w:tcW w:w="4610" w:type="dxa"/>
            <w:tcBorders/>
            <w:vAlign w:val="bottom"/>
          </w:tcPr>
          <w:p>
            <w:pPr>
              <w:pStyle w:val="TableContents"/>
              <w:bidi w:val="0"/>
              <w:spacing w:before="0" w:after="0"/>
              <w:ind w:left="360" w:right="0" w:hanging="180"/>
              <w:jc w:val="left"/>
              <w:rPr>
                <w:color w:val="000000"/>
              </w:rPr>
            </w:pPr>
            <w:r>
              <w:rPr>
                <w:color w:val="000000"/>
              </w:rPr>
              <w:t>Basic loss per unit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1100" w:type="dxa"/>
            <w:tcBorders/>
            <w:vAlign w:val="bottom"/>
          </w:tcPr>
          <w:p>
            <w:pPr>
              <w:pStyle w:val="TableContents"/>
              <w:bidi w:val="0"/>
              <w:spacing w:before="0" w:after="0"/>
              <w:jc w:val="right"/>
              <w:rPr>
                <w:color w:val="000000"/>
              </w:rPr>
            </w:pPr>
            <w:r>
              <w:rPr>
                <w:color w:val="000000"/>
              </w:rPr>
              <w:t>(0.94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1100" w:type="dxa"/>
            <w:tcBorders/>
            <w:vAlign w:val="bottom"/>
          </w:tcPr>
          <w:p>
            <w:pPr>
              <w:pStyle w:val="TableContents"/>
              <w:bidi w:val="0"/>
              <w:spacing w:before="0" w:after="0"/>
              <w:jc w:val="right"/>
              <w:rPr>
                <w:color w:val="000000"/>
              </w:rPr>
            </w:pPr>
            <w:r>
              <w:rPr>
                <w:color w:val="000000"/>
              </w:rPr>
              <w:t>(0.84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1100" w:type="dxa"/>
            <w:tcBorders/>
            <w:vAlign w:val="bottom"/>
          </w:tcPr>
          <w:p>
            <w:pPr>
              <w:pStyle w:val="TableContents"/>
              <w:bidi w:val="0"/>
              <w:spacing w:before="0" w:after="0"/>
              <w:jc w:val="right"/>
              <w:rPr>
                <w:color w:val="000000"/>
              </w:rPr>
            </w:pPr>
            <w:r>
              <w:rPr>
                <w:color w:val="000000"/>
              </w:rPr>
              <w:t>(2.67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1100" w:type="dxa"/>
            <w:tcBorders/>
            <w:vAlign w:val="bottom"/>
          </w:tcPr>
          <w:p>
            <w:pPr>
              <w:pStyle w:val="TableContents"/>
              <w:bidi w:val="0"/>
              <w:spacing w:before="0" w:after="0"/>
              <w:jc w:val="right"/>
              <w:rPr>
                <w:color w:val="000000"/>
              </w:rPr>
            </w:pPr>
            <w:r>
              <w:rPr>
                <w:color w:val="000000"/>
              </w:rPr>
              <w:t>(1.55</w:t>
            </w:r>
          </w:p>
        </w:tc>
        <w:tc>
          <w:tcPr>
            <w:tcW w:w="110" w:type="dxa"/>
            <w:tcBorders/>
            <w:vAlign w:val="bottom"/>
          </w:tcPr>
          <w:p>
            <w:pPr>
              <w:pStyle w:val="TableContents"/>
              <w:bidi w:val="0"/>
              <w:spacing w:before="0" w:after="0"/>
              <w:jc w:val="left"/>
              <w:rPr>
                <w:color w:val="000000"/>
              </w:rPr>
            </w:pPr>
            <w:r>
              <w:rPr>
                <w:color w:val="000000"/>
              </w:rPr>
              <w:t>)</w:t>
            </w:r>
          </w:p>
        </w:tc>
      </w:tr>
      <w:tr>
        <w:trPr/>
        <w:tc>
          <w:tcPr>
            <w:tcW w:w="4610" w:type="dxa"/>
            <w:tcBorders/>
            <w:shd w:fill="CCEEFF" w:val="clear"/>
            <w:vAlign w:val="bottom"/>
          </w:tcPr>
          <w:p>
            <w:pPr>
              <w:pStyle w:val="TableContents"/>
              <w:bidi w:val="0"/>
              <w:spacing w:before="0" w:after="0"/>
              <w:ind w:left="360" w:right="0" w:hanging="180"/>
              <w:jc w:val="left"/>
              <w:rPr>
                <w:color w:val="000000"/>
              </w:rPr>
            </w:pPr>
            <w:r>
              <w:rPr>
                <w:color w:val="000000"/>
              </w:rPr>
              <w:t>Basic weighted average Class A Units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10,875,000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10,875,000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10,875,000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10,875,000</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80" w:right="0" w:hanging="180"/>
              <w:jc w:val="left"/>
              <w:rPr>
                <w:b/>
                <w:color w:val="000000"/>
              </w:rPr>
            </w:pPr>
            <w:r>
              <w:rPr>
                <w:b/>
                <w:color w:val="000000"/>
              </w:rPr>
              <w:t>Other comprehensive income (loss), net of taxes: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80"/>
              <w:jc w:val="left"/>
              <w:rPr>
                <w:color w:val="000000"/>
              </w:rPr>
            </w:pPr>
            <w:r>
              <w:rPr>
                <w:color w:val="000000"/>
              </w:rPr>
              <w:t>Unrealized loss on AFS debt securities - related party</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(2,373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(2,373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80" w:right="0" w:hanging="180"/>
              <w:jc w:val="left"/>
              <w:rPr>
                <w:b/>
                <w:color w:val="000000"/>
              </w:rPr>
            </w:pPr>
            <w:r>
              <w:rPr>
                <w:b/>
                <w:color w:val="000000"/>
              </w:rPr>
              <w:t>Total other comprehensive loss, net of taxes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(2,373</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(2,373</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w:t>
            </w:r>
          </w:p>
        </w:tc>
        <w:tc>
          <w:tcPr>
            <w:tcW w:w="110"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80" w:right="0" w:hanging="180"/>
              <w:jc w:val="left"/>
              <w:rPr>
                <w:b/>
                <w:color w:val="000000"/>
              </w:rPr>
            </w:pPr>
            <w:r>
              <w:rPr>
                <w:b/>
                <w:color w:val="000000"/>
              </w:rPr>
              <w:t>Total comprehensive loss, net of taxes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(10,014</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(18,916</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(28,854</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b/>
                <w:color w:val="000000"/>
              </w:rPr>
            </w:pPr>
            <w:r>
              <w:rPr>
                <w:b/>
                <w:color w:val="000000"/>
              </w:rPr>
              <w:t>(17,951</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r>
        <w:trPr/>
        <w:tc>
          <w:tcPr>
            <w:tcW w:w="4610" w:type="dxa"/>
            <w:tcBorders/>
            <w:vAlign w:val="bottom"/>
          </w:tcPr>
          <w:p>
            <w:pPr>
              <w:pStyle w:val="TableContents"/>
              <w:bidi w:val="0"/>
              <w:spacing w:before="0" w:after="0"/>
              <w:ind w:left="360" w:right="0" w:hanging="180"/>
              <w:jc w:val="left"/>
              <w:rPr>
                <w:color w:val="000000"/>
              </w:rPr>
            </w:pPr>
            <w:r>
              <w:rPr>
                <w:color w:val="000000"/>
              </w:rPr>
              <w:t>Less: Comprehensive loss attributable to non-controlling interest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(5,430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(11,762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(101</w:t>
            </w:r>
          </w:p>
        </w:tc>
        <w:tc>
          <w:tcPr>
            <w:tcW w:w="110" w:type="dxa"/>
            <w:tcBorders/>
            <w:vAlign w:val="bottom"/>
          </w:tcPr>
          <w:p>
            <w:pPr>
              <w:pStyle w:val="TableContents"/>
              <w:bidi w:val="0"/>
              <w:spacing w:before="0" w:after="0"/>
              <w:jc w:val="left"/>
              <w:rPr>
                <w:color w:val="000000"/>
              </w:rPr>
            </w:pPr>
            <w:r>
              <w:rPr>
                <w:color w:val="000000"/>
              </w:rPr>
              <w:t>)</w:t>
            </w:r>
          </w:p>
        </w:tc>
      </w:tr>
      <w:tr>
        <w:trPr/>
        <w:tc>
          <w:tcPr>
            <w:tcW w:w="4610" w:type="dxa"/>
            <w:tcBorders/>
            <w:shd w:fill="CCEEFF" w:val="clear"/>
            <w:vAlign w:val="bottom"/>
          </w:tcPr>
          <w:p>
            <w:pPr>
              <w:pStyle w:val="TableContents"/>
              <w:bidi w:val="0"/>
              <w:spacing w:before="0" w:after="0"/>
              <w:ind w:left="180" w:right="0" w:hanging="180"/>
              <w:jc w:val="left"/>
              <w:rPr>
                <w:b/>
                <w:color w:val="000000"/>
              </w:rPr>
            </w:pPr>
            <w:r>
              <w:rPr>
                <w:b/>
                <w:color w:val="000000"/>
              </w:rPr>
              <w:t>Net Comprehensive Loss Attributable to Innventure LLC Unitholders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(4,584</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(18,871</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(17,092</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(17,850</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LLC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Changes in Mezzanine Capital</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 w:name="zf5ea2e2092cc4f9c91107f1237f8384e"/>
      <w:bookmarkStart w:id="32" w:name="zf5ea2e2092cc4f9c91107f1237f8384e"/>
      <w:bookmarkEnd w:id="32"/>
    </w:p>
    <w:tbl>
      <w:tblPr>
        <w:tblW w:w="8334" w:type="dxa"/>
        <w:jc w:val="left"/>
        <w:tblInd w:w="0" w:type="dxa"/>
        <w:tblLayout w:type="fixed"/>
        <w:tblCellMar>
          <w:top w:w="0" w:type="dxa"/>
          <w:left w:w="0" w:type="dxa"/>
          <w:bottom w:w="0" w:type="dxa"/>
          <w:right w:w="0" w:type="dxa"/>
        </w:tblCellMar>
      </w:tblPr>
      <w:tblGrid>
        <w:gridCol w:w="4805"/>
        <w:gridCol w:w="60"/>
        <w:gridCol w:w="172"/>
        <w:gridCol w:w="688"/>
        <w:gridCol w:w="95"/>
        <w:gridCol w:w="60"/>
        <w:gridCol w:w="219"/>
        <w:gridCol w:w="1075"/>
        <w:gridCol w:w="95"/>
        <w:gridCol w:w="60"/>
        <w:gridCol w:w="140"/>
        <w:gridCol w:w="755"/>
        <w:gridCol w:w="110"/>
      </w:tblGrid>
      <w:tr>
        <w:trPr/>
        <w:tc>
          <w:tcPr>
            <w:tcW w:w="480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I</w:t>
            </w:r>
          </w:p>
          <w:p>
            <w:pPr>
              <w:pStyle w:val="TableContents"/>
              <w:bidi w:val="0"/>
              <w:spacing w:before="0" w:after="0"/>
              <w:jc w:val="center"/>
              <w:rPr>
                <w:b/>
                <w:color w:val="000000"/>
              </w:rPr>
            </w:pPr>
            <w:r>
              <w:rPr>
                <w:b/>
                <w:color w:val="000000"/>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PCTA</w:t>
            </w:r>
          </w:p>
          <w:p>
            <w:pPr>
              <w:pStyle w:val="TableContents"/>
              <w:bidi w:val="0"/>
              <w:spacing w:before="0" w:after="0"/>
              <w:jc w:val="center"/>
              <w:rPr>
                <w:b/>
                <w:color w:val="000000"/>
              </w:rPr>
            </w:pPr>
            <w:r>
              <w:rPr>
                <w:b/>
                <w:color w:val="000000"/>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Total</w:t>
            </w:r>
          </w:p>
        </w:tc>
        <w:tc>
          <w:tcPr>
            <w:tcW w:w="110"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b/>
                <w:color w:val="000000"/>
              </w:rPr>
            </w:pPr>
            <w:r>
              <w:rPr>
                <w:b/>
                <w:color w:val="000000"/>
              </w:rPr>
              <w:t>December 31, 2022</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b/>
                <w:color w:val="000000"/>
              </w:rPr>
            </w:pPr>
            <w:r>
              <w:rPr>
                <w:b/>
                <w:color w:val="000000"/>
              </w:rPr>
              <w:t>$</w:t>
            </w:r>
          </w:p>
        </w:tc>
        <w:tc>
          <w:tcPr>
            <w:tcW w:w="688" w:type="dxa"/>
            <w:tcBorders/>
            <w:shd w:fill="CCEEFF" w:val="clear"/>
            <w:vAlign w:val="bottom"/>
          </w:tcPr>
          <w:p>
            <w:pPr>
              <w:pStyle w:val="TableContents"/>
              <w:bidi w:val="0"/>
              <w:spacing w:before="0" w:after="0"/>
              <w:jc w:val="right"/>
              <w:rPr>
                <w:b/>
                <w:color w:val="000000"/>
              </w:rPr>
            </w:pPr>
            <w:r>
              <w:rPr>
                <w:b/>
                <w:color w:val="000000"/>
              </w:rPr>
              <w:t>2,984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0"/>
              <w:jc w:val="left"/>
              <w:rPr>
                <w:b/>
                <w:color w:val="000000"/>
              </w:rPr>
            </w:pPr>
            <w:r>
              <w:rPr>
                <w:b/>
                <w:color w:val="000000"/>
              </w:rPr>
              <w:t>$</w:t>
            </w:r>
          </w:p>
        </w:tc>
        <w:tc>
          <w:tcPr>
            <w:tcW w:w="1075" w:type="dxa"/>
            <w:tcBorders/>
            <w:shd w:fill="CCEEFF" w:val="clear"/>
            <w:vAlign w:val="bottom"/>
          </w:tcPr>
          <w:p>
            <w:pPr>
              <w:pStyle w:val="TableContents"/>
              <w:bidi w:val="0"/>
              <w:spacing w:before="0" w:after="0"/>
              <w:jc w:val="right"/>
              <w:rPr>
                <w:b/>
                <w:color w:val="000000"/>
              </w:rPr>
            </w:pPr>
            <w:r>
              <w:rPr>
                <w:b/>
                <w:color w:val="000000"/>
              </w:rPr>
              <w:t>12,882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color w:val="000000"/>
              </w:rPr>
            </w:pPr>
            <w:r>
              <w:rPr>
                <w:b/>
                <w:color w:val="000000"/>
              </w:rPr>
              <w:t>$</w:t>
            </w:r>
          </w:p>
        </w:tc>
        <w:tc>
          <w:tcPr>
            <w:tcW w:w="755" w:type="dxa"/>
            <w:tcBorders/>
            <w:shd w:fill="CCEEFF" w:val="clear"/>
            <w:vAlign w:val="bottom"/>
          </w:tcPr>
          <w:p>
            <w:pPr>
              <w:pStyle w:val="TableContents"/>
              <w:bidi w:val="0"/>
              <w:spacing w:before="0" w:after="0"/>
              <w:jc w:val="right"/>
              <w:rPr>
                <w:b/>
                <w:color w:val="000000"/>
              </w:rPr>
            </w:pPr>
            <w:r>
              <w:rPr>
                <w:b/>
                <w:color w:val="000000"/>
              </w:rPr>
              <w:t>15,866</w:t>
            </w:r>
          </w:p>
        </w:tc>
        <w:tc>
          <w:tcPr>
            <w:tcW w:w="110"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458</w:t>
            </w:r>
          </w:p>
        </w:tc>
        <w:tc>
          <w:tcPr>
            <w:tcW w:w="110"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b/>
                <w:color w:val="000000"/>
              </w:rPr>
            </w:pPr>
            <w:r>
              <w:rPr>
                <w:b/>
                <w:color w:val="000000"/>
              </w:rPr>
              <w:t>March 31, 2023</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0"/>
              <w:jc w:val="right"/>
              <w:rPr>
                <w:b/>
                <w:color w:val="000000"/>
              </w:rPr>
            </w:pPr>
            <w:r>
              <w:rPr>
                <w:b/>
                <w:color w:val="000000"/>
              </w:rPr>
              <w:t>2,985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b/>
                <w:color w:val="000000"/>
              </w:rPr>
            </w:pPr>
            <w:r>
              <w:rPr>
                <w:b/>
                <w:color w:val="000000"/>
              </w:rPr>
              <w:t>13,339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b/>
                <w:color w:val="000000"/>
              </w:rPr>
            </w:pPr>
            <w:r>
              <w:rPr>
                <w:b/>
                <w:color w:val="000000"/>
              </w:rPr>
              <w:t>16,324</w:t>
            </w:r>
          </w:p>
        </w:tc>
        <w:tc>
          <w:tcPr>
            <w:tcW w:w="110"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360" w:right="0" w:hanging="180"/>
              <w:jc w:val="left"/>
              <w:rPr>
                <w:color w:val="000000"/>
              </w:rPr>
            </w:pPr>
            <w:r>
              <w:rPr>
                <w:color w:val="000000"/>
              </w:rPr>
              <w:t>Proceeds from capital calls to unitholders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color w:val="000000"/>
              </w:rPr>
            </w:pPr>
            <w:r>
              <w:rPr>
                <w:color w:val="000000"/>
              </w:rPr>
              <w:t>130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130</w:t>
            </w:r>
          </w:p>
        </w:tc>
        <w:tc>
          <w:tcPr>
            <w:tcW w:w="110"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7,031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7,454</w:t>
            </w:r>
          </w:p>
        </w:tc>
        <w:tc>
          <w:tcPr>
            <w:tcW w:w="110"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b/>
                <w:color w:val="000000"/>
              </w:rPr>
            </w:pPr>
            <w:r>
              <w:rPr>
                <w:b/>
                <w:color w:val="000000"/>
              </w:rPr>
              <w:t>June 30, 2023</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b/>
                <w:color w:val="000000"/>
              </w:rPr>
            </w:pPr>
            <w:r>
              <w:rPr>
                <w:b/>
                <w:color w:val="000000"/>
              </w:rPr>
              <w:t>3,538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0"/>
              <w:jc w:val="right"/>
              <w:rPr>
                <w:b/>
                <w:color w:val="000000"/>
              </w:rPr>
            </w:pPr>
            <w:r>
              <w:rPr>
                <w:b/>
                <w:color w:val="000000"/>
              </w:rPr>
              <w:t>20,370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b/>
                <w:color w:val="000000"/>
              </w:rPr>
            </w:pPr>
            <w:r>
              <w:rPr>
                <w:b/>
                <w:color w:val="000000"/>
              </w:rPr>
              <w:t>23,908</w:t>
            </w:r>
          </w:p>
        </w:tc>
        <w:tc>
          <w:tcPr>
            <w:tcW w:w="110"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(469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(9,680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(10,149</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4805" w:type="dxa"/>
            <w:tcBorders/>
            <w:vAlign w:val="bottom"/>
          </w:tcPr>
          <w:p>
            <w:pPr>
              <w:pStyle w:val="TableContents"/>
              <w:bidi w:val="0"/>
              <w:spacing w:before="0" w:after="0"/>
              <w:ind w:left="180" w:right="0" w:hanging="180"/>
              <w:jc w:val="left"/>
              <w:rPr>
                <w:b/>
                <w:color w:val="000000"/>
              </w:rPr>
            </w:pPr>
            <w:r>
              <w:rPr>
                <w:b/>
                <w:color w:val="000000"/>
              </w:rPr>
              <w:t>September 30, 2023</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688"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3,069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07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10,690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75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13,759</w:t>
            </w:r>
          </w:p>
        </w:tc>
        <w:tc>
          <w:tcPr>
            <w:tcW w:w="110"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b/>
                <w:color w:val="000000"/>
              </w:rPr>
            </w:pPr>
            <w:r>
              <w:rPr>
                <w:b/>
                <w:color w:val="000000"/>
              </w:rPr>
              <w:t>December 31, 2023</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0"/>
              <w:jc w:val="left"/>
              <w:rPr>
                <w:b/>
                <w:color w:val="000000"/>
              </w:rPr>
            </w:pPr>
            <w:r>
              <w:rPr>
                <w:b/>
                <w:color w:val="000000"/>
              </w:rPr>
              <w:t>$</w:t>
            </w:r>
          </w:p>
        </w:tc>
        <w:tc>
          <w:tcPr>
            <w:tcW w:w="688" w:type="dxa"/>
            <w:tcBorders/>
            <w:vAlign w:val="bottom"/>
          </w:tcPr>
          <w:p>
            <w:pPr>
              <w:pStyle w:val="TableContents"/>
              <w:bidi w:val="0"/>
              <w:spacing w:before="0" w:after="0"/>
              <w:jc w:val="right"/>
              <w:rPr>
                <w:b/>
                <w:color w:val="000000"/>
              </w:rPr>
            </w:pPr>
            <w:r>
              <w:rPr>
                <w:b/>
                <w:color w:val="000000"/>
              </w:rPr>
              <w:t>2,912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0"/>
              <w:jc w:val="left"/>
              <w:rPr>
                <w:b/>
                <w:color w:val="000000"/>
              </w:rPr>
            </w:pPr>
            <w:r>
              <w:rPr>
                <w:b/>
                <w:color w:val="000000"/>
              </w:rPr>
              <w:t>$</w:t>
            </w:r>
          </w:p>
        </w:tc>
        <w:tc>
          <w:tcPr>
            <w:tcW w:w="1075" w:type="dxa"/>
            <w:tcBorders/>
            <w:vAlign w:val="bottom"/>
          </w:tcPr>
          <w:p>
            <w:pPr>
              <w:pStyle w:val="TableContents"/>
              <w:bidi w:val="0"/>
              <w:spacing w:before="0" w:after="0"/>
              <w:jc w:val="right"/>
              <w:rPr>
                <w:b/>
                <w:color w:val="000000"/>
              </w:rPr>
            </w:pPr>
            <w:r>
              <w:rPr>
                <w:b/>
                <w:color w:val="000000"/>
              </w:rPr>
              <w:t>7,718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b/>
                <w:color w:val="000000"/>
              </w:rPr>
            </w:pPr>
            <w:r>
              <w:rPr>
                <w:b/>
                <w:color w:val="000000"/>
              </w:rPr>
              <w:t>$</w:t>
            </w:r>
          </w:p>
        </w:tc>
        <w:tc>
          <w:tcPr>
            <w:tcW w:w="755" w:type="dxa"/>
            <w:tcBorders/>
            <w:vAlign w:val="bottom"/>
          </w:tcPr>
          <w:p>
            <w:pPr>
              <w:pStyle w:val="TableContents"/>
              <w:bidi w:val="0"/>
              <w:spacing w:before="0" w:after="0"/>
              <w:jc w:val="right"/>
              <w:rPr>
                <w:b/>
                <w:color w:val="000000"/>
              </w:rPr>
            </w:pPr>
            <w:r>
              <w:rPr>
                <w:b/>
                <w:color w:val="000000"/>
              </w:rPr>
              <w:t>10,630</w:t>
            </w:r>
          </w:p>
        </w:tc>
        <w:tc>
          <w:tcPr>
            <w:tcW w:w="110"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4,415</w:t>
            </w:r>
          </w:p>
        </w:tc>
        <w:tc>
          <w:tcPr>
            <w:tcW w:w="110"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b/>
                <w:color w:val="000000"/>
              </w:rPr>
            </w:pPr>
            <w:r>
              <w:rPr>
                <w:b/>
                <w:color w:val="000000"/>
              </w:rPr>
              <w:t>March 31, 2024</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b/>
                <w:color w:val="000000"/>
              </w:rPr>
            </w:pPr>
            <w:r>
              <w:rPr>
                <w:b/>
                <w:color w:val="000000"/>
              </w:rPr>
              <w:t>3,192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0"/>
              <w:jc w:val="right"/>
              <w:rPr>
                <w:b/>
                <w:color w:val="000000"/>
              </w:rPr>
            </w:pPr>
            <w:r>
              <w:rPr>
                <w:b/>
                <w:color w:val="000000"/>
              </w:rPr>
              <w:t>11,853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b/>
                <w:color w:val="000000"/>
              </w:rPr>
            </w:pPr>
            <w:r>
              <w:rPr>
                <w:b/>
                <w:color w:val="000000"/>
              </w:rPr>
              <w:t>15,045</w:t>
            </w:r>
          </w:p>
        </w:tc>
        <w:tc>
          <w:tcPr>
            <w:tcW w:w="110"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362</w:t>
            </w:r>
          </w:p>
        </w:tc>
        <w:tc>
          <w:tcPr>
            <w:tcW w:w="110"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b/>
                <w:color w:val="000000"/>
              </w:rPr>
            </w:pPr>
            <w:r>
              <w:rPr>
                <w:b/>
                <w:color w:val="000000"/>
              </w:rPr>
              <w:t>June 30, 2024</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0"/>
              <w:jc w:val="right"/>
              <w:rPr>
                <w:b/>
                <w:color w:val="000000"/>
              </w:rPr>
            </w:pPr>
            <w:r>
              <w:rPr>
                <w:b/>
                <w:color w:val="000000"/>
              </w:rPr>
              <w:t>4,126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0"/>
              <w:jc w:val="right"/>
              <w:rPr>
                <w:b/>
                <w:color w:val="000000"/>
              </w:rPr>
            </w:pPr>
            <w:r>
              <w:rPr>
                <w:b/>
                <w:color w:val="000000"/>
              </w:rPr>
              <w:t>11,281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b/>
                <w:color w:val="000000"/>
              </w:rPr>
            </w:pPr>
            <w:r>
              <w:rPr>
                <w:b/>
                <w:color w:val="000000"/>
              </w:rPr>
              <w:t>15,407</w:t>
            </w:r>
          </w:p>
        </w:tc>
        <w:tc>
          <w:tcPr>
            <w:tcW w:w="110" w:type="dxa"/>
            <w:tcBorders/>
            <w:vAlign w:val="bottom"/>
          </w:tcPr>
          <w:p>
            <w:pPr>
              <w:pStyle w:val="TableContents"/>
              <w:bidi w:val="0"/>
              <w:spacing w:before="0" w:after="283"/>
              <w:jc w:val="left"/>
              <w:rPr/>
            </w:pPr>
            <w:r>
              <w:rPr/>
              <w:t> </w:t>
            </w:r>
          </w:p>
        </w:tc>
      </w:tr>
      <w:tr>
        <w:trPr/>
        <w:tc>
          <w:tcPr>
            <w:tcW w:w="4805" w:type="dxa"/>
            <w:tcBorders/>
            <w:shd w:fill="CCEEFF" w:val="clear"/>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6,822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7,173</w:t>
            </w:r>
          </w:p>
        </w:tc>
        <w:tc>
          <w:tcPr>
            <w:tcW w:w="110" w:type="dxa"/>
            <w:tcBorders/>
            <w:shd w:fill="CCEEFF" w:val="clear"/>
            <w:vAlign w:val="bottom"/>
          </w:tcPr>
          <w:p>
            <w:pPr>
              <w:pStyle w:val="TableContents"/>
              <w:bidi w:val="0"/>
              <w:spacing w:before="0" w:after="283"/>
              <w:jc w:val="left"/>
              <w:rPr/>
            </w:pPr>
            <w:r>
              <w:rPr/>
              <w:t> </w:t>
            </w:r>
          </w:p>
        </w:tc>
      </w:tr>
      <w:tr>
        <w:trPr/>
        <w:tc>
          <w:tcPr>
            <w:tcW w:w="4805" w:type="dxa"/>
            <w:tcBorders/>
            <w:vAlign w:val="bottom"/>
          </w:tcPr>
          <w:p>
            <w:pPr>
              <w:pStyle w:val="TableContents"/>
              <w:bidi w:val="0"/>
              <w:spacing w:before="0" w:after="0"/>
              <w:ind w:left="180" w:right="0" w:hanging="180"/>
              <w:jc w:val="left"/>
              <w:rPr>
                <w:b/>
                <w:color w:val="000000"/>
              </w:rPr>
            </w:pPr>
            <w:r>
              <w:rPr>
                <w:b/>
                <w:color w:val="000000"/>
              </w:rPr>
              <w:t>September 30, 2024</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688"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4,477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107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18,103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w:t>
            </w:r>
          </w:p>
        </w:tc>
        <w:tc>
          <w:tcPr>
            <w:tcW w:w="755" w:type="dxa"/>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22,580</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LLC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Changes in Unitholders' Deficit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 w:name="z68aeb39dfacb44218ff5aca4eb6b026e"/>
      <w:bookmarkStart w:id="34" w:name="z68aeb39dfacb44218ff5aca4eb6b026e"/>
      <w:bookmarkEnd w:id="34"/>
    </w:p>
    <w:tbl>
      <w:tblPr>
        <w:tblW w:w="11635" w:type="dxa"/>
        <w:jc w:val="left"/>
        <w:tblInd w:w="0" w:type="dxa"/>
        <w:tblLayout w:type="fixed"/>
        <w:tblCellMar>
          <w:top w:w="0" w:type="dxa"/>
          <w:left w:w="0" w:type="dxa"/>
          <w:bottom w:w="0" w:type="dxa"/>
          <w:right w:w="0" w:type="dxa"/>
        </w:tblCellMar>
      </w:tblPr>
      <w:tblGrid>
        <w:gridCol w:w="1280"/>
        <w:gridCol w:w="60"/>
        <w:gridCol w:w="172"/>
        <w:gridCol w:w="838"/>
        <w:gridCol w:w="60"/>
        <w:gridCol w:w="60"/>
        <w:gridCol w:w="202"/>
        <w:gridCol w:w="808"/>
        <w:gridCol w:w="60"/>
        <w:gridCol w:w="60"/>
        <w:gridCol w:w="140"/>
        <w:gridCol w:w="560"/>
        <w:gridCol w:w="60"/>
        <w:gridCol w:w="60"/>
        <w:gridCol w:w="150"/>
        <w:gridCol w:w="410"/>
        <w:gridCol w:w="60"/>
        <w:gridCol w:w="60"/>
        <w:gridCol w:w="214"/>
        <w:gridCol w:w="1156"/>
        <w:gridCol w:w="95"/>
        <w:gridCol w:w="60"/>
        <w:gridCol w:w="290"/>
        <w:gridCol w:w="1320"/>
        <w:gridCol w:w="95"/>
        <w:gridCol w:w="60"/>
        <w:gridCol w:w="290"/>
        <w:gridCol w:w="1410"/>
        <w:gridCol w:w="95"/>
        <w:gridCol w:w="60"/>
        <w:gridCol w:w="200"/>
        <w:gridCol w:w="1080"/>
        <w:gridCol w:w="110"/>
      </w:tblGrid>
      <w:tr>
        <w:trPr/>
        <w:tc>
          <w:tcPr>
            <w:tcW w:w="128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B</w:t>
            </w:r>
          </w:p>
          <w:p>
            <w:pPr>
              <w:pStyle w:val="TableContents"/>
              <w:bidi w:val="0"/>
              <w:spacing w:before="0" w:after="0"/>
              <w:jc w:val="center"/>
              <w:rPr>
                <w:b/>
                <w:color w:val="000000"/>
              </w:rPr>
            </w:pPr>
            <w:r>
              <w:rPr>
                <w:b/>
                <w:color w:val="000000"/>
              </w:rPr>
              <w:t>Preferred</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B-1</w:t>
            </w:r>
          </w:p>
          <w:p>
            <w:pPr>
              <w:pStyle w:val="TableContents"/>
              <w:bidi w:val="0"/>
              <w:spacing w:before="0" w:after="0"/>
              <w:jc w:val="center"/>
              <w:rPr>
                <w:b/>
                <w:color w:val="000000"/>
              </w:rPr>
            </w:pPr>
            <w:r>
              <w:rPr>
                <w:b/>
                <w:color w:val="000000"/>
              </w:rPr>
              <w:t>Preferred</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A</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C</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Deficit</w:t>
            </w:r>
          </w:p>
        </w:tc>
        <w:tc>
          <w:tcPr>
            <w:tcW w:w="9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Accumulated Other Comprehensive Loss</w:t>
            </w:r>
          </w:p>
        </w:tc>
        <w:tc>
          <w:tcPr>
            <w:tcW w:w="9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Non-Controlling Interest</w:t>
            </w:r>
          </w:p>
        </w:tc>
        <w:tc>
          <w:tcPr>
            <w:tcW w:w="9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Total Unitholders' Deficit</w:t>
            </w:r>
          </w:p>
        </w:tc>
        <w:tc>
          <w:tcPr>
            <w:tcW w:w="110" w:type="dxa"/>
            <w:tcBorders/>
            <w:vAlign w:val="bottom"/>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ind w:left="180" w:right="0" w:hanging="180"/>
              <w:jc w:val="left"/>
              <w:rPr>
                <w:b/>
                <w:color w:val="000000"/>
              </w:rPr>
            </w:pPr>
            <w:r>
              <w:rPr>
                <w:b/>
                <w:color w:val="000000"/>
              </w:rPr>
              <w:t>December 31, 2023</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b/>
                <w:color w:val="000000"/>
              </w:rPr>
            </w:pPr>
            <w:r>
              <w:rPr>
                <w:b/>
                <w:color w:val="000000"/>
              </w:rPr>
              <w:t>$</w:t>
            </w:r>
          </w:p>
        </w:tc>
        <w:tc>
          <w:tcPr>
            <w:tcW w:w="838" w:type="dxa"/>
            <w:tcBorders/>
            <w:shd w:fill="CCEEFF" w:val="clear"/>
            <w:vAlign w:val="bottom"/>
          </w:tcPr>
          <w:p>
            <w:pPr>
              <w:pStyle w:val="TableContents"/>
              <w:bidi w:val="0"/>
              <w:spacing w:before="0" w:after="0"/>
              <w:jc w:val="right"/>
              <w:rPr>
                <w:b/>
                <w:color w:val="000000"/>
              </w:rPr>
            </w:pPr>
            <w:r>
              <w:rPr>
                <w:b/>
                <w:color w:val="000000"/>
              </w:rPr>
              <w:t>38,122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b/>
                <w:color w:val="000000"/>
              </w:rPr>
            </w:pPr>
            <w:r>
              <w:rPr>
                <w:b/>
                <w:color w:val="000000"/>
              </w:rPr>
              <w:t>$</w:t>
            </w:r>
          </w:p>
        </w:tc>
        <w:tc>
          <w:tcPr>
            <w:tcW w:w="808" w:type="dxa"/>
            <w:tcBorders/>
            <w:shd w:fill="CCEEFF" w:val="clear"/>
            <w:vAlign w:val="bottom"/>
          </w:tcPr>
          <w:p>
            <w:pPr>
              <w:pStyle w:val="TableContents"/>
              <w:bidi w:val="0"/>
              <w:spacing w:before="0" w:after="0"/>
              <w:jc w:val="right"/>
              <w:rPr>
                <w:b/>
                <w:color w:val="000000"/>
              </w:rPr>
            </w:pPr>
            <w:r>
              <w:rPr>
                <w:b/>
                <w:color w:val="000000"/>
              </w:rPr>
              <w:t>3,323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color w:val="000000"/>
              </w:rPr>
            </w:pPr>
            <w:r>
              <w:rPr>
                <w:b/>
                <w:color w:val="000000"/>
              </w:rPr>
              <w:t>$</w:t>
            </w:r>
          </w:p>
        </w:tc>
        <w:tc>
          <w:tcPr>
            <w:tcW w:w="560" w:type="dxa"/>
            <w:tcBorders/>
            <w:shd w:fill="CCEEFF" w:val="clear"/>
            <w:vAlign w:val="bottom"/>
          </w:tcPr>
          <w:p>
            <w:pPr>
              <w:pStyle w:val="TableContents"/>
              <w:bidi w:val="0"/>
              <w:spacing w:before="0" w:after="0"/>
              <w:jc w:val="right"/>
              <w:rPr>
                <w:b/>
                <w:color w:val="000000"/>
              </w:rPr>
            </w:pPr>
            <w:r>
              <w:rPr>
                <w:b/>
                <w:color w:val="000000"/>
              </w:rPr>
              <w:t>1,950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b/>
                <w:color w:val="000000"/>
              </w:rPr>
            </w:pPr>
            <w:r>
              <w:rPr>
                <w:b/>
                <w:color w:val="000000"/>
              </w:rPr>
              <w:t>$</w:t>
            </w:r>
          </w:p>
        </w:tc>
        <w:tc>
          <w:tcPr>
            <w:tcW w:w="410" w:type="dxa"/>
            <w:tcBorders/>
            <w:shd w:fill="CCEEFF" w:val="clear"/>
            <w:vAlign w:val="bottom"/>
          </w:tcPr>
          <w:p>
            <w:pPr>
              <w:pStyle w:val="TableContents"/>
              <w:bidi w:val="0"/>
              <w:spacing w:before="0" w:after="0"/>
              <w:jc w:val="right"/>
              <w:rPr>
                <w:b/>
                <w:color w:val="000000"/>
              </w:rPr>
            </w:pPr>
            <w:r>
              <w:rPr>
                <w:b/>
                <w:color w:val="000000"/>
              </w:rPr>
              <w:t>844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b/>
                <w:color w:val="000000"/>
              </w:rPr>
            </w:pPr>
            <w:r>
              <w:rPr>
                <w:b/>
                <w:color w:val="000000"/>
              </w:rPr>
              <w:t>$</w:t>
            </w:r>
          </w:p>
        </w:tc>
        <w:tc>
          <w:tcPr>
            <w:tcW w:w="1156" w:type="dxa"/>
            <w:tcBorders/>
            <w:shd w:fill="CCEEFF" w:val="clear"/>
            <w:vAlign w:val="bottom"/>
          </w:tcPr>
          <w:p>
            <w:pPr>
              <w:pStyle w:val="TableContents"/>
              <w:bidi w:val="0"/>
              <w:spacing w:before="0" w:after="0"/>
              <w:jc w:val="right"/>
              <w:rPr>
                <w:b/>
                <w:color w:val="000000"/>
              </w:rPr>
            </w:pPr>
            <w:r>
              <w:rPr>
                <w:b/>
                <w:color w:val="000000"/>
              </w:rPr>
              <w:t>(64,284</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left"/>
              <w:rPr>
                <w:b/>
                <w:color w:val="000000"/>
              </w:rPr>
            </w:pPr>
            <w:r>
              <w:rPr>
                <w:b/>
                <w:color w:val="000000"/>
              </w:rPr>
              <w:t>$</w:t>
            </w:r>
          </w:p>
        </w:tc>
        <w:tc>
          <w:tcPr>
            <w:tcW w:w="132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0"/>
              <w:jc w:val="left"/>
              <w:rPr>
                <w:b/>
                <w:color w:val="000000"/>
              </w:rPr>
            </w:pPr>
            <w:r>
              <w:rPr>
                <w:b/>
                <w:color w:val="000000"/>
              </w:rPr>
              <w:t>$</w:t>
            </w:r>
          </w:p>
        </w:tc>
        <w:tc>
          <w:tcPr>
            <w:tcW w:w="1410" w:type="dxa"/>
            <w:tcBorders/>
            <w:shd w:fill="CCEEFF" w:val="clear"/>
            <w:vAlign w:val="bottom"/>
          </w:tcPr>
          <w:p>
            <w:pPr>
              <w:pStyle w:val="TableContents"/>
              <w:bidi w:val="0"/>
              <w:spacing w:before="0" w:after="0"/>
              <w:jc w:val="right"/>
              <w:rPr>
                <w:b/>
                <w:color w:val="000000"/>
              </w:rPr>
            </w:pPr>
            <w:r>
              <w:rPr>
                <w:b/>
                <w:color w:val="000000"/>
              </w:rPr>
              <w:t>1,559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b/>
                <w:color w:val="000000"/>
              </w:rPr>
            </w:pPr>
            <w:r>
              <w:rPr>
                <w:b/>
                <w:color w:val="000000"/>
              </w:rPr>
              <w:t>$</w:t>
            </w:r>
          </w:p>
        </w:tc>
        <w:tc>
          <w:tcPr>
            <w:tcW w:w="1080" w:type="dxa"/>
            <w:tcBorders/>
            <w:shd w:fill="CCEEFF" w:val="clear"/>
            <w:vAlign w:val="bottom"/>
          </w:tcPr>
          <w:p>
            <w:pPr>
              <w:pStyle w:val="TableContents"/>
              <w:bidi w:val="0"/>
              <w:spacing w:before="0" w:after="0"/>
              <w:jc w:val="right"/>
              <w:rPr>
                <w:b/>
                <w:color w:val="000000"/>
              </w:rPr>
            </w:pPr>
            <w:r>
              <w:rPr>
                <w:b/>
                <w:color w:val="000000"/>
              </w:rPr>
              <w:t>(18,486</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r>
        <w:trPr/>
        <w:tc>
          <w:tcPr>
            <w:tcW w:w="1280" w:type="dxa"/>
            <w:tcBorders/>
            <w:vAlign w:val="bottom"/>
          </w:tcPr>
          <w:p>
            <w:pPr>
              <w:pStyle w:val="TableContents"/>
              <w:bidi w:val="0"/>
              <w:spacing w:before="0" w:after="0"/>
              <w:ind w:left="360" w:right="0" w:hanging="180"/>
              <w:jc w:val="left"/>
              <w:rPr>
                <w:color w:val="000000"/>
              </w:rPr>
            </w:pPr>
            <w:r>
              <w:rPr>
                <w:color w:val="000000"/>
              </w:rPr>
              <w:t>Net loss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(5,219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0"/>
              <w:jc w:val="right"/>
              <w:rPr>
                <w:color w:val="000000"/>
              </w:rPr>
            </w:pPr>
            <w:r>
              <w:rPr>
                <w:color w:val="000000"/>
              </w:rPr>
              <w:t>(2,307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(7,526</w:t>
            </w:r>
          </w:p>
        </w:tc>
        <w:tc>
          <w:tcPr>
            <w:tcW w:w="110" w:type="dxa"/>
            <w:tcBorders/>
            <w:vAlign w:val="bottom"/>
          </w:tcPr>
          <w:p>
            <w:pPr>
              <w:pStyle w:val="TableContents"/>
              <w:bidi w:val="0"/>
              <w:spacing w:before="0" w:after="0"/>
              <w:jc w:val="left"/>
              <w:rPr>
                <w:color w:val="000000"/>
              </w:rPr>
            </w:pPr>
            <w:r>
              <w:rPr>
                <w:color w:val="000000"/>
              </w:rPr>
              <w:t>)</w:t>
            </w:r>
          </w:p>
        </w:tc>
      </w:tr>
      <w:tr>
        <w:trPr/>
        <w:tc>
          <w:tcPr>
            <w:tcW w:w="1280" w:type="dxa"/>
            <w:tcBorders/>
            <w:shd w:fill="CCEEFF" w:val="clear"/>
            <w:vAlign w:val="bottom"/>
          </w:tcPr>
          <w:p>
            <w:pPr>
              <w:pStyle w:val="TableContents"/>
              <w:bidi w:val="0"/>
              <w:spacing w:before="0" w:after="0"/>
              <w:ind w:left="360" w:right="0" w:hanging="180"/>
              <w:jc w:val="left"/>
              <w:rPr>
                <w:color w:val="000000"/>
              </w:rPr>
            </w:pPr>
            <w:r>
              <w:rPr>
                <w:color w:val="000000"/>
              </w:rPr>
              <w:t>Units issued to NCI</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0"/>
              <w:jc w:val="right"/>
              <w:rPr>
                <w:color w:val="000000"/>
              </w:rPr>
            </w:pPr>
            <w:r>
              <w:rPr>
                <w:color w:val="000000"/>
              </w:rPr>
              <w:t>3,503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3,503</w:t>
            </w:r>
          </w:p>
        </w:tc>
        <w:tc>
          <w:tcPr>
            <w:tcW w:w="11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ind w:left="360" w:right="0" w:hanging="180"/>
              <w:jc w:val="left"/>
              <w:rPr>
                <w:color w:val="000000"/>
              </w:rPr>
            </w:pPr>
            <w:r>
              <w:rPr>
                <w:color w:val="000000"/>
              </w:rPr>
              <w:t>Issuance of preferred units, net of issuance costs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7,566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7,566</w:t>
            </w:r>
          </w:p>
        </w:tc>
        <w:tc>
          <w:tcPr>
            <w:tcW w:w="110" w:type="dxa"/>
            <w:tcBorders/>
            <w:vAlign w:val="bottom"/>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ind w:left="360" w:right="0" w:hanging="180"/>
              <w:jc w:val="left"/>
              <w:rPr>
                <w:color w:val="000000"/>
              </w:rPr>
            </w:pPr>
            <w:r>
              <w:rPr>
                <w:color w:val="000000"/>
              </w:rPr>
              <w:t>Unit-based compensation</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0"/>
              <w:jc w:val="right"/>
              <w:rPr>
                <w:color w:val="000000"/>
              </w:rPr>
            </w:pPr>
            <w:r>
              <w:rPr>
                <w:color w:val="000000"/>
              </w:rPr>
              <w:t>345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396</w:t>
            </w:r>
          </w:p>
        </w:tc>
        <w:tc>
          <w:tcPr>
            <w:tcW w:w="11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ind w:left="360" w:right="0" w:hanging="180"/>
              <w:jc w:val="left"/>
              <w:rPr>
                <w:color w:val="000000"/>
              </w:rPr>
            </w:pPr>
            <w:r>
              <w:rPr>
                <w:color w:val="000000"/>
              </w:rPr>
              <w:t>Issuance of units to NCI in exchange of convertible promissory notes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0"/>
              <w:jc w:val="right"/>
              <w:rPr>
                <w:color w:val="000000"/>
              </w:rPr>
            </w:pPr>
            <w:r>
              <w:rPr>
                <w:color w:val="000000"/>
              </w:rPr>
              <w:t>8,443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8,443</w:t>
            </w:r>
          </w:p>
        </w:tc>
        <w:tc>
          <w:tcPr>
            <w:tcW w:w="110" w:type="dxa"/>
            <w:tcBorders/>
            <w:vAlign w:val="bottom"/>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(4,415</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(4,415</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1280" w:type="dxa"/>
            <w:tcBorders/>
            <w:vAlign w:val="bottom"/>
          </w:tcPr>
          <w:p>
            <w:pPr>
              <w:pStyle w:val="TableContents"/>
              <w:bidi w:val="0"/>
              <w:spacing w:before="0" w:after="0"/>
              <w:ind w:left="180" w:right="0" w:hanging="180"/>
              <w:jc w:val="left"/>
              <w:rPr>
                <w:b/>
                <w:color w:val="000000"/>
              </w:rPr>
            </w:pPr>
            <w:r>
              <w:rPr>
                <w:b/>
                <w:color w:val="000000"/>
              </w:rPr>
              <w:t>March 31, 2024</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b/>
                <w:color w:val="000000"/>
              </w:rPr>
            </w:pPr>
            <w:r>
              <w:rPr>
                <w:b/>
                <w:color w:val="000000"/>
              </w:rPr>
              <w:t>45,688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b/>
                <w:color w:val="000000"/>
              </w:rPr>
            </w:pPr>
            <w:r>
              <w:rPr>
                <w:b/>
                <w:color w:val="000000"/>
              </w:rPr>
              <w:t>3,323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b/>
                <w:color w:val="000000"/>
              </w:rPr>
            </w:pPr>
            <w:r>
              <w:rPr>
                <w:b/>
                <w:color w:val="000000"/>
              </w:rPr>
              <w:t>1,950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b/>
                <w:color w:val="000000"/>
              </w:rPr>
            </w:pPr>
            <w:r>
              <w:rPr>
                <w:b/>
                <w:color w:val="000000"/>
              </w:rPr>
              <w:t>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b/>
                <w:color w:val="000000"/>
              </w:rPr>
            </w:pPr>
            <w:r>
              <w:rPr>
                <w:b/>
                <w:color w:val="000000"/>
              </w:rPr>
              <w:t>(73,918</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0"/>
              <w:jc w:val="right"/>
              <w:rPr>
                <w:b/>
                <w:color w:val="000000"/>
              </w:rPr>
            </w:pPr>
            <w:r>
              <w:rPr>
                <w:b/>
                <w:color w:val="000000"/>
              </w:rPr>
              <w:t>11,543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b/>
                <w:color w:val="000000"/>
              </w:rPr>
            </w:pPr>
            <w:r>
              <w:rPr>
                <w:b/>
                <w:color w:val="000000"/>
              </w:rPr>
              <w:t>(10,519</w:t>
            </w:r>
          </w:p>
        </w:tc>
        <w:tc>
          <w:tcPr>
            <w:tcW w:w="110" w:type="dxa"/>
            <w:tcBorders/>
            <w:vAlign w:val="bottom"/>
          </w:tcPr>
          <w:p>
            <w:pPr>
              <w:pStyle w:val="TableContents"/>
              <w:bidi w:val="0"/>
              <w:spacing w:before="0" w:after="0"/>
              <w:jc w:val="left"/>
              <w:rPr>
                <w:b/>
                <w:color w:val="000000"/>
              </w:rPr>
            </w:pPr>
            <w:r>
              <w:rPr>
                <w:b/>
                <w:color w:val="000000"/>
              </w:rPr>
              <w:t>)</w:t>
            </w:r>
          </w:p>
        </w:tc>
      </w:tr>
      <w:tr>
        <w:trPr/>
        <w:tc>
          <w:tcPr>
            <w:tcW w:w="1280" w:type="dxa"/>
            <w:tcBorders/>
            <w:shd w:fill="CCEEFF" w:val="clear"/>
            <w:vAlign w:val="bottom"/>
          </w:tcPr>
          <w:p>
            <w:pPr>
              <w:pStyle w:val="TableContents"/>
              <w:bidi w:val="0"/>
              <w:spacing w:before="0" w:after="0"/>
              <w:ind w:left="360" w:right="0" w:hanging="180"/>
              <w:jc w:val="left"/>
              <w:rPr>
                <w:color w:val="000000"/>
              </w:rPr>
            </w:pPr>
            <w:r>
              <w:rPr>
                <w:color w:val="000000"/>
              </w:rPr>
              <w:t>Net loss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(7,288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0"/>
              <w:jc w:val="right"/>
              <w:rPr>
                <w:color w:val="000000"/>
              </w:rPr>
            </w:pPr>
            <w:r>
              <w:rPr>
                <w:color w:val="000000"/>
              </w:rPr>
              <w:t>(4,026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(11,314</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1280" w:type="dxa"/>
            <w:tcBorders/>
            <w:vAlign w:val="bottom"/>
          </w:tcPr>
          <w:p>
            <w:pPr>
              <w:pStyle w:val="TableContents"/>
              <w:bidi w:val="0"/>
              <w:spacing w:before="0" w:after="0"/>
              <w:ind w:left="360" w:right="0" w:hanging="180"/>
              <w:jc w:val="left"/>
              <w:rPr>
                <w:color w:val="000000"/>
              </w:rPr>
            </w:pPr>
            <w:r>
              <w:rPr>
                <w:color w:val="000000"/>
              </w:rPr>
              <w:t>Units issued to NCI</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0"/>
              <w:jc w:val="right"/>
              <w:rPr>
                <w:color w:val="000000"/>
              </w:rPr>
            </w:pPr>
            <w:r>
              <w:rPr>
                <w:color w:val="000000"/>
              </w:rPr>
              <w:t>7,348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7,348</w:t>
            </w:r>
          </w:p>
        </w:tc>
        <w:tc>
          <w:tcPr>
            <w:tcW w:w="110" w:type="dxa"/>
            <w:tcBorders/>
            <w:vAlign w:val="bottom"/>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ind w:left="360" w:right="0" w:hanging="180"/>
              <w:jc w:val="left"/>
              <w:rPr>
                <w:color w:val="000000"/>
              </w:rPr>
            </w:pPr>
            <w:r>
              <w:rPr>
                <w:color w:val="000000"/>
              </w:rPr>
              <w:t>Issuance of preferred units, net of issuance costs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2,852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2,852</w:t>
            </w:r>
          </w:p>
        </w:tc>
        <w:tc>
          <w:tcPr>
            <w:tcW w:w="11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ind w:left="360" w:right="0" w:hanging="180"/>
              <w:jc w:val="left"/>
              <w:rPr>
                <w:color w:val="000000"/>
              </w:rPr>
            </w:pPr>
            <w:r>
              <w:rPr>
                <w:color w:val="000000"/>
              </w:rPr>
              <w:t>Unit-based compensation</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0"/>
              <w:jc w:val="right"/>
              <w:rPr>
                <w:color w:val="000000"/>
              </w:rPr>
            </w:pPr>
            <w:r>
              <w:rPr>
                <w:color w:val="000000"/>
              </w:rPr>
              <w:t>248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293</w:t>
            </w:r>
          </w:p>
        </w:tc>
        <w:tc>
          <w:tcPr>
            <w:tcW w:w="110" w:type="dxa"/>
            <w:tcBorders/>
            <w:vAlign w:val="bottom"/>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(362</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(362</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1280" w:type="dxa"/>
            <w:tcBorders/>
            <w:vAlign w:val="bottom"/>
          </w:tcPr>
          <w:p>
            <w:pPr>
              <w:pStyle w:val="TableContents"/>
              <w:bidi w:val="0"/>
              <w:spacing w:before="0" w:after="0"/>
              <w:ind w:left="180" w:right="0" w:hanging="180"/>
              <w:jc w:val="left"/>
              <w:rPr>
                <w:b/>
                <w:color w:val="000000"/>
              </w:rPr>
            </w:pPr>
            <w:r>
              <w:rPr>
                <w:b/>
                <w:color w:val="000000"/>
              </w:rPr>
              <w:t>June 30, 2024</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b/>
                <w:color w:val="000000"/>
              </w:rPr>
            </w:pPr>
            <w:r>
              <w:rPr>
                <w:b/>
                <w:color w:val="000000"/>
              </w:rPr>
              <w:t>48,540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b/>
                <w:color w:val="000000"/>
              </w:rPr>
            </w:pPr>
            <w:r>
              <w:rPr>
                <w:b/>
                <w:color w:val="000000"/>
              </w:rPr>
              <w:t>3,323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b/>
                <w:color w:val="000000"/>
              </w:rPr>
            </w:pPr>
            <w:r>
              <w:rPr>
                <w:b/>
                <w:color w:val="000000"/>
              </w:rPr>
              <w:t>1,950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b/>
                <w:color w:val="000000"/>
              </w:rPr>
            </w:pPr>
            <w:r>
              <w:rPr>
                <w:b/>
                <w:color w:val="000000"/>
              </w:rPr>
              <w:t>940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b/>
                <w:color w:val="000000"/>
              </w:rPr>
            </w:pPr>
            <w:r>
              <w:rPr>
                <w:b/>
                <w:color w:val="000000"/>
              </w:rPr>
              <w:t>(81,568</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0"/>
              <w:jc w:val="right"/>
              <w:rPr>
                <w:b/>
                <w:color w:val="000000"/>
              </w:rPr>
            </w:pPr>
            <w:r>
              <w:rPr>
                <w:b/>
                <w:color w:val="000000"/>
              </w:rPr>
              <w:t>15,113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b/>
                <w:color w:val="000000"/>
              </w:rPr>
            </w:pPr>
            <w:r>
              <w:rPr>
                <w:b/>
                <w:color w:val="000000"/>
              </w:rPr>
              <w:t>(11,702</w:t>
            </w:r>
          </w:p>
        </w:tc>
        <w:tc>
          <w:tcPr>
            <w:tcW w:w="110" w:type="dxa"/>
            <w:tcBorders/>
            <w:vAlign w:val="bottom"/>
          </w:tcPr>
          <w:p>
            <w:pPr>
              <w:pStyle w:val="TableContents"/>
              <w:bidi w:val="0"/>
              <w:spacing w:before="0" w:after="0"/>
              <w:jc w:val="left"/>
              <w:rPr>
                <w:b/>
                <w:color w:val="000000"/>
              </w:rPr>
            </w:pPr>
            <w:r>
              <w:rPr>
                <w:b/>
                <w:color w:val="000000"/>
              </w:rPr>
              <w:t>)</w:t>
            </w:r>
          </w:p>
        </w:tc>
      </w:tr>
      <w:tr>
        <w:trPr/>
        <w:tc>
          <w:tcPr>
            <w:tcW w:w="1280" w:type="dxa"/>
            <w:tcBorders/>
            <w:shd w:fill="CCEEFF" w:val="clear"/>
            <w:vAlign w:val="bottom"/>
          </w:tcPr>
          <w:p>
            <w:pPr>
              <w:pStyle w:val="TableContents"/>
              <w:bidi w:val="0"/>
              <w:spacing w:before="0" w:after="0"/>
              <w:ind w:left="360" w:right="0" w:hanging="180"/>
              <w:jc w:val="left"/>
              <w:rPr>
                <w:color w:val="000000"/>
              </w:rPr>
            </w:pPr>
            <w:r>
              <w:rPr>
                <w:color w:val="000000"/>
              </w:rPr>
              <w:t>Net loss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(2,211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0"/>
              <w:jc w:val="right"/>
              <w:rPr>
                <w:color w:val="000000"/>
              </w:rPr>
            </w:pPr>
            <w:r>
              <w:rPr>
                <w:color w:val="000000"/>
              </w:rPr>
              <w:t>(5,430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(7,641</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1280" w:type="dxa"/>
            <w:tcBorders/>
            <w:vAlign w:val="bottom"/>
          </w:tcPr>
          <w:p>
            <w:pPr>
              <w:pStyle w:val="TableContents"/>
              <w:bidi w:val="0"/>
              <w:spacing w:before="0" w:after="0"/>
              <w:ind w:left="360" w:right="0" w:hanging="180"/>
              <w:jc w:val="left"/>
              <w:rPr>
                <w:color w:val="000000"/>
              </w:rPr>
            </w:pPr>
            <w:r>
              <w:rPr>
                <w:color w:val="000000"/>
              </w:rPr>
              <w:t>Other comprehensive loss, net of taxes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0"/>
              <w:jc w:val="right"/>
              <w:rPr>
                <w:color w:val="000000"/>
              </w:rPr>
            </w:pPr>
            <w:r>
              <w:rPr>
                <w:color w:val="000000"/>
              </w:rPr>
              <w:t>(2,373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(2,373</w:t>
            </w:r>
          </w:p>
        </w:tc>
        <w:tc>
          <w:tcPr>
            <w:tcW w:w="110" w:type="dxa"/>
            <w:tcBorders/>
            <w:vAlign w:val="bottom"/>
          </w:tcPr>
          <w:p>
            <w:pPr>
              <w:pStyle w:val="TableContents"/>
              <w:bidi w:val="0"/>
              <w:spacing w:before="0" w:after="0"/>
              <w:jc w:val="left"/>
              <w:rPr>
                <w:color w:val="000000"/>
              </w:rPr>
            </w:pPr>
            <w:r>
              <w:rPr>
                <w:color w:val="000000"/>
              </w:rPr>
              <w:t>)</w:t>
            </w:r>
          </w:p>
        </w:tc>
      </w:tr>
      <w:tr>
        <w:trPr/>
        <w:tc>
          <w:tcPr>
            <w:tcW w:w="1280" w:type="dxa"/>
            <w:tcBorders/>
            <w:shd w:fill="CCEEFF" w:val="clear"/>
            <w:vAlign w:val="bottom"/>
          </w:tcPr>
          <w:p>
            <w:pPr>
              <w:pStyle w:val="TableContents"/>
              <w:bidi w:val="0"/>
              <w:spacing w:before="0" w:after="0"/>
              <w:ind w:left="360" w:right="0" w:hanging="180"/>
              <w:jc w:val="left"/>
              <w:rPr>
                <w:color w:val="000000"/>
              </w:rPr>
            </w:pPr>
            <w:r>
              <w:rPr>
                <w:color w:val="000000"/>
              </w:rPr>
              <w:t>Units issued to NCI</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0"/>
              <w:jc w:val="right"/>
              <w:rPr>
                <w:color w:val="000000"/>
              </w:rPr>
            </w:pPr>
            <w:r>
              <w:rPr>
                <w:color w:val="000000"/>
              </w:rPr>
              <w:t>3,071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3,071</w:t>
            </w:r>
          </w:p>
        </w:tc>
        <w:tc>
          <w:tcPr>
            <w:tcW w:w="11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ind w:left="360" w:right="0" w:hanging="180"/>
              <w:jc w:val="left"/>
              <w:rPr>
                <w:color w:val="000000"/>
              </w:rPr>
            </w:pPr>
            <w:r>
              <w:rPr>
                <w:color w:val="000000"/>
              </w:rPr>
              <w:t>Issuance of preferred units, net of issuance costs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3,143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3,143</w:t>
            </w:r>
          </w:p>
        </w:tc>
        <w:tc>
          <w:tcPr>
            <w:tcW w:w="110" w:type="dxa"/>
            <w:tcBorders/>
            <w:vAlign w:val="bottom"/>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ind w:left="360" w:right="0" w:hanging="180"/>
              <w:jc w:val="left"/>
              <w:rPr>
                <w:color w:val="000000"/>
              </w:rPr>
            </w:pPr>
            <w:r>
              <w:rPr>
                <w:color w:val="000000"/>
              </w:rPr>
              <w:t>Unit-based compensation</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0"/>
              <w:jc w:val="right"/>
              <w:rPr>
                <w:color w:val="000000"/>
              </w:rPr>
            </w:pPr>
            <w:r>
              <w:rPr>
                <w:color w:val="000000"/>
              </w:rPr>
              <w:t>326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367</w:t>
            </w:r>
          </w:p>
        </w:tc>
        <w:tc>
          <w:tcPr>
            <w:tcW w:w="11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(7,173</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(7,173</w:t>
            </w:r>
          </w:p>
        </w:tc>
        <w:tc>
          <w:tcPr>
            <w:tcW w:w="110" w:type="dxa"/>
            <w:tcBorders/>
            <w:vAlign w:val="bottom"/>
          </w:tcPr>
          <w:p>
            <w:pPr>
              <w:pStyle w:val="TableContents"/>
              <w:bidi w:val="0"/>
              <w:spacing w:before="0" w:after="0"/>
              <w:jc w:val="left"/>
              <w:rPr>
                <w:color w:val="000000"/>
              </w:rPr>
            </w:pPr>
            <w:r>
              <w:rPr>
                <w:color w:val="000000"/>
              </w:rPr>
              <w:t>)</w:t>
            </w:r>
          </w:p>
        </w:tc>
      </w:tr>
      <w:tr>
        <w:trPr/>
        <w:tc>
          <w:tcPr>
            <w:tcW w:w="1280" w:type="dxa"/>
            <w:tcBorders/>
            <w:shd w:fill="CCEEFF" w:val="clear"/>
            <w:vAlign w:val="bottom"/>
          </w:tcPr>
          <w:p>
            <w:pPr>
              <w:pStyle w:val="TableContents"/>
              <w:bidi w:val="0"/>
              <w:spacing w:before="0" w:after="0"/>
              <w:ind w:left="180" w:right="0" w:hanging="180"/>
              <w:jc w:val="left"/>
              <w:rPr>
                <w:b/>
                <w:color w:val="000000"/>
              </w:rPr>
            </w:pPr>
            <w:r>
              <w:rPr>
                <w:b/>
                <w:color w:val="000000"/>
              </w:rPr>
              <w:t>September 30, 2024</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51,683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3,323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1,950</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41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981</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56"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(90,952</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32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(2,373</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41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13,080</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08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(22,308</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LLC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Changes in Unitholders' Deficit (continued)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z80c5d2c95a6a4fb7be306baffa90051f"/>
      <w:bookmarkStart w:id="36" w:name="z80c5d2c95a6a4fb7be306baffa90051f"/>
      <w:bookmarkEnd w:id="36"/>
    </w:p>
    <w:tbl>
      <w:tblPr>
        <w:tblW w:w="11480" w:type="dxa"/>
        <w:jc w:val="left"/>
        <w:tblInd w:w="0" w:type="dxa"/>
        <w:tblLayout w:type="fixed"/>
        <w:tblCellMar>
          <w:top w:w="0" w:type="dxa"/>
          <w:left w:w="0" w:type="dxa"/>
          <w:bottom w:w="0" w:type="dxa"/>
          <w:right w:w="0" w:type="dxa"/>
        </w:tblCellMar>
      </w:tblPr>
      <w:tblGrid>
        <w:gridCol w:w="1160"/>
        <w:gridCol w:w="60"/>
        <w:gridCol w:w="172"/>
        <w:gridCol w:w="838"/>
        <w:gridCol w:w="60"/>
        <w:gridCol w:w="60"/>
        <w:gridCol w:w="202"/>
        <w:gridCol w:w="808"/>
        <w:gridCol w:w="60"/>
        <w:gridCol w:w="60"/>
        <w:gridCol w:w="140"/>
        <w:gridCol w:w="560"/>
        <w:gridCol w:w="60"/>
        <w:gridCol w:w="60"/>
        <w:gridCol w:w="150"/>
        <w:gridCol w:w="410"/>
        <w:gridCol w:w="60"/>
        <w:gridCol w:w="60"/>
        <w:gridCol w:w="214"/>
        <w:gridCol w:w="1156"/>
        <w:gridCol w:w="95"/>
        <w:gridCol w:w="60"/>
        <w:gridCol w:w="563"/>
        <w:gridCol w:w="1047"/>
        <w:gridCol w:w="60"/>
        <w:gridCol w:w="60"/>
        <w:gridCol w:w="340"/>
        <w:gridCol w:w="1360"/>
        <w:gridCol w:w="95"/>
        <w:gridCol w:w="60"/>
        <w:gridCol w:w="200"/>
        <w:gridCol w:w="1080"/>
        <w:gridCol w:w="110"/>
      </w:tblGrid>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B</w:t>
            </w:r>
          </w:p>
          <w:p>
            <w:pPr>
              <w:pStyle w:val="TableContents"/>
              <w:bidi w:val="0"/>
              <w:spacing w:before="0" w:after="0"/>
              <w:jc w:val="center"/>
              <w:rPr>
                <w:b/>
                <w:color w:val="000000"/>
              </w:rPr>
            </w:pPr>
            <w:r>
              <w:rPr>
                <w:b/>
                <w:color w:val="000000"/>
              </w:rPr>
              <w:t>Preferred</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B-1</w:t>
            </w:r>
          </w:p>
          <w:p>
            <w:pPr>
              <w:pStyle w:val="TableContents"/>
              <w:bidi w:val="0"/>
              <w:spacing w:before="0" w:after="0"/>
              <w:jc w:val="center"/>
              <w:rPr>
                <w:b/>
                <w:color w:val="000000"/>
              </w:rPr>
            </w:pPr>
            <w:r>
              <w:rPr>
                <w:b/>
                <w:color w:val="000000"/>
              </w:rPr>
              <w:t>Preferred</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A</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C</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Accumulated Deficit</w:t>
            </w:r>
          </w:p>
        </w:tc>
        <w:tc>
          <w:tcPr>
            <w:tcW w:w="9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6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Accumulated Other Comprehensive Loss</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7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Non-Controlling Interest</w:t>
            </w:r>
          </w:p>
        </w:tc>
        <w:tc>
          <w:tcPr>
            <w:tcW w:w="9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Total Unitholders' Deficit</w:t>
            </w:r>
          </w:p>
        </w:tc>
        <w:tc>
          <w:tcPr>
            <w:tcW w:w="110"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ind w:left="180" w:right="0" w:hanging="180"/>
              <w:jc w:val="left"/>
              <w:rPr>
                <w:b/>
                <w:color w:val="000000"/>
              </w:rPr>
            </w:pPr>
            <w:r>
              <w:rPr>
                <w:b/>
                <w:color w:val="000000"/>
              </w:rPr>
              <w:t>December 31, 2022</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b/>
                <w:color w:val="000000"/>
              </w:rPr>
            </w:pPr>
            <w:r>
              <w:rPr>
                <w:b/>
                <w:color w:val="000000"/>
              </w:rPr>
              <w:t>$</w:t>
            </w:r>
          </w:p>
        </w:tc>
        <w:tc>
          <w:tcPr>
            <w:tcW w:w="838" w:type="dxa"/>
            <w:tcBorders/>
            <w:shd w:fill="CCEEFF" w:val="clear"/>
            <w:vAlign w:val="bottom"/>
          </w:tcPr>
          <w:p>
            <w:pPr>
              <w:pStyle w:val="TableContents"/>
              <w:bidi w:val="0"/>
              <w:spacing w:before="0" w:after="0"/>
              <w:jc w:val="right"/>
              <w:rPr>
                <w:b/>
                <w:color w:val="000000"/>
              </w:rPr>
            </w:pPr>
            <w:r>
              <w:rPr>
                <w:b/>
                <w:color w:val="000000"/>
              </w:rPr>
              <w:t>20,803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b/>
                <w:color w:val="000000"/>
              </w:rPr>
            </w:pPr>
            <w:r>
              <w:rPr>
                <w:b/>
                <w:color w:val="000000"/>
              </w:rPr>
              <w:t>$</w:t>
            </w:r>
          </w:p>
        </w:tc>
        <w:tc>
          <w:tcPr>
            <w:tcW w:w="808" w:type="dxa"/>
            <w:tcBorders/>
            <w:shd w:fill="CCEEFF" w:val="clear"/>
            <w:vAlign w:val="bottom"/>
          </w:tcPr>
          <w:p>
            <w:pPr>
              <w:pStyle w:val="TableContents"/>
              <w:bidi w:val="0"/>
              <w:spacing w:before="0" w:after="0"/>
              <w:jc w:val="right"/>
              <w:rPr>
                <w:b/>
                <w:color w:val="000000"/>
              </w:rPr>
            </w:pPr>
            <w:r>
              <w:rPr>
                <w:b/>
                <w:color w:val="000000"/>
              </w:rPr>
              <w:t>3,323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color w:val="000000"/>
              </w:rPr>
            </w:pPr>
            <w:r>
              <w:rPr>
                <w:b/>
                <w:color w:val="000000"/>
              </w:rPr>
              <w:t>$</w:t>
            </w:r>
          </w:p>
        </w:tc>
        <w:tc>
          <w:tcPr>
            <w:tcW w:w="560" w:type="dxa"/>
            <w:tcBorders/>
            <w:shd w:fill="CCEEFF" w:val="clear"/>
            <w:vAlign w:val="bottom"/>
          </w:tcPr>
          <w:p>
            <w:pPr>
              <w:pStyle w:val="TableContents"/>
              <w:bidi w:val="0"/>
              <w:spacing w:before="0" w:after="0"/>
              <w:jc w:val="right"/>
              <w:rPr>
                <w:b/>
                <w:color w:val="000000"/>
              </w:rPr>
            </w:pPr>
            <w:r>
              <w:rPr>
                <w:b/>
                <w:color w:val="000000"/>
              </w:rPr>
              <w:t>1,950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0"/>
              <w:jc w:val="left"/>
              <w:rPr>
                <w:b/>
                <w:color w:val="000000"/>
              </w:rPr>
            </w:pPr>
            <w:r>
              <w:rPr>
                <w:b/>
                <w:color w:val="000000"/>
              </w:rPr>
              <w:t>$</w:t>
            </w:r>
          </w:p>
        </w:tc>
        <w:tc>
          <w:tcPr>
            <w:tcW w:w="410" w:type="dxa"/>
            <w:tcBorders/>
            <w:shd w:fill="CCEEFF" w:val="clear"/>
            <w:vAlign w:val="bottom"/>
          </w:tcPr>
          <w:p>
            <w:pPr>
              <w:pStyle w:val="TableContents"/>
              <w:bidi w:val="0"/>
              <w:spacing w:before="0" w:after="0"/>
              <w:jc w:val="right"/>
              <w:rPr>
                <w:b/>
                <w:color w:val="000000"/>
              </w:rPr>
            </w:pPr>
            <w:r>
              <w:rPr>
                <w:b/>
                <w:color w:val="000000"/>
              </w:rPr>
              <w:t>639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0"/>
              <w:jc w:val="left"/>
              <w:rPr>
                <w:b/>
                <w:color w:val="000000"/>
              </w:rPr>
            </w:pPr>
            <w:r>
              <w:rPr>
                <w:b/>
                <w:color w:val="000000"/>
              </w:rPr>
              <w:t>$</w:t>
            </w:r>
          </w:p>
        </w:tc>
        <w:tc>
          <w:tcPr>
            <w:tcW w:w="1156" w:type="dxa"/>
            <w:tcBorders/>
            <w:shd w:fill="CCEEFF" w:val="clear"/>
            <w:vAlign w:val="bottom"/>
          </w:tcPr>
          <w:p>
            <w:pPr>
              <w:pStyle w:val="TableContents"/>
              <w:bidi w:val="0"/>
              <w:spacing w:before="0" w:after="0"/>
              <w:jc w:val="right"/>
              <w:rPr>
                <w:b/>
                <w:color w:val="000000"/>
              </w:rPr>
            </w:pPr>
            <w:r>
              <w:rPr>
                <w:b/>
                <w:color w:val="000000"/>
              </w:rPr>
              <w:t>(38,564</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0"/>
              <w:jc w:val="left"/>
              <w:rPr>
                <w:b/>
                <w:color w:val="000000"/>
              </w:rPr>
            </w:pPr>
            <w:r>
              <w:rPr>
                <w:b/>
                <w:color w:val="000000"/>
              </w:rPr>
              <w:t>$</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0"/>
              <w:jc w:val="left"/>
              <w:rPr>
                <w:b/>
                <w:color w:val="000000"/>
              </w:rPr>
            </w:pPr>
            <w:r>
              <w:rPr>
                <w:b/>
                <w:color w:val="000000"/>
              </w:rPr>
              <w:t>$</w:t>
            </w:r>
          </w:p>
        </w:tc>
        <w:tc>
          <w:tcPr>
            <w:tcW w:w="1360" w:type="dxa"/>
            <w:tcBorders/>
            <w:shd w:fill="CCEEFF" w:val="clear"/>
            <w:vAlign w:val="bottom"/>
          </w:tcPr>
          <w:p>
            <w:pPr>
              <w:pStyle w:val="TableContents"/>
              <w:bidi w:val="0"/>
              <w:spacing w:before="0" w:after="0"/>
              <w:jc w:val="right"/>
              <w:rPr>
                <w:b/>
                <w:color w:val="000000"/>
              </w:rPr>
            </w:pPr>
            <w:r>
              <w:rPr>
                <w:b/>
                <w:color w:val="000000"/>
              </w:rPr>
              <w:t>656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b/>
                <w:color w:val="000000"/>
              </w:rPr>
            </w:pPr>
            <w:r>
              <w:rPr>
                <w:b/>
                <w:color w:val="000000"/>
              </w:rPr>
              <w:t>$</w:t>
            </w:r>
          </w:p>
        </w:tc>
        <w:tc>
          <w:tcPr>
            <w:tcW w:w="1080" w:type="dxa"/>
            <w:tcBorders/>
            <w:shd w:fill="CCEEFF" w:val="clear"/>
            <w:vAlign w:val="bottom"/>
          </w:tcPr>
          <w:p>
            <w:pPr>
              <w:pStyle w:val="TableContents"/>
              <w:bidi w:val="0"/>
              <w:spacing w:before="0" w:after="0"/>
              <w:jc w:val="right"/>
              <w:rPr>
                <w:b/>
                <w:color w:val="000000"/>
              </w:rPr>
            </w:pPr>
            <w:r>
              <w:rPr>
                <w:b/>
                <w:color w:val="000000"/>
              </w:rPr>
              <w:t>(11,193</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r>
        <w:trPr/>
        <w:tc>
          <w:tcPr>
            <w:tcW w:w="1160" w:type="dxa"/>
            <w:tcBorders/>
            <w:vAlign w:val="bottom"/>
          </w:tcPr>
          <w:p>
            <w:pPr>
              <w:pStyle w:val="TableContents"/>
              <w:bidi w:val="0"/>
              <w:spacing w:before="0" w:after="0"/>
              <w:ind w:left="360" w:right="0" w:hanging="180"/>
              <w:jc w:val="left"/>
              <w:rPr>
                <w:color w:val="000000"/>
              </w:rPr>
            </w:pPr>
            <w:r>
              <w:rPr>
                <w:color w:val="000000"/>
              </w:rPr>
              <w:t>Net loss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(3,573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0"/>
              <w:jc w:val="right"/>
              <w:rPr>
                <w:color w:val="000000"/>
              </w:rPr>
            </w:pPr>
            <w:r>
              <w:rPr>
                <w:color w:val="000000"/>
              </w:rPr>
              <w:t>(23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(3,596</w:t>
            </w:r>
          </w:p>
        </w:tc>
        <w:tc>
          <w:tcPr>
            <w:tcW w:w="110" w:type="dxa"/>
            <w:tcBorders/>
            <w:vAlign w:val="bottom"/>
          </w:tcPr>
          <w:p>
            <w:pPr>
              <w:pStyle w:val="TableContents"/>
              <w:bidi w:val="0"/>
              <w:spacing w:before="0" w:after="0"/>
              <w:jc w:val="left"/>
              <w:rPr>
                <w:color w:val="000000"/>
              </w:rPr>
            </w:pPr>
            <w:r>
              <w:rPr>
                <w:color w:val="000000"/>
              </w:rPr>
              <w:t>)</w:t>
            </w:r>
          </w:p>
        </w:tc>
      </w:tr>
      <w:tr>
        <w:trPr/>
        <w:tc>
          <w:tcPr>
            <w:tcW w:w="1160" w:type="dxa"/>
            <w:tcBorders/>
            <w:shd w:fill="CCEEFF" w:val="clear"/>
            <w:vAlign w:val="bottom"/>
          </w:tcPr>
          <w:p>
            <w:pPr>
              <w:pStyle w:val="TableContents"/>
              <w:bidi w:val="0"/>
              <w:spacing w:before="0" w:after="0"/>
              <w:ind w:left="360" w:right="0" w:hanging="180"/>
              <w:jc w:val="left"/>
              <w:rPr>
                <w:color w:val="000000"/>
              </w:rPr>
            </w:pPr>
            <w:r>
              <w:rPr>
                <w:color w:val="000000"/>
              </w:rPr>
              <w:t>Units issued to NCI</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0"/>
              <w:jc w:val="right"/>
              <w:rPr>
                <w:color w:val="000000"/>
              </w:rPr>
            </w:pPr>
            <w:r>
              <w:rPr>
                <w:color w:val="000000"/>
              </w:rPr>
              <w:t>104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104</w:t>
            </w:r>
          </w:p>
        </w:tc>
        <w:tc>
          <w:tcPr>
            <w:tcW w:w="110"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ind w:left="360" w:right="0" w:hanging="180"/>
              <w:jc w:val="left"/>
              <w:rPr>
                <w:color w:val="000000"/>
              </w:rPr>
            </w:pPr>
            <w:r>
              <w:rPr>
                <w:color w:val="000000"/>
              </w:rPr>
              <w:t>Issuance of preferred units, net of issuance costs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712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712</w:t>
            </w:r>
          </w:p>
        </w:tc>
        <w:tc>
          <w:tcPr>
            <w:tcW w:w="110"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ind w:left="360" w:right="0" w:hanging="180"/>
              <w:jc w:val="left"/>
              <w:rPr>
                <w:color w:val="000000"/>
              </w:rPr>
            </w:pPr>
            <w:r>
              <w:rPr>
                <w:color w:val="000000"/>
              </w:rPr>
              <w:t>Unit-based compensation</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0"/>
              <w:jc w:val="right"/>
              <w:rPr>
                <w:color w:val="000000"/>
              </w:rPr>
            </w:pPr>
            <w:r>
              <w:rPr>
                <w:color w:val="000000"/>
              </w:rPr>
              <w:t>103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153</w:t>
            </w:r>
          </w:p>
        </w:tc>
        <w:tc>
          <w:tcPr>
            <w:tcW w:w="110"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(458</w:t>
            </w:r>
          </w:p>
        </w:tc>
        <w:tc>
          <w:tcPr>
            <w:tcW w:w="95" w:type="dxa"/>
            <w:tcBorders>
              <w:bottom w:val="single" w:sz="12" w:space="0" w:color="000000"/>
            </w:tcBorders>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(458</w:t>
            </w:r>
          </w:p>
        </w:tc>
        <w:tc>
          <w:tcPr>
            <w:tcW w:w="110" w:type="dxa"/>
            <w:tcBorders/>
            <w:vAlign w:val="bottom"/>
          </w:tcPr>
          <w:p>
            <w:pPr>
              <w:pStyle w:val="TableContents"/>
              <w:bidi w:val="0"/>
              <w:spacing w:before="0" w:after="0"/>
              <w:jc w:val="left"/>
              <w:rPr>
                <w:color w:val="000000"/>
              </w:rPr>
            </w:pPr>
            <w:r>
              <w:rPr>
                <w:color w:val="000000"/>
              </w:rPr>
              <w:t>)</w:t>
            </w:r>
          </w:p>
        </w:tc>
      </w:tr>
      <w:tr>
        <w:trPr/>
        <w:tc>
          <w:tcPr>
            <w:tcW w:w="1160" w:type="dxa"/>
            <w:tcBorders/>
            <w:shd w:fill="CCEEFF" w:val="clear"/>
            <w:vAlign w:val="bottom"/>
          </w:tcPr>
          <w:p>
            <w:pPr>
              <w:pStyle w:val="TableContents"/>
              <w:bidi w:val="0"/>
              <w:spacing w:before="0" w:after="0"/>
              <w:ind w:left="180" w:right="0" w:hanging="180"/>
              <w:jc w:val="left"/>
              <w:rPr>
                <w:b/>
                <w:color w:val="000000"/>
              </w:rPr>
            </w:pPr>
            <w:r>
              <w:rPr>
                <w:b/>
                <w:color w:val="000000"/>
              </w:rPr>
              <w:t>March 31, 2023</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b/>
                <w:color w:val="000000"/>
              </w:rPr>
            </w:pPr>
            <w:r>
              <w:rPr>
                <w:b/>
                <w:color w:val="000000"/>
              </w:rPr>
              <w:t>21,515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b/>
                <w:color w:val="000000"/>
              </w:rPr>
            </w:pPr>
            <w:r>
              <w:rPr>
                <w:b/>
                <w:color w:val="000000"/>
              </w:rPr>
              <w:t>3,323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b/>
                <w:color w:val="000000"/>
              </w:rPr>
            </w:pPr>
            <w:r>
              <w:rPr>
                <w:b/>
                <w:color w:val="000000"/>
              </w:rPr>
              <w:t>1,950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b/>
                <w:color w:val="000000"/>
              </w:rPr>
            </w:pPr>
            <w:r>
              <w:rPr>
                <w:b/>
                <w:color w:val="000000"/>
              </w:rPr>
              <w:t>689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b/>
                <w:color w:val="000000"/>
              </w:rPr>
            </w:pPr>
            <w:r>
              <w:rPr>
                <w:b/>
                <w:color w:val="000000"/>
              </w:rPr>
              <w:t>(42,595</w:t>
            </w:r>
          </w:p>
        </w:tc>
        <w:tc>
          <w:tcPr>
            <w:tcW w:w="95" w:type="dxa"/>
            <w:tcBorders/>
            <w:shd w:fill="CCEEFF" w:val="clear"/>
            <w:vAlign w:val="bottom"/>
          </w:tcPr>
          <w:p>
            <w:pPr>
              <w:pStyle w:val="TableContents"/>
              <w:bidi w:val="0"/>
              <w:spacing w:before="0" w:after="0"/>
              <w:jc w:val="left"/>
              <w:rPr>
                <w:b/>
                <w:color w:val="000000"/>
              </w:rPr>
            </w:pPr>
            <w:r>
              <w:rPr>
                <w:b/>
                <w:color w:val="000000"/>
              </w:rPr>
              <w:t>)</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0"/>
              <w:jc w:val="right"/>
              <w:rPr>
                <w:b/>
                <w:color w:val="000000"/>
              </w:rPr>
            </w:pPr>
            <w:r>
              <w:rPr>
                <w:b/>
                <w:color w:val="000000"/>
              </w:rPr>
              <w:t>840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b/>
                <w:color w:val="000000"/>
              </w:rPr>
            </w:pPr>
            <w:r>
              <w:rPr>
                <w:b/>
                <w:color w:val="000000"/>
              </w:rPr>
              <w:t>(14,278</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r>
        <w:trPr/>
        <w:tc>
          <w:tcPr>
            <w:tcW w:w="1160" w:type="dxa"/>
            <w:tcBorders/>
            <w:vAlign w:val="bottom"/>
          </w:tcPr>
          <w:p>
            <w:pPr>
              <w:pStyle w:val="TableContents"/>
              <w:bidi w:val="0"/>
              <w:spacing w:before="0" w:after="0"/>
              <w:ind w:left="360" w:right="0" w:hanging="180"/>
              <w:jc w:val="left"/>
              <w:rPr>
                <w:color w:val="000000"/>
              </w:rPr>
            </w:pPr>
            <w:r>
              <w:rPr>
                <w:color w:val="000000"/>
              </w:rPr>
              <w:t>Net loss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4,594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0"/>
              <w:jc w:val="right"/>
              <w:rPr>
                <w:color w:val="000000"/>
              </w:rPr>
            </w:pPr>
            <w:r>
              <w:rPr>
                <w:color w:val="000000"/>
              </w:rPr>
              <w:t>(33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4,561</w:t>
            </w:r>
          </w:p>
        </w:tc>
        <w:tc>
          <w:tcPr>
            <w:tcW w:w="110"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ind w:left="360" w:right="0" w:hanging="180"/>
              <w:jc w:val="left"/>
              <w:rPr>
                <w:color w:val="000000"/>
              </w:rPr>
            </w:pPr>
            <w:r>
              <w:rPr>
                <w:color w:val="000000"/>
              </w:rPr>
              <w:t>Issuance of preferred units, net of issuance costs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2,599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2,599</w:t>
            </w:r>
          </w:p>
        </w:tc>
        <w:tc>
          <w:tcPr>
            <w:tcW w:w="110"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ind w:left="360" w:right="0" w:hanging="180"/>
              <w:jc w:val="left"/>
              <w:rPr>
                <w:color w:val="000000"/>
              </w:rPr>
            </w:pPr>
            <w:r>
              <w:rPr>
                <w:color w:val="000000"/>
              </w:rPr>
              <w:t>Unit-based compensation</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0"/>
              <w:jc w:val="right"/>
              <w:rPr>
                <w:color w:val="000000"/>
              </w:rPr>
            </w:pPr>
            <w:r>
              <w:rPr>
                <w:color w:val="000000"/>
              </w:rPr>
              <w:t>133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185</w:t>
            </w:r>
          </w:p>
        </w:tc>
        <w:tc>
          <w:tcPr>
            <w:tcW w:w="110"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(7,454</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(7,454</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1160" w:type="dxa"/>
            <w:tcBorders/>
            <w:vAlign w:val="bottom"/>
          </w:tcPr>
          <w:p>
            <w:pPr>
              <w:pStyle w:val="TableContents"/>
              <w:bidi w:val="0"/>
              <w:spacing w:before="0" w:after="0"/>
              <w:ind w:left="180" w:right="0" w:hanging="180"/>
              <w:jc w:val="left"/>
              <w:rPr>
                <w:b/>
                <w:color w:val="000000"/>
              </w:rPr>
            </w:pPr>
            <w:r>
              <w:rPr>
                <w:b/>
                <w:color w:val="000000"/>
              </w:rPr>
              <w:t>June 30, 2023</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b/>
                <w:color w:val="000000"/>
              </w:rPr>
            </w:pPr>
            <w:r>
              <w:rPr>
                <w:b/>
                <w:color w:val="000000"/>
              </w:rPr>
              <w:t>24,114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b/>
                <w:color w:val="000000"/>
              </w:rPr>
            </w:pPr>
            <w:r>
              <w:rPr>
                <w:b/>
                <w:color w:val="000000"/>
              </w:rPr>
              <w:t>3,323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b/>
                <w:color w:val="000000"/>
              </w:rPr>
            </w:pPr>
            <w:r>
              <w:rPr>
                <w:b/>
                <w:color w:val="000000"/>
              </w:rPr>
              <w:t>1,950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b/>
                <w:color w:val="000000"/>
              </w:rPr>
            </w:pPr>
            <w:r>
              <w:rPr>
                <w:b/>
                <w:color w:val="000000"/>
              </w:rPr>
              <w:t>741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b/>
                <w:color w:val="000000"/>
              </w:rPr>
            </w:pPr>
            <w:r>
              <w:rPr>
                <w:b/>
                <w:color w:val="000000"/>
              </w:rPr>
              <w:t>(45,455</w:t>
            </w:r>
          </w:p>
        </w:tc>
        <w:tc>
          <w:tcPr>
            <w:tcW w:w="95" w:type="dxa"/>
            <w:tcBorders/>
            <w:vAlign w:val="bottom"/>
          </w:tcPr>
          <w:p>
            <w:pPr>
              <w:pStyle w:val="TableContents"/>
              <w:bidi w:val="0"/>
              <w:spacing w:before="0" w:after="0"/>
              <w:jc w:val="left"/>
              <w:rPr>
                <w:b/>
                <w:color w:val="000000"/>
              </w:rPr>
            </w:pPr>
            <w:r>
              <w:rPr>
                <w:b/>
                <w:color w:val="000000"/>
              </w:rPr>
              <w:t>)</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0"/>
              <w:jc w:val="right"/>
              <w:rPr>
                <w:b/>
                <w:color w:val="000000"/>
              </w:rPr>
            </w:pPr>
            <w:r>
              <w:rPr>
                <w:b/>
                <w:color w:val="000000"/>
              </w:rPr>
              <w:t>940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b/>
                <w:color w:val="000000"/>
              </w:rPr>
            </w:pPr>
            <w:r>
              <w:rPr>
                <w:b/>
                <w:color w:val="000000"/>
              </w:rPr>
              <w:t>(14,387</w:t>
            </w:r>
          </w:p>
        </w:tc>
        <w:tc>
          <w:tcPr>
            <w:tcW w:w="110" w:type="dxa"/>
            <w:tcBorders/>
            <w:vAlign w:val="bottom"/>
          </w:tcPr>
          <w:p>
            <w:pPr>
              <w:pStyle w:val="TableContents"/>
              <w:bidi w:val="0"/>
              <w:spacing w:before="0" w:after="0"/>
              <w:jc w:val="left"/>
              <w:rPr>
                <w:b/>
                <w:color w:val="000000"/>
              </w:rPr>
            </w:pPr>
            <w:r>
              <w:rPr>
                <w:b/>
                <w:color w:val="000000"/>
              </w:rPr>
              <w:t>)</w:t>
            </w:r>
          </w:p>
        </w:tc>
      </w:tr>
      <w:tr>
        <w:trPr/>
        <w:tc>
          <w:tcPr>
            <w:tcW w:w="1160" w:type="dxa"/>
            <w:tcBorders/>
            <w:shd w:fill="CCEEFF" w:val="clear"/>
            <w:vAlign w:val="bottom"/>
          </w:tcPr>
          <w:p>
            <w:pPr>
              <w:pStyle w:val="TableContents"/>
              <w:bidi w:val="0"/>
              <w:spacing w:before="0" w:after="0"/>
              <w:ind w:left="360" w:right="0" w:hanging="180"/>
              <w:jc w:val="left"/>
              <w:rPr>
                <w:color w:val="000000"/>
              </w:rPr>
            </w:pPr>
            <w:r>
              <w:rPr>
                <w:color w:val="000000"/>
              </w:rPr>
              <w:t>Net loss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(18,871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0"/>
              <w:jc w:val="right"/>
              <w:rPr>
                <w:color w:val="000000"/>
              </w:rPr>
            </w:pPr>
            <w:r>
              <w:rPr>
                <w:color w:val="000000"/>
              </w:rPr>
              <w:t>(45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(18,916</w:t>
            </w:r>
          </w:p>
        </w:tc>
        <w:tc>
          <w:tcPr>
            <w:tcW w:w="110" w:type="dxa"/>
            <w:tcBorders/>
            <w:shd w:fill="CCEEFF" w:val="clear"/>
            <w:vAlign w:val="bottom"/>
          </w:tcPr>
          <w:p>
            <w:pPr>
              <w:pStyle w:val="TableContents"/>
              <w:bidi w:val="0"/>
              <w:spacing w:before="0" w:after="0"/>
              <w:jc w:val="left"/>
              <w:rPr>
                <w:color w:val="000000"/>
              </w:rPr>
            </w:pPr>
            <w:r>
              <w:rPr>
                <w:color w:val="000000"/>
              </w:rPr>
              <w:t>)</w:t>
            </w:r>
          </w:p>
        </w:tc>
      </w:tr>
      <w:tr>
        <w:trPr/>
        <w:tc>
          <w:tcPr>
            <w:tcW w:w="1160" w:type="dxa"/>
            <w:tcBorders/>
            <w:vAlign w:val="bottom"/>
          </w:tcPr>
          <w:p>
            <w:pPr>
              <w:pStyle w:val="TableContents"/>
              <w:bidi w:val="0"/>
              <w:spacing w:before="0" w:after="0"/>
              <w:ind w:left="360" w:right="0" w:hanging="180"/>
              <w:jc w:val="left"/>
              <w:rPr>
                <w:color w:val="000000"/>
              </w:rPr>
            </w:pPr>
            <w:r>
              <w:rPr>
                <w:color w:val="000000"/>
              </w:rPr>
              <w:t>Units issued to NCI</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0"/>
              <w:jc w:val="right"/>
              <w:rPr>
                <w:color w:val="000000"/>
              </w:rPr>
            </w:pPr>
            <w:r>
              <w:rPr>
                <w:color w:val="000000"/>
              </w:rPr>
              <w:t>101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101</w:t>
            </w:r>
          </w:p>
        </w:tc>
        <w:tc>
          <w:tcPr>
            <w:tcW w:w="110"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ind w:left="360" w:right="0" w:hanging="180"/>
              <w:jc w:val="left"/>
              <w:rPr>
                <w:color w:val="000000"/>
              </w:rPr>
            </w:pPr>
            <w:r>
              <w:rPr>
                <w:color w:val="000000"/>
              </w:rPr>
              <w:t>Issuance of preferred units, net of issuance costs</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5,038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5,038</w:t>
            </w:r>
          </w:p>
        </w:tc>
        <w:tc>
          <w:tcPr>
            <w:tcW w:w="110"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ind w:left="360" w:right="0" w:hanging="180"/>
              <w:jc w:val="left"/>
              <w:rPr>
                <w:color w:val="000000"/>
              </w:rPr>
            </w:pPr>
            <w:r>
              <w:rPr>
                <w:color w:val="000000"/>
              </w:rPr>
              <w:t>Tax advanced distributions to members</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0"/>
              <w:jc w:val="right"/>
              <w:rPr>
                <w:color w:val="000000"/>
              </w:rPr>
            </w:pPr>
            <w:r>
              <w:rPr>
                <w:color w:val="000000"/>
              </w:rPr>
              <w:t>(243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color w:val="000000"/>
              </w:rPr>
            </w:pPr>
            <w:r>
              <w:rPr>
                <w:color w:val="000000"/>
              </w:rPr>
              <w:t>(243</w:t>
            </w:r>
          </w:p>
        </w:tc>
        <w:tc>
          <w:tcPr>
            <w:tcW w:w="110" w:type="dxa"/>
            <w:tcBorders/>
            <w:vAlign w:val="bottom"/>
          </w:tcPr>
          <w:p>
            <w:pPr>
              <w:pStyle w:val="TableContents"/>
              <w:bidi w:val="0"/>
              <w:spacing w:before="0" w:after="0"/>
              <w:jc w:val="left"/>
              <w:rPr>
                <w:color w:val="000000"/>
              </w:rPr>
            </w:pPr>
            <w:r>
              <w:rPr>
                <w:color w:val="000000"/>
              </w:rPr>
              <w:t>)</w:t>
            </w:r>
          </w:p>
        </w:tc>
      </w:tr>
      <w:tr>
        <w:trPr/>
        <w:tc>
          <w:tcPr>
            <w:tcW w:w="1160" w:type="dxa"/>
            <w:tcBorders/>
            <w:shd w:fill="CCEEFF" w:val="clear"/>
            <w:vAlign w:val="bottom"/>
          </w:tcPr>
          <w:p>
            <w:pPr>
              <w:pStyle w:val="TableContents"/>
              <w:bidi w:val="0"/>
              <w:spacing w:before="0" w:after="0"/>
              <w:ind w:left="360" w:right="0" w:hanging="180"/>
              <w:jc w:val="left"/>
              <w:rPr>
                <w:color w:val="000000"/>
              </w:rPr>
            </w:pPr>
            <w:r>
              <w:rPr>
                <w:color w:val="000000"/>
              </w:rPr>
              <w:t>Unit-based compensation</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right"/>
              <w:rPr>
                <w:color w:val="000000"/>
              </w:rPr>
            </w:pPr>
            <w:r>
              <w:rPr>
                <w:color w:val="000000"/>
              </w:rPr>
              <w:t>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0"/>
              <w:jc w:val="right"/>
              <w:rPr>
                <w:color w:val="000000"/>
              </w:rPr>
            </w:pPr>
            <w:r>
              <w:rPr>
                <w:color w:val="000000"/>
              </w:rPr>
              <w:t>244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295</w:t>
            </w:r>
          </w:p>
        </w:tc>
        <w:tc>
          <w:tcPr>
            <w:tcW w:w="110"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83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50" w:type="dxa"/>
            <w:tcBorders>
              <w:bottom w:val="single" w:sz="12" w:space="0" w:color="000000"/>
            </w:tcBorders>
            <w:tcMar>
              <w:bottom w:w="28" w:type="dxa"/>
            </w:tcMar>
            <w:vAlign w:val="bottom"/>
          </w:tcPr>
          <w:p>
            <w:pPr>
              <w:pStyle w:val="TableContents"/>
              <w:bidi w:val="0"/>
              <w:spacing w:before="0" w:after="283"/>
              <w:jc w:val="left"/>
              <w:rPr/>
            </w:pPr>
            <w:r>
              <w:rPr/>
              <w:t> </w:t>
            </w:r>
          </w:p>
        </w:tc>
        <w:tc>
          <w:tcPr>
            <w:tcW w:w="4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10,149</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10,149</w:t>
            </w:r>
          </w:p>
        </w:tc>
        <w:tc>
          <w:tcPr>
            <w:tcW w:w="110" w:type="dxa"/>
            <w:tcBorders/>
            <w:vAlign w:val="bottom"/>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ind w:left="180" w:right="0" w:hanging="180"/>
              <w:jc w:val="left"/>
              <w:rPr>
                <w:b/>
                <w:color w:val="000000"/>
              </w:rPr>
            </w:pPr>
            <w:r>
              <w:rPr>
                <w:b/>
                <w:color w:val="000000"/>
              </w:rPr>
              <w:t>September 30, 2023</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83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29,152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3,323</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1,950</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41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792</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156"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(54,420</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3"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04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34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36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1,240</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080"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(17,963</w:t>
            </w:r>
          </w:p>
        </w:tc>
        <w:tc>
          <w:tcPr>
            <w:tcW w:w="110" w:type="dxa"/>
            <w:tcBorders/>
            <w:shd w:fill="CCEEFF" w:val="clear"/>
            <w:vAlign w:val="bottom"/>
          </w:tcPr>
          <w:p>
            <w:pPr>
              <w:pStyle w:val="TableContents"/>
              <w:bidi w:val="0"/>
              <w:spacing w:before="0" w:after="0"/>
              <w:jc w:val="left"/>
              <w:rPr>
                <w:b/>
                <w:color w:val="000000"/>
              </w:rPr>
            </w:pPr>
            <w:r>
              <w:rPr>
                <w:b/>
                <w:color w:val="000000"/>
              </w:rPr>
              <w:t>)</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LLC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spacing w:before="0" w:after="0"/>
        <w:jc w:val="center"/>
        <w:rPr>
          <w:rFonts w:ascii="Times New Roman" w:hAnsi="Times New Roman"/>
          <w:b/>
          <w:color w:val="000000"/>
        </w:rPr>
      </w:pPr>
      <w:r>
        <w:rPr>
          <w:rFonts w:ascii="Times New Roman" w:hAnsi="Times New Roman"/>
          <w:b/>
          <w:color w:val="000000"/>
        </w:rPr>
      </w:r>
    </w:p>
    <w:p>
      <w:pPr>
        <w:pStyle w:val="Normal"/>
        <w:bidi w:val="0"/>
        <w:spacing w:before="0" w:after="0"/>
        <w:jc w:val="left"/>
        <w:rPr>
          <w:sz w:val="4"/>
          <w:szCs w:val="4"/>
        </w:rPr>
      </w:pPr>
      <w:r>
        <w:rPr>
          <w:sz w:val="4"/>
          <w:szCs w:val="4"/>
        </w:rPr>
      </w:r>
      <w:bookmarkStart w:id="37" w:name="z07385bb6d5704e339a8abad4597ef2e8"/>
      <w:bookmarkStart w:id="38" w:name="z07385bb6d5704e339a8abad4597ef2e8"/>
      <w:bookmarkEnd w:id="38"/>
    </w:p>
    <w:tbl>
      <w:tblPr>
        <w:tblW w:w="10205" w:type="dxa"/>
        <w:jc w:val="left"/>
        <w:tblInd w:w="0" w:type="dxa"/>
        <w:tblLayout w:type="fixed"/>
        <w:tblCellMar>
          <w:top w:w="0" w:type="dxa"/>
          <w:left w:w="0" w:type="dxa"/>
          <w:bottom w:w="0" w:type="dxa"/>
          <w:right w:w="0" w:type="dxa"/>
        </w:tblCellMar>
      </w:tblPr>
      <w:tblGrid>
        <w:gridCol w:w="6935"/>
        <w:gridCol w:w="60"/>
        <w:gridCol w:w="222"/>
        <w:gridCol w:w="1204"/>
        <w:gridCol w:w="150"/>
        <w:gridCol w:w="95"/>
        <w:gridCol w:w="222"/>
        <w:gridCol w:w="1204"/>
        <w:gridCol w:w="113"/>
      </w:tblGrid>
      <w:tr>
        <w:trPr/>
        <w:tc>
          <w:tcPr>
            <w:tcW w:w="6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Nine months ended September 30,</w:t>
            </w:r>
          </w:p>
        </w:tc>
        <w:tc>
          <w:tcPr>
            <w:tcW w:w="113" w:type="dxa"/>
            <w:tcBorders/>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113" w:type="dxa"/>
            <w:tcBorders/>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180" w:right="0" w:hanging="180"/>
              <w:jc w:val="left"/>
              <w:rPr>
                <w:b/>
                <w:color w:val="000000"/>
              </w:rPr>
            </w:pPr>
            <w:r>
              <w:rPr>
                <w:b/>
                <w:color w:val="000000"/>
              </w:rPr>
              <w:t>Cash Flows Used in Operating Activities</w:t>
            </w:r>
          </w:p>
        </w:tc>
        <w:tc>
          <w:tcPr>
            <w:tcW w:w="60"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26"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Net loss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0"/>
              <w:jc w:val="left"/>
              <w:rPr>
                <w:color w:val="000000"/>
              </w:rPr>
            </w:pPr>
            <w:r>
              <w:rPr>
                <w:color w:val="000000"/>
              </w:rPr>
              <w:t>$</w:t>
            </w:r>
          </w:p>
        </w:tc>
        <w:tc>
          <w:tcPr>
            <w:tcW w:w="1204" w:type="dxa"/>
            <w:tcBorders/>
            <w:shd w:fill="CCEEFF" w:val="clear"/>
            <w:vAlign w:val="bottom"/>
          </w:tcPr>
          <w:p>
            <w:pPr>
              <w:pStyle w:val="TableContents"/>
              <w:bidi w:val="0"/>
              <w:spacing w:before="0" w:after="0"/>
              <w:jc w:val="right"/>
              <w:rPr>
                <w:color w:val="000000"/>
              </w:rPr>
            </w:pPr>
            <w:r>
              <w:rPr>
                <w:color w:val="000000"/>
              </w:rPr>
              <w:t>(26,481</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0"/>
              <w:jc w:val="left"/>
              <w:rPr>
                <w:color w:val="000000"/>
              </w:rPr>
            </w:pPr>
            <w:r>
              <w:rPr>
                <w:color w:val="000000"/>
              </w:rPr>
              <w:t>$</w:t>
            </w:r>
          </w:p>
        </w:tc>
        <w:tc>
          <w:tcPr>
            <w:tcW w:w="1204" w:type="dxa"/>
            <w:tcBorders/>
            <w:shd w:fill="CCEEFF" w:val="clear"/>
            <w:vAlign w:val="bottom"/>
          </w:tcPr>
          <w:p>
            <w:pPr>
              <w:pStyle w:val="TableContents"/>
              <w:bidi w:val="0"/>
              <w:spacing w:before="0" w:after="0"/>
              <w:jc w:val="right"/>
              <w:rPr>
                <w:color w:val="000000"/>
              </w:rPr>
            </w:pPr>
            <w:r>
              <w:rPr>
                <w:color w:val="000000"/>
              </w:rPr>
              <w:t>(17,951</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6935" w:type="dxa"/>
            <w:tcBorders/>
            <w:vAlign w:val="bottom"/>
          </w:tcPr>
          <w:p>
            <w:pPr>
              <w:pStyle w:val="TableContents"/>
              <w:bidi w:val="0"/>
              <w:spacing w:before="0" w:after="0"/>
              <w:ind w:left="360" w:right="0" w:hanging="180"/>
              <w:jc w:val="left"/>
              <w:rPr>
                <w:i/>
                <w:color w:val="000000"/>
              </w:rPr>
            </w:pPr>
            <w:r>
              <w:rPr>
                <w:i/>
                <w:color w:val="000000"/>
              </w:rPr>
              <w:t>Adjustments to reconcile net loss to net cash and cash equivalents used in operating activities:</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Unit-based compensation</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1,056</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633</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360" w:right="0" w:hanging="180"/>
              <w:jc w:val="left"/>
              <w:rPr>
                <w:color w:val="000000"/>
              </w:rPr>
            </w:pPr>
            <w:r>
              <w:rPr>
                <w:color w:val="000000"/>
              </w:rPr>
              <w:t>Interest income on debt securities - related party</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(110</w:t>
            </w:r>
          </w:p>
        </w:tc>
        <w:tc>
          <w:tcPr>
            <w:tcW w:w="150" w:type="dxa"/>
            <w:tcBorders/>
            <w:vAlign w:val="bottom"/>
          </w:tcPr>
          <w:p>
            <w:pPr>
              <w:pStyle w:val="TableContents"/>
              <w:bidi w:val="0"/>
              <w:spacing w:before="0" w:after="0"/>
              <w:jc w:val="lef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Accrued unpaid interest on note payable</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931</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397</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360" w:right="0" w:hanging="180"/>
              <w:jc w:val="left"/>
              <w:rPr>
                <w:color w:val="000000"/>
              </w:rPr>
            </w:pPr>
            <w:r>
              <w:rPr>
                <w:color w:val="000000"/>
              </w:rPr>
              <w:t>Change in fair value of embedded derivative liability</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478</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492</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Change in fair value of payables due to related parties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468</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(99</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6935" w:type="dxa"/>
            <w:tcBorders/>
            <w:vAlign w:val="bottom"/>
          </w:tcPr>
          <w:p>
            <w:pPr>
              <w:pStyle w:val="TableContents"/>
              <w:bidi w:val="0"/>
              <w:spacing w:before="0" w:after="0"/>
              <w:ind w:left="360" w:right="0" w:hanging="180"/>
              <w:jc w:val="left"/>
              <w:rPr>
                <w:color w:val="000000"/>
              </w:rPr>
            </w:pPr>
            <w:r>
              <w:rPr>
                <w:color w:val="000000"/>
              </w:rPr>
              <w:t>Non-cash interest expense on notes payable</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351</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252</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Net (gain) loss on investments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(11,547</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2,718</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360" w:right="0" w:hanging="180"/>
              <w:jc w:val="left"/>
              <w:rPr>
                <w:color w:val="000000"/>
              </w:rPr>
            </w:pPr>
            <w:r>
              <w:rPr>
                <w:color w:val="000000"/>
              </w:rPr>
              <w:t>Equity method investment loss (gain)</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(893</w:t>
            </w:r>
          </w:p>
        </w:tc>
        <w:tc>
          <w:tcPr>
            <w:tcW w:w="150" w:type="dxa"/>
            <w:tcBorders/>
            <w:vAlign w:val="bottom"/>
          </w:tcPr>
          <w:p>
            <w:pPr>
              <w:pStyle w:val="TableContents"/>
              <w:bidi w:val="0"/>
              <w:spacing w:before="0" w:after="0"/>
              <w:jc w:val="lef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291</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Loss on conversion of promissory notes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1,119</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360" w:right="0" w:hanging="180"/>
              <w:jc w:val="left"/>
              <w:rPr>
                <w:color w:val="000000"/>
              </w:rPr>
            </w:pPr>
            <w:r>
              <w:rPr>
                <w:color w:val="000000"/>
              </w:rPr>
              <w:t>Depreciation expense</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146</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Non-cash rent costs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186</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133</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360" w:right="0" w:hanging="180"/>
              <w:jc w:val="left"/>
              <w:rPr>
                <w:color w:val="000000"/>
              </w:rPr>
            </w:pPr>
            <w:r>
              <w:rPr>
                <w:color w:val="000000"/>
              </w:rPr>
              <w:t>Amortization of debt issuance costs - related party</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Other, net</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27</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360" w:right="0" w:hanging="180"/>
              <w:jc w:val="left"/>
              <w:rPr>
                <w:i/>
                <w:color w:val="000000"/>
              </w:rPr>
            </w:pPr>
            <w:r>
              <w:rPr>
                <w:i/>
                <w:color w:val="000000"/>
              </w:rPr>
              <w:t>Changes in operating assets and liabilities:</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540" w:right="0" w:hanging="180"/>
              <w:jc w:val="left"/>
              <w:rPr>
                <w:color w:val="000000"/>
              </w:rPr>
            </w:pPr>
            <w:r>
              <w:rPr>
                <w:color w:val="000000"/>
              </w:rPr>
              <w:t>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(1,605</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(930</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6935" w:type="dxa"/>
            <w:tcBorders/>
            <w:vAlign w:val="bottom"/>
          </w:tcPr>
          <w:p>
            <w:pPr>
              <w:pStyle w:val="TableContents"/>
              <w:bidi w:val="0"/>
              <w:spacing w:before="0" w:after="0"/>
              <w:ind w:left="540" w:right="0" w:hanging="180"/>
              <w:jc w:val="left"/>
              <w:rPr>
                <w:color w:val="000000"/>
              </w:rPr>
            </w:pPr>
            <w:r>
              <w:rPr>
                <w:color w:val="000000"/>
              </w:rPr>
              <w:t>Inventory</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(2,824</w:t>
            </w:r>
          </w:p>
        </w:tc>
        <w:tc>
          <w:tcPr>
            <w:tcW w:w="150" w:type="dxa"/>
            <w:tcBorders/>
            <w:vAlign w:val="bottom"/>
          </w:tcPr>
          <w:p>
            <w:pPr>
              <w:pStyle w:val="TableContents"/>
              <w:bidi w:val="0"/>
              <w:spacing w:before="0" w:after="0"/>
              <w:jc w:val="lef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540" w:right="0" w:hanging="180"/>
              <w:jc w:val="left"/>
              <w:rPr>
                <w:color w:val="000000"/>
              </w:rPr>
            </w:pPr>
            <w:r>
              <w:rPr>
                <w:color w:val="000000"/>
              </w:rPr>
              <w:t>Accounts payable</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4,863</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(32</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6935" w:type="dxa"/>
            <w:tcBorders/>
            <w:vAlign w:val="bottom"/>
          </w:tcPr>
          <w:p>
            <w:pPr>
              <w:pStyle w:val="TableContents"/>
              <w:bidi w:val="0"/>
              <w:spacing w:before="0" w:after="0"/>
              <w:ind w:left="540" w:right="0" w:hanging="180"/>
              <w:jc w:val="left"/>
              <w:rPr>
                <w:color w:val="000000"/>
              </w:rPr>
            </w:pPr>
            <w:r>
              <w:rPr>
                <w:color w:val="000000"/>
              </w:rPr>
              <w:t>Accrued employee benefits</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3,838</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2,111</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540" w:right="0" w:hanging="180"/>
              <w:jc w:val="left"/>
              <w:rPr>
                <w:color w:val="000000"/>
              </w:rPr>
            </w:pPr>
            <w:r>
              <w:rPr>
                <w:color w:val="000000"/>
              </w:rPr>
              <w:t>Accrued expenses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674</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113</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540" w:right="0" w:hanging="180"/>
              <w:jc w:val="left"/>
              <w:rPr>
                <w:color w:val="000000"/>
              </w:rPr>
            </w:pPr>
            <w:r>
              <w:rPr>
                <w:color w:val="000000"/>
              </w:rPr>
              <w:t>Other current liabilities</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(147</w:t>
            </w:r>
          </w:p>
        </w:tc>
        <w:tc>
          <w:tcPr>
            <w:tcW w:w="150" w:type="dxa"/>
            <w:tcBorders/>
            <w:vAlign w:val="bottom"/>
          </w:tcPr>
          <w:p>
            <w:pPr>
              <w:pStyle w:val="TableContents"/>
              <w:bidi w:val="0"/>
              <w:spacing w:before="0" w:after="0"/>
              <w:jc w:val="lef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(89</w:t>
            </w:r>
          </w:p>
        </w:tc>
        <w:tc>
          <w:tcPr>
            <w:tcW w:w="113" w:type="dxa"/>
            <w:tcBorders/>
            <w:vAlign w:val="bottom"/>
          </w:tcPr>
          <w:p>
            <w:pPr>
              <w:pStyle w:val="TableContents"/>
              <w:bidi w:val="0"/>
              <w:spacing w:before="0" w:after="0"/>
              <w:jc w:val="left"/>
              <w:rPr>
                <w:color w:val="000000"/>
              </w:rPr>
            </w:pPr>
            <w:r>
              <w:rPr>
                <w:color w:val="000000"/>
              </w:rPr>
              <w:t>)</w:t>
            </w:r>
          </w:p>
        </w:tc>
      </w:tr>
      <w:tr>
        <w:trPr/>
        <w:tc>
          <w:tcPr>
            <w:tcW w:w="6935" w:type="dxa"/>
            <w:tcBorders/>
            <w:shd w:fill="CCEEFF" w:val="clear"/>
            <w:vAlign w:val="bottom"/>
          </w:tcPr>
          <w:p>
            <w:pPr>
              <w:pStyle w:val="TableContents"/>
              <w:bidi w:val="0"/>
              <w:spacing w:before="0" w:after="0"/>
              <w:ind w:left="540" w:right="0" w:hanging="180"/>
              <w:jc w:val="left"/>
              <w:rPr>
                <w:color w:val="000000"/>
              </w:rPr>
            </w:pPr>
            <w:r>
              <w:rPr>
                <w:color w:val="000000"/>
              </w:rPr>
              <w:t>Liability for future preferred stock issuance</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10,870</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540" w:right="0" w:hanging="180"/>
              <w:jc w:val="left"/>
              <w:rPr>
                <w:color w:val="000000"/>
              </w:rPr>
            </w:pPr>
            <w:r>
              <w:rPr>
                <w:color w:val="000000"/>
              </w:rPr>
              <w:t>Other assets</w:t>
            </w:r>
          </w:p>
        </w:tc>
        <w:tc>
          <w:tcPr>
            <w:tcW w:w="60"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w:t>
            </w:r>
          </w:p>
        </w:tc>
        <w:tc>
          <w:tcPr>
            <w:tcW w:w="150" w:type="dxa"/>
            <w:tcBorders/>
            <w:vAlign w:val="bottom"/>
          </w:tcPr>
          <w:p>
            <w:pPr>
              <w:pStyle w:val="TableContents"/>
              <w:bidi w:val="0"/>
              <w:spacing w:before="0" w:after="0"/>
              <w:jc w:val="lef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(202</w:t>
            </w:r>
          </w:p>
        </w:tc>
        <w:tc>
          <w:tcPr>
            <w:tcW w:w="113" w:type="dxa"/>
            <w:tcBorders/>
            <w:vAlign w:val="bottom"/>
          </w:tcPr>
          <w:p>
            <w:pPr>
              <w:pStyle w:val="TableContents"/>
              <w:bidi w:val="0"/>
              <w:spacing w:before="0" w:after="0"/>
              <w:jc w:val="left"/>
              <w:rPr>
                <w:color w:val="000000"/>
              </w:rPr>
            </w:pPr>
            <w:r>
              <w:rPr>
                <w:color w:val="000000"/>
              </w:rPr>
              <w:t>)</w:t>
            </w:r>
          </w:p>
        </w:tc>
      </w:tr>
      <w:tr>
        <w:trPr/>
        <w:tc>
          <w:tcPr>
            <w:tcW w:w="6935" w:type="dxa"/>
            <w:tcBorders/>
            <w:shd w:fill="CCEEFF" w:val="clear"/>
            <w:vAlign w:val="bottom"/>
          </w:tcPr>
          <w:p>
            <w:pPr>
              <w:pStyle w:val="TableContents"/>
              <w:bidi w:val="0"/>
              <w:spacing w:before="0" w:after="0"/>
              <w:ind w:left="180" w:right="0" w:hanging="180"/>
              <w:jc w:val="left"/>
              <w:rPr>
                <w:b/>
                <w:color w:val="000000"/>
              </w:rPr>
            </w:pPr>
            <w:r>
              <w:rPr>
                <w:b/>
                <w:color w:val="000000"/>
              </w:rPr>
              <w:t>Net Cash Used in Operating Activities</w:t>
            </w:r>
          </w:p>
        </w:tc>
        <w:tc>
          <w:tcPr>
            <w:tcW w:w="60" w:type="dxa"/>
            <w:tcBorders/>
            <w:shd w:fill="CCEEFF" w:val="clear"/>
            <w:vAlign w:val="bottom"/>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(18,647</w:t>
            </w:r>
          </w:p>
        </w:tc>
        <w:tc>
          <w:tcPr>
            <w:tcW w:w="150" w:type="dxa"/>
            <w:tcBorders/>
            <w:shd w:fill="CCEEFF" w:val="clear"/>
            <w:vAlign w:val="bottom"/>
          </w:tcPr>
          <w:p>
            <w:pPr>
              <w:pStyle w:val="TableContents"/>
              <w:bidi w:val="0"/>
              <w:spacing w:before="0" w:after="0"/>
              <w:jc w:val="left"/>
              <w:rPr>
                <w:b/>
                <w:color w:val="000000"/>
              </w:rPr>
            </w:pPr>
            <w:r>
              <w:rPr>
                <w:b/>
                <w:color w:val="000000"/>
              </w:rPr>
              <w:t>)</w:t>
            </w:r>
          </w:p>
        </w:tc>
        <w:tc>
          <w:tcPr>
            <w:tcW w:w="95" w:type="dxa"/>
            <w:tcBorders/>
            <w:shd w:fill="CCEEFF" w:val="clear"/>
            <w:vAlign w:val="bottom"/>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(12,136</w:t>
            </w:r>
          </w:p>
        </w:tc>
        <w:tc>
          <w:tcPr>
            <w:tcW w:w="113" w:type="dxa"/>
            <w:tcBorders/>
            <w:shd w:fill="CCEEFF" w:val="clear"/>
            <w:vAlign w:val="bottom"/>
          </w:tcPr>
          <w:p>
            <w:pPr>
              <w:pStyle w:val="TableContents"/>
              <w:bidi w:val="0"/>
              <w:spacing w:before="0" w:after="0"/>
              <w:jc w:val="left"/>
              <w:rPr>
                <w:b/>
                <w:color w:val="000000"/>
              </w:rPr>
            </w:pPr>
            <w:r>
              <w:rPr>
                <w:b/>
                <w:color w:val="000000"/>
              </w:rPr>
              <w:t>)</w:t>
            </w:r>
          </w:p>
        </w:tc>
      </w:tr>
      <w:tr>
        <w:trPr/>
        <w:tc>
          <w:tcPr>
            <w:tcW w:w="693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180" w:right="0" w:hanging="180"/>
              <w:jc w:val="left"/>
              <w:rPr>
                <w:b/>
                <w:color w:val="000000"/>
              </w:rPr>
            </w:pPr>
            <w:r>
              <w:rPr>
                <w:b/>
                <w:color w:val="000000"/>
              </w:rPr>
              <w:t>Cash Flows Used in Investing Activities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360" w:right="0" w:hanging="180"/>
              <w:jc w:val="left"/>
              <w:rPr>
                <w:color w:val="000000"/>
              </w:rPr>
            </w:pPr>
            <w:r>
              <w:rPr>
                <w:color w:val="000000"/>
              </w:rPr>
              <w:t>Purchase of shares in equity method investees</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(2,000</w:t>
            </w:r>
          </w:p>
        </w:tc>
        <w:tc>
          <w:tcPr>
            <w:tcW w:w="113" w:type="dxa"/>
            <w:tcBorders/>
            <w:vAlign w:val="bottom"/>
          </w:tcPr>
          <w:p>
            <w:pPr>
              <w:pStyle w:val="TableContents"/>
              <w:bidi w:val="0"/>
              <w:spacing w:before="0" w:after="0"/>
              <w:jc w:val="left"/>
              <w:rPr>
                <w:color w:val="000000"/>
              </w:rPr>
            </w:pPr>
            <w:r>
              <w:rPr>
                <w:color w:val="000000"/>
              </w:rPr>
              <w:t>)</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Contributions to equity method investees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(130</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6935" w:type="dxa"/>
            <w:tcBorders/>
            <w:vAlign w:val="bottom"/>
          </w:tcPr>
          <w:p>
            <w:pPr>
              <w:pStyle w:val="TableContents"/>
              <w:bidi w:val="0"/>
              <w:spacing w:before="0" w:after="0"/>
              <w:ind w:left="360" w:right="0" w:hanging="180"/>
              <w:jc w:val="left"/>
              <w:rPr>
                <w:color w:val="000000"/>
              </w:rPr>
            </w:pPr>
            <w:r>
              <w:rPr>
                <w:color w:val="000000"/>
              </w:rPr>
              <w:t>Investment in debt securities - related party</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(7,400</w:t>
            </w:r>
          </w:p>
        </w:tc>
        <w:tc>
          <w:tcPr>
            <w:tcW w:w="150" w:type="dxa"/>
            <w:tcBorders/>
            <w:vAlign w:val="bottom"/>
          </w:tcPr>
          <w:p>
            <w:pPr>
              <w:pStyle w:val="TableContents"/>
              <w:bidi w:val="0"/>
              <w:spacing w:before="0" w:after="0"/>
              <w:jc w:val="lef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Acquisition of property, plant and equipment</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(736</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(173</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6935" w:type="dxa"/>
            <w:tcBorders/>
            <w:vAlign w:val="bottom"/>
          </w:tcPr>
          <w:p>
            <w:pPr>
              <w:pStyle w:val="TableContents"/>
              <w:bidi w:val="0"/>
              <w:spacing w:before="0" w:after="0"/>
              <w:ind w:left="360" w:right="0" w:hanging="180"/>
              <w:jc w:val="left"/>
              <w:rPr>
                <w:color w:val="000000"/>
              </w:rPr>
            </w:pPr>
            <w:r>
              <w:rPr>
                <w:color w:val="000000"/>
              </w:rPr>
              <w:t>Proceeds received related to PCT stock sale</w:t>
            </w:r>
          </w:p>
        </w:tc>
        <w:tc>
          <w:tcPr>
            <w:tcW w:w="60"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2,314</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708</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180" w:right="0" w:hanging="180"/>
              <w:jc w:val="left"/>
              <w:rPr>
                <w:b/>
                <w:color w:val="000000"/>
              </w:rPr>
            </w:pPr>
            <w:r>
              <w:rPr>
                <w:b/>
                <w:color w:val="000000"/>
              </w:rPr>
              <w:t>Net Cash Used in Investing Activities</w:t>
            </w:r>
          </w:p>
        </w:tc>
        <w:tc>
          <w:tcPr>
            <w:tcW w:w="60" w:type="dxa"/>
            <w:tcBorders/>
            <w:shd w:fill="CCEEFF" w:val="clear"/>
            <w:vAlign w:val="bottom"/>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(5,822</w:t>
            </w:r>
          </w:p>
        </w:tc>
        <w:tc>
          <w:tcPr>
            <w:tcW w:w="150" w:type="dxa"/>
            <w:tcBorders/>
            <w:shd w:fill="CCEEFF" w:val="clear"/>
            <w:vAlign w:val="bottom"/>
          </w:tcPr>
          <w:p>
            <w:pPr>
              <w:pStyle w:val="TableContents"/>
              <w:bidi w:val="0"/>
              <w:spacing w:before="0" w:after="0"/>
              <w:jc w:val="left"/>
              <w:rPr>
                <w:b/>
                <w:color w:val="000000"/>
              </w:rPr>
            </w:pPr>
            <w:r>
              <w:rPr>
                <w:b/>
                <w:color w:val="000000"/>
              </w:rPr>
              <w:t>)</w:t>
            </w:r>
          </w:p>
        </w:tc>
        <w:tc>
          <w:tcPr>
            <w:tcW w:w="95" w:type="dxa"/>
            <w:tcBorders/>
            <w:shd w:fill="CCEEFF" w:val="clear"/>
            <w:vAlign w:val="bottom"/>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(1,595</w:t>
            </w:r>
          </w:p>
        </w:tc>
        <w:tc>
          <w:tcPr>
            <w:tcW w:w="113" w:type="dxa"/>
            <w:tcBorders/>
            <w:shd w:fill="CCEEFF" w:val="clear"/>
            <w:vAlign w:val="bottom"/>
          </w:tcPr>
          <w:p>
            <w:pPr>
              <w:pStyle w:val="TableContents"/>
              <w:bidi w:val="0"/>
              <w:spacing w:before="0" w:after="0"/>
              <w:jc w:val="left"/>
              <w:rPr>
                <w:b/>
                <w:color w:val="000000"/>
              </w:rPr>
            </w:pPr>
            <w:r>
              <w:rPr>
                <w:b/>
                <w:color w:val="000000"/>
              </w:rPr>
              <w:t>)</w:t>
            </w:r>
          </w:p>
        </w:tc>
      </w:tr>
      <w:tr>
        <w:trPr/>
        <w:tc>
          <w:tcPr>
            <w:tcW w:w="693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180" w:right="0" w:hanging="180"/>
              <w:jc w:val="left"/>
              <w:rPr>
                <w:b/>
                <w:color w:val="000000"/>
              </w:rPr>
            </w:pPr>
            <w:r>
              <w:rPr>
                <w:b/>
                <w:color w:val="000000"/>
              </w:rPr>
              <w:t>Cash Flows Provided by Financing Activities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360" w:right="0" w:hanging="180"/>
              <w:jc w:val="left"/>
              <w:rPr>
                <w:color w:val="000000"/>
              </w:rPr>
            </w:pPr>
            <w:r>
              <w:rPr>
                <w:color w:val="000000"/>
              </w:rPr>
              <w:t>Proceeds from issuance of capital, net of issuance costs</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13,122</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8,249</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Proceeds from the issuance of units to NCI</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13,859</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205</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360" w:right="0" w:hanging="180"/>
              <w:jc w:val="left"/>
              <w:rPr>
                <w:color w:val="000000"/>
              </w:rPr>
            </w:pPr>
            <w:r>
              <w:rPr>
                <w:color w:val="000000"/>
              </w:rPr>
              <w:t>Proceeds from convertible notes payable</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2,000</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Payment of debts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(790</w:t>
            </w:r>
          </w:p>
        </w:tc>
        <w:tc>
          <w:tcPr>
            <w:tcW w:w="150" w:type="dxa"/>
            <w:tcBorders/>
            <w:shd w:fill="CCEEFF" w:val="clear"/>
            <w:vAlign w:val="bottom"/>
          </w:tcPr>
          <w:p>
            <w:pPr>
              <w:pStyle w:val="TableContents"/>
              <w:bidi w:val="0"/>
              <w:spacing w:before="0" w:after="0"/>
              <w:jc w:val="lef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(19</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6935" w:type="dxa"/>
            <w:tcBorders/>
            <w:vAlign w:val="bottom"/>
          </w:tcPr>
          <w:p>
            <w:pPr>
              <w:pStyle w:val="TableContents"/>
              <w:bidi w:val="0"/>
              <w:spacing w:before="0" w:after="0"/>
              <w:ind w:left="360" w:right="0" w:hanging="180"/>
              <w:jc w:val="left"/>
              <w:rPr>
                <w:color w:val="000000"/>
              </w:rPr>
            </w:pPr>
            <w:r>
              <w:rPr>
                <w:color w:val="000000"/>
              </w:rPr>
              <w:t>Receipt of Capital from Class I Unitholder</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130</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360" w:right="0" w:hanging="180"/>
              <w:jc w:val="left"/>
              <w:rPr>
                <w:color w:val="000000"/>
              </w:rPr>
            </w:pPr>
            <w:r>
              <w:rPr>
                <w:color w:val="000000"/>
              </w:rPr>
              <w:t>Tax advance distribution to Members</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(243</w:t>
            </w:r>
          </w:p>
        </w:tc>
        <w:tc>
          <w:tcPr>
            <w:tcW w:w="113" w:type="dxa"/>
            <w:tcBorders/>
            <w:shd w:fill="CCEEFF" w:val="clear"/>
            <w:vAlign w:val="bottom"/>
          </w:tcPr>
          <w:p>
            <w:pPr>
              <w:pStyle w:val="TableContents"/>
              <w:bidi w:val="0"/>
              <w:spacing w:before="0" w:after="0"/>
              <w:jc w:val="left"/>
              <w:rPr>
                <w:color w:val="000000"/>
              </w:rPr>
            </w:pPr>
            <w:r>
              <w:rPr>
                <w:color w:val="000000"/>
              </w:rPr>
              <w:t>)</w:t>
            </w:r>
          </w:p>
        </w:tc>
      </w:tr>
      <w:tr>
        <w:trPr/>
        <w:tc>
          <w:tcPr>
            <w:tcW w:w="6935" w:type="dxa"/>
            <w:tcBorders/>
            <w:vAlign w:val="bottom"/>
          </w:tcPr>
          <w:p>
            <w:pPr>
              <w:pStyle w:val="TableContents"/>
              <w:bidi w:val="0"/>
              <w:spacing w:before="0" w:after="0"/>
              <w:ind w:left="360" w:right="0" w:hanging="180"/>
              <w:jc w:val="left"/>
              <w:rPr>
                <w:color w:val="000000"/>
              </w:rPr>
            </w:pPr>
            <w:r>
              <w:rPr>
                <w:color w:val="000000"/>
              </w:rPr>
              <w:t>Proceeds of related party notes payable</w:t>
            </w:r>
          </w:p>
        </w:tc>
        <w:tc>
          <w:tcPr>
            <w:tcW w:w="60"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12,000</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180" w:right="0" w:hanging="180"/>
              <w:jc w:val="left"/>
              <w:rPr>
                <w:b/>
                <w:color w:val="000000"/>
              </w:rPr>
            </w:pPr>
            <w:r>
              <w:rPr>
                <w:b/>
                <w:color w:val="000000"/>
              </w:rPr>
              <w:t>Net Cash Provided by Financing Activities</w:t>
            </w:r>
          </w:p>
        </w:tc>
        <w:tc>
          <w:tcPr>
            <w:tcW w:w="60" w:type="dxa"/>
            <w:tcBorders/>
            <w:shd w:fill="CCEEFF" w:val="clear"/>
            <w:vAlign w:val="bottom"/>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38,191</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10,325</w:t>
            </w:r>
          </w:p>
        </w:tc>
        <w:tc>
          <w:tcPr>
            <w:tcW w:w="113" w:type="dxa"/>
            <w:tcBorders/>
            <w:shd w:fill="CCEEFF" w:val="clear"/>
            <w:vAlign w:val="bottom"/>
          </w:tcPr>
          <w:p>
            <w:pPr>
              <w:pStyle w:val="TableContents"/>
              <w:bidi w:val="0"/>
              <w:spacing w:before="0" w:after="283"/>
              <w:jc w:val="left"/>
              <w:rPr/>
            </w:pPr>
            <w:r>
              <w:rPr/>
              <w:t> </w:t>
            </w:r>
          </w:p>
        </w:tc>
      </w:tr>
      <w:tr>
        <w:trPr/>
        <w:tc>
          <w:tcPr>
            <w:tcW w:w="693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180" w:right="0" w:hanging="180"/>
              <w:jc w:val="left"/>
              <w:rPr>
                <w:color w:val="000000"/>
              </w:rPr>
            </w:pPr>
            <w:r>
              <w:rPr>
                <w:color w:val="000000"/>
              </w:rPr>
              <w:t>Net (Decrease) Increase in Cash, Cash Equivalents and Restricted Cash</w:t>
            </w:r>
          </w:p>
        </w:tc>
        <w:tc>
          <w:tcPr>
            <w:tcW w:w="60" w:type="dxa"/>
            <w:tcBorders/>
            <w:shd w:fill="CCEEFF" w:val="clear"/>
            <w:vAlign w:val="bottom"/>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13,722</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(3,406</w:t>
            </w:r>
          </w:p>
        </w:tc>
        <w:tc>
          <w:tcPr>
            <w:tcW w:w="113" w:type="dxa"/>
            <w:tcBorders/>
            <w:shd w:fill="CCEEFF" w:val="clear"/>
            <w:vAlign w:val="bottom"/>
          </w:tcPr>
          <w:p>
            <w:pPr>
              <w:pStyle w:val="TableContents"/>
              <w:bidi w:val="0"/>
              <w:spacing w:before="0" w:after="0"/>
              <w:jc w:val="left"/>
              <w:rPr>
                <w:b/>
                <w:color w:val="000000"/>
              </w:rPr>
            </w:pPr>
            <w:r>
              <w:rPr>
                <w:b/>
                <w:color w:val="000000"/>
              </w:rPr>
              <w:t>)</w:t>
            </w:r>
          </w:p>
        </w:tc>
      </w:tr>
      <w:tr>
        <w:trPr/>
        <w:tc>
          <w:tcPr>
            <w:tcW w:w="6935" w:type="dxa"/>
            <w:tcBorders/>
            <w:vAlign w:val="bottom"/>
          </w:tcPr>
          <w:p>
            <w:pPr>
              <w:pStyle w:val="TableContents"/>
              <w:bidi w:val="0"/>
              <w:spacing w:before="0" w:after="0"/>
              <w:ind w:left="360" w:right="0" w:hanging="180"/>
              <w:jc w:val="left"/>
              <w:rPr>
                <w:color w:val="000000"/>
              </w:rPr>
            </w:pPr>
            <w:r>
              <w:rPr>
                <w:color w:val="000000"/>
              </w:rPr>
              <w:t>Cash, Cash Equivalents and Restricted Cash Beginning of period</w:t>
            </w:r>
          </w:p>
        </w:tc>
        <w:tc>
          <w:tcPr>
            <w:tcW w:w="60"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2,575</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7,544</w:t>
            </w:r>
          </w:p>
        </w:tc>
        <w:tc>
          <w:tcPr>
            <w:tcW w:w="113" w:type="dxa"/>
            <w:tcBorders/>
            <w:vAlign w:val="bottom"/>
          </w:tcPr>
          <w:p>
            <w:pPr>
              <w:pStyle w:val="TableContents"/>
              <w:bidi w:val="0"/>
              <w:spacing w:before="0" w:after="283"/>
              <w:jc w:val="left"/>
              <w:rPr/>
            </w:pPr>
            <w:r>
              <w:rPr/>
              <w:t> </w:t>
            </w:r>
          </w:p>
        </w:tc>
      </w:tr>
      <w:tr>
        <w:trPr/>
        <w:tc>
          <w:tcPr>
            <w:tcW w:w="6935" w:type="dxa"/>
            <w:tcBorders/>
            <w:shd w:fill="CCEEFF" w:val="clear"/>
            <w:vAlign w:val="bottom"/>
          </w:tcPr>
          <w:p>
            <w:pPr>
              <w:pStyle w:val="TableContents"/>
              <w:bidi w:val="0"/>
              <w:spacing w:before="0" w:after="0"/>
              <w:ind w:left="180" w:right="0" w:hanging="180"/>
              <w:jc w:val="left"/>
              <w:rPr>
                <w:b/>
                <w:color w:val="000000"/>
              </w:rPr>
            </w:pPr>
            <w:r>
              <w:rPr>
                <w:b/>
                <w:color w:val="000000"/>
              </w:rPr>
              <w:t>Cash, Cash Equivalents and Restricted Cash End of period</w:t>
            </w:r>
          </w:p>
        </w:tc>
        <w:tc>
          <w:tcPr>
            <w:tcW w:w="60" w:type="dxa"/>
            <w:tcBorders/>
            <w:shd w:fill="CCEEFF" w:val="clear"/>
            <w:vAlign w:val="bottom"/>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16,297</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0"/>
              <w:jc w:val="left"/>
              <w:rPr>
                <w:b/>
                <w:color w:val="000000"/>
              </w:rPr>
            </w:pPr>
            <w:r>
              <w:rPr>
                <w:b/>
                <w:color w:val="000000"/>
              </w:rPr>
              <w:t>$</w:t>
            </w:r>
          </w:p>
        </w:tc>
        <w:tc>
          <w:tcPr>
            <w:tcW w:w="1204" w:type="dxa"/>
            <w:tcBorders>
              <w:bottom w:val="single" w:sz="12" w:space="0" w:color="000000"/>
            </w:tcBorders>
            <w:shd w:fill="CCEEFF" w:val="clear"/>
            <w:tcMar>
              <w:bottom w:w="28" w:type="dxa"/>
            </w:tcMar>
            <w:vAlign w:val="bottom"/>
          </w:tcPr>
          <w:p>
            <w:pPr>
              <w:pStyle w:val="TableContents"/>
              <w:bidi w:val="0"/>
              <w:spacing w:before="0" w:after="0"/>
              <w:jc w:val="right"/>
              <w:rPr>
                <w:b/>
                <w:color w:val="000000"/>
              </w:rPr>
            </w:pPr>
            <w:r>
              <w:rPr>
                <w:b/>
                <w:color w:val="000000"/>
              </w:rPr>
              <w:t>4,138</w:t>
            </w:r>
          </w:p>
        </w:tc>
        <w:tc>
          <w:tcPr>
            <w:tcW w:w="11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Innventure LLC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Cash Flows (continued)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(Unaudited)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c242c9598bab40d28b8aea38445e6b7d"/>
      <w:bookmarkStart w:id="40" w:name="zc242c9598bab40d28b8aea38445e6b7d"/>
      <w:bookmarkEnd w:id="40"/>
    </w:p>
    <w:tbl>
      <w:tblPr>
        <w:tblW w:w="10205" w:type="dxa"/>
        <w:jc w:val="left"/>
        <w:tblInd w:w="0" w:type="dxa"/>
        <w:tblLayout w:type="fixed"/>
        <w:tblCellMar>
          <w:top w:w="0" w:type="dxa"/>
          <w:left w:w="0" w:type="dxa"/>
          <w:bottom w:w="0" w:type="dxa"/>
          <w:right w:w="0" w:type="dxa"/>
        </w:tblCellMar>
      </w:tblPr>
      <w:tblGrid>
        <w:gridCol w:w="7248"/>
        <w:gridCol w:w="60"/>
        <w:gridCol w:w="240"/>
        <w:gridCol w:w="1170"/>
        <w:gridCol w:w="103"/>
        <w:gridCol w:w="103"/>
        <w:gridCol w:w="240"/>
        <w:gridCol w:w="963"/>
        <w:gridCol w:w="78"/>
      </w:tblGrid>
      <w:tr>
        <w:trPr/>
        <w:tc>
          <w:tcPr>
            <w:tcW w:w="7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19"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Nine months ended September 30,</w:t>
            </w:r>
          </w:p>
        </w:tc>
        <w:tc>
          <w:tcPr>
            <w:tcW w:w="78" w:type="dxa"/>
            <w:tcBorders/>
            <w:vAlign w:val="bottom"/>
          </w:tcPr>
          <w:p>
            <w:pPr>
              <w:pStyle w:val="TableContents"/>
              <w:bidi w:val="0"/>
              <w:spacing w:before="0" w:after="283"/>
              <w:jc w:val="left"/>
              <w:rPr/>
            </w:pPr>
            <w:r>
              <w:rPr/>
              <w:t> </w:t>
            </w:r>
          </w:p>
        </w:tc>
      </w:tr>
      <w:tr>
        <w:trPr/>
        <w:tc>
          <w:tcPr>
            <w:tcW w:w="72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2024</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0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78" w:type="dxa"/>
            <w:tcBorders/>
            <w:vAlign w:val="bottom"/>
          </w:tcPr>
          <w:p>
            <w:pPr>
              <w:pStyle w:val="TableContents"/>
              <w:bidi w:val="0"/>
              <w:spacing w:before="0" w:after="283"/>
              <w:jc w:val="left"/>
              <w:rPr/>
            </w:pPr>
            <w:r>
              <w:rPr/>
              <w:t> </w:t>
            </w:r>
          </w:p>
        </w:tc>
      </w:tr>
      <w:tr>
        <w:trPr/>
        <w:tc>
          <w:tcPr>
            <w:tcW w:w="7248" w:type="dxa"/>
            <w:tcBorders/>
            <w:vAlign w:val="bottom"/>
          </w:tcPr>
          <w:p>
            <w:pPr>
              <w:pStyle w:val="TableContents"/>
              <w:bidi w:val="0"/>
              <w:spacing w:before="0" w:after="0"/>
              <w:ind w:left="180" w:right="0" w:hanging="180"/>
              <w:jc w:val="left"/>
              <w:rPr>
                <w:b/>
                <w:color w:val="000000"/>
              </w:rPr>
            </w:pPr>
            <w:r>
              <w:rPr>
                <w:b/>
                <w:color w:val="000000"/>
              </w:rPr>
              <w:t>Supplemental Cash Flow Information</w:t>
            </w:r>
          </w:p>
        </w:tc>
        <w:tc>
          <w:tcPr>
            <w:tcW w:w="60" w:type="dxa"/>
            <w:tcBorders/>
            <w:vAlign w:val="bottom"/>
          </w:tcPr>
          <w:p>
            <w:pPr>
              <w:pStyle w:val="TableContents"/>
              <w:bidi w:val="0"/>
              <w:spacing w:before="0" w:after="283"/>
              <w:jc w:val="left"/>
              <w:rPr/>
            </w:pPr>
            <w:r>
              <w:rPr/>
              <w:t> </w:t>
            </w:r>
          </w:p>
        </w:tc>
        <w:tc>
          <w:tcPr>
            <w:tcW w:w="1410" w:type="dxa"/>
            <w:gridSpan w:val="2"/>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203"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r>
      <w:tr>
        <w:trPr/>
        <w:tc>
          <w:tcPr>
            <w:tcW w:w="7248" w:type="dxa"/>
            <w:tcBorders/>
            <w:shd w:fill="CCEEFF" w:val="clear"/>
            <w:vAlign w:val="bottom"/>
          </w:tcPr>
          <w:p>
            <w:pPr>
              <w:pStyle w:val="TableContents"/>
              <w:bidi w:val="0"/>
              <w:spacing w:before="0" w:after="0"/>
              <w:ind w:left="360" w:right="0" w:hanging="180"/>
              <w:jc w:val="left"/>
              <w:rPr>
                <w:color w:val="000000"/>
              </w:rPr>
            </w:pPr>
            <w:r>
              <w:rPr>
                <w:color w:val="000000"/>
              </w:rPr>
              <w:t>Cash paid for interest</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1170" w:type="dxa"/>
            <w:tcBorders/>
            <w:shd w:fill="CCEEFF" w:val="clear"/>
            <w:vAlign w:val="bottom"/>
          </w:tcPr>
          <w:p>
            <w:pPr>
              <w:pStyle w:val="TableContents"/>
              <w:bidi w:val="0"/>
              <w:spacing w:before="0" w:after="0"/>
              <w:jc w:val="right"/>
              <w:rPr>
                <w:color w:val="000000"/>
              </w:rPr>
            </w:pPr>
            <w:r>
              <w:rPr>
                <w:color w:val="000000"/>
              </w:rPr>
              <w:t>1,070</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963" w:type="dxa"/>
            <w:tcBorders/>
            <w:shd w:fill="CCEEFF" w:val="clear"/>
            <w:vAlign w:val="bottom"/>
          </w:tcPr>
          <w:p>
            <w:pPr>
              <w:pStyle w:val="TableContents"/>
              <w:bidi w:val="0"/>
              <w:spacing w:before="0" w:after="0"/>
              <w:jc w:val="right"/>
              <w:rPr>
                <w:color w:val="000000"/>
              </w:rPr>
            </w:pPr>
            <w:r>
              <w:rPr>
                <w:color w:val="000000"/>
              </w:rPr>
              <w:t>220</w:t>
            </w:r>
          </w:p>
        </w:tc>
        <w:tc>
          <w:tcPr>
            <w:tcW w:w="78" w:type="dxa"/>
            <w:tcBorders/>
            <w:shd w:fill="CCEEFF" w:val="clear"/>
            <w:vAlign w:val="bottom"/>
          </w:tcPr>
          <w:p>
            <w:pPr>
              <w:pStyle w:val="TableContents"/>
              <w:bidi w:val="0"/>
              <w:spacing w:before="0" w:after="283"/>
              <w:jc w:val="left"/>
              <w:rPr/>
            </w:pPr>
            <w:r>
              <w:rPr/>
              <w:t> </w:t>
            </w:r>
          </w:p>
        </w:tc>
      </w:tr>
      <w:tr>
        <w:trPr/>
        <w:tc>
          <w:tcPr>
            <w:tcW w:w="7248" w:type="dxa"/>
            <w:tcBorders/>
            <w:vAlign w:val="bottom"/>
          </w:tcPr>
          <w:p>
            <w:pPr>
              <w:pStyle w:val="TableContents"/>
              <w:bidi w:val="0"/>
              <w:spacing w:before="0" w:after="0"/>
              <w:ind w:left="180" w:right="0" w:hanging="180"/>
              <w:jc w:val="left"/>
              <w:rPr>
                <w:b/>
                <w:color w:val="000000"/>
              </w:rPr>
            </w:pPr>
            <w:r>
              <w:rPr>
                <w:b/>
                <w:color w:val="000000"/>
              </w:rPr>
              <w:t>Supplemental Disclosure of Noncash Financing Information</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70"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283"/>
              <w:jc w:val="right"/>
              <w:rPr/>
            </w:pPr>
            <w:r>
              <w:rPr/>
              <w:t> </w:t>
            </w:r>
          </w:p>
        </w:tc>
        <w:tc>
          <w:tcPr>
            <w:tcW w:w="78" w:type="dxa"/>
            <w:tcBorders/>
            <w:vAlign w:val="bottom"/>
          </w:tcPr>
          <w:p>
            <w:pPr>
              <w:pStyle w:val="TableContents"/>
              <w:bidi w:val="0"/>
              <w:spacing w:before="0" w:after="283"/>
              <w:jc w:val="left"/>
              <w:rPr/>
            </w:pPr>
            <w:r>
              <w:rPr/>
              <w:t> </w:t>
            </w:r>
          </w:p>
        </w:tc>
      </w:tr>
      <w:tr>
        <w:trPr/>
        <w:tc>
          <w:tcPr>
            <w:tcW w:w="7248" w:type="dxa"/>
            <w:tcBorders/>
            <w:shd w:fill="CCEEFF" w:val="clear"/>
            <w:vAlign w:val="bottom"/>
          </w:tcPr>
          <w:p>
            <w:pPr>
              <w:pStyle w:val="TableContents"/>
              <w:bidi w:val="0"/>
              <w:spacing w:before="0" w:after="0"/>
              <w:ind w:left="360" w:right="0" w:hanging="180"/>
              <w:jc w:val="left"/>
              <w:rPr>
                <w:color w:val="000000"/>
              </w:rPr>
            </w:pPr>
            <w:r>
              <w:rPr>
                <w:color w:val="000000"/>
              </w:rPr>
              <w:t>Accretion of redeemable units to redemption value</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1170" w:type="dxa"/>
            <w:tcBorders/>
            <w:shd w:fill="CCEEFF" w:val="clear"/>
            <w:vAlign w:val="bottom"/>
          </w:tcPr>
          <w:p>
            <w:pPr>
              <w:pStyle w:val="TableContents"/>
              <w:bidi w:val="0"/>
              <w:spacing w:before="0" w:after="0"/>
              <w:jc w:val="right"/>
              <w:rPr>
                <w:color w:val="000000"/>
              </w:rPr>
            </w:pPr>
            <w:r>
              <w:rPr>
                <w:color w:val="000000"/>
              </w:rPr>
              <w:t>11,950</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963" w:type="dxa"/>
            <w:tcBorders/>
            <w:shd w:fill="CCEEFF" w:val="clear"/>
            <w:vAlign w:val="bottom"/>
          </w:tcPr>
          <w:p>
            <w:pPr>
              <w:pStyle w:val="TableContents"/>
              <w:bidi w:val="0"/>
              <w:spacing w:before="0" w:after="0"/>
              <w:jc w:val="right"/>
              <w:rPr>
                <w:color w:val="000000"/>
              </w:rPr>
            </w:pPr>
            <w:r>
              <w:rPr>
                <w:color w:val="000000"/>
              </w:rPr>
              <w:t>2,237</w:t>
            </w:r>
          </w:p>
        </w:tc>
        <w:tc>
          <w:tcPr>
            <w:tcW w:w="78" w:type="dxa"/>
            <w:tcBorders/>
            <w:shd w:fill="CCEEFF" w:val="clear"/>
            <w:vAlign w:val="bottom"/>
          </w:tcPr>
          <w:p>
            <w:pPr>
              <w:pStyle w:val="TableContents"/>
              <w:bidi w:val="0"/>
              <w:spacing w:before="0" w:after="283"/>
              <w:jc w:val="left"/>
              <w:rPr/>
            </w:pPr>
            <w:r>
              <w:rPr/>
              <w:t> </w:t>
            </w:r>
          </w:p>
        </w:tc>
      </w:tr>
      <w:tr>
        <w:trPr/>
        <w:tc>
          <w:tcPr>
            <w:tcW w:w="7248" w:type="dxa"/>
            <w:tcBorders/>
            <w:vAlign w:val="bottom"/>
          </w:tcPr>
          <w:p>
            <w:pPr>
              <w:pStyle w:val="TableContents"/>
              <w:bidi w:val="0"/>
              <w:spacing w:before="0" w:after="0"/>
              <w:ind w:left="360" w:right="0" w:hanging="180"/>
              <w:jc w:val="left"/>
              <w:rPr>
                <w:color w:val="000000"/>
              </w:rPr>
            </w:pPr>
            <w:r>
              <w:rPr>
                <w:color w:val="000000"/>
              </w:rPr>
              <w:t>Debt discount and embedded derivative upon issuance</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1170" w:type="dxa"/>
            <w:tcBorders/>
            <w:vAlign w:val="bottom"/>
          </w:tcPr>
          <w:p>
            <w:pPr>
              <w:pStyle w:val="TableContents"/>
              <w:bidi w:val="0"/>
              <w:spacing w:before="0" w:after="0"/>
              <w:jc w:val="right"/>
              <w:rPr>
                <w:color w:val="000000"/>
              </w:rPr>
            </w:pPr>
            <w:r>
              <w:rPr>
                <w:color w:val="000000"/>
              </w:rPr>
              <w:t>—</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963" w:type="dxa"/>
            <w:tcBorders/>
            <w:vAlign w:val="bottom"/>
          </w:tcPr>
          <w:p>
            <w:pPr>
              <w:pStyle w:val="TableContents"/>
              <w:bidi w:val="0"/>
              <w:spacing w:before="0" w:after="0"/>
              <w:jc w:val="right"/>
              <w:rPr>
                <w:color w:val="000000"/>
              </w:rPr>
            </w:pPr>
            <w:r>
              <w:rPr>
                <w:color w:val="000000"/>
              </w:rPr>
              <w:t>1,119</w:t>
            </w:r>
          </w:p>
        </w:tc>
        <w:tc>
          <w:tcPr>
            <w:tcW w:w="78" w:type="dxa"/>
            <w:tcBorders/>
            <w:vAlign w:val="bottom"/>
          </w:tcPr>
          <w:p>
            <w:pPr>
              <w:pStyle w:val="TableContents"/>
              <w:bidi w:val="0"/>
              <w:spacing w:before="0" w:after="283"/>
              <w:jc w:val="left"/>
              <w:rPr/>
            </w:pPr>
            <w:r>
              <w:rPr/>
              <w:t> </w:t>
            </w:r>
          </w:p>
        </w:tc>
      </w:tr>
      <w:tr>
        <w:trPr/>
        <w:tc>
          <w:tcPr>
            <w:tcW w:w="7248" w:type="dxa"/>
            <w:tcBorders/>
            <w:shd w:fill="CCEEFF" w:val="clear"/>
            <w:vAlign w:val="bottom"/>
          </w:tcPr>
          <w:p>
            <w:pPr>
              <w:pStyle w:val="TableContents"/>
              <w:bidi w:val="0"/>
              <w:spacing w:before="0" w:after="0"/>
              <w:ind w:left="360" w:right="0" w:hanging="180"/>
              <w:jc w:val="left"/>
              <w:rPr>
                <w:color w:val="000000"/>
              </w:rPr>
            </w:pPr>
            <w:r>
              <w:rPr>
                <w:color w:val="000000"/>
              </w:rPr>
              <w:t>Issuance of Class Preferred B Units to extinguish convertible notes payable</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1170" w:type="dxa"/>
            <w:tcBorders/>
            <w:shd w:fill="CCEEFF" w:val="clear"/>
            <w:vAlign w:val="bottom"/>
          </w:tcPr>
          <w:p>
            <w:pPr>
              <w:pStyle w:val="TableContents"/>
              <w:bidi w:val="0"/>
              <w:spacing w:before="0" w:after="0"/>
              <w:jc w:val="right"/>
              <w:rPr>
                <w:color w:val="000000"/>
              </w:rPr>
            </w:pPr>
            <w:r>
              <w:rPr>
                <w:color w:val="000000"/>
              </w:rPr>
              <w:t>396</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963" w:type="dxa"/>
            <w:tcBorders/>
            <w:shd w:fill="CCEEFF" w:val="clear"/>
            <w:vAlign w:val="bottom"/>
          </w:tcPr>
          <w:p>
            <w:pPr>
              <w:pStyle w:val="TableContents"/>
              <w:bidi w:val="0"/>
              <w:spacing w:before="0" w:after="0"/>
              <w:jc w:val="right"/>
              <w:rPr>
                <w:color w:val="000000"/>
              </w:rPr>
            </w:pPr>
            <w:r>
              <w:rPr>
                <w:color w:val="000000"/>
              </w:rPr>
              <w:t>100</w:t>
            </w:r>
          </w:p>
        </w:tc>
        <w:tc>
          <w:tcPr>
            <w:tcW w:w="78" w:type="dxa"/>
            <w:tcBorders/>
            <w:shd w:fill="CCEEFF" w:val="clear"/>
            <w:vAlign w:val="bottom"/>
          </w:tcPr>
          <w:p>
            <w:pPr>
              <w:pStyle w:val="TableContents"/>
              <w:bidi w:val="0"/>
              <w:spacing w:before="0" w:after="283"/>
              <w:jc w:val="left"/>
              <w:rPr/>
            </w:pPr>
            <w:r>
              <w:rPr/>
              <w:t> </w:t>
            </w:r>
          </w:p>
        </w:tc>
      </w:tr>
      <w:tr>
        <w:trPr/>
        <w:tc>
          <w:tcPr>
            <w:tcW w:w="7248" w:type="dxa"/>
            <w:tcBorders/>
            <w:vAlign w:val="bottom"/>
          </w:tcPr>
          <w:p>
            <w:pPr>
              <w:pStyle w:val="TableContents"/>
              <w:bidi w:val="0"/>
              <w:spacing w:before="0" w:after="0"/>
              <w:ind w:left="360" w:right="0" w:hanging="180"/>
              <w:jc w:val="left"/>
              <w:rPr>
                <w:color w:val="000000"/>
              </w:rPr>
            </w:pPr>
            <w:r>
              <w:rPr>
                <w:color w:val="000000"/>
              </w:rPr>
              <w:t>Issuance of Class B Preferred Units in exchange for Innventus ESG Fund Equity</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1170" w:type="dxa"/>
            <w:tcBorders/>
            <w:vAlign w:val="bottom"/>
          </w:tcPr>
          <w:p>
            <w:pPr>
              <w:pStyle w:val="TableContents"/>
              <w:bidi w:val="0"/>
              <w:spacing w:before="0" w:after="0"/>
              <w:jc w:val="right"/>
              <w:rPr>
                <w:color w:val="000000"/>
              </w:rPr>
            </w:pPr>
            <w:r>
              <w:rPr>
                <w:color w:val="000000"/>
              </w:rPr>
              <w:t>183</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963"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7248" w:type="dxa"/>
            <w:tcBorders/>
            <w:shd w:fill="CCEEFF" w:val="clear"/>
            <w:vAlign w:val="bottom"/>
          </w:tcPr>
          <w:p>
            <w:pPr>
              <w:pStyle w:val="TableContents"/>
              <w:bidi w:val="0"/>
              <w:spacing w:before="0" w:after="0"/>
              <w:ind w:left="360" w:right="0" w:hanging="180"/>
              <w:jc w:val="left"/>
              <w:rPr>
                <w:color w:val="000000"/>
              </w:rPr>
            </w:pPr>
            <w:r>
              <w:rPr>
                <w:color w:val="000000"/>
              </w:rPr>
              <w:t>Issuance of NCI in exchange for interest in Innventus ESG Fund</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1170" w:type="dxa"/>
            <w:tcBorders/>
            <w:shd w:fill="CCEEFF" w:val="clear"/>
            <w:vAlign w:val="bottom"/>
          </w:tcPr>
          <w:p>
            <w:pPr>
              <w:pStyle w:val="TableContents"/>
              <w:bidi w:val="0"/>
              <w:spacing w:before="0" w:after="0"/>
              <w:jc w:val="right"/>
              <w:rPr>
                <w:color w:val="000000"/>
              </w:rPr>
            </w:pPr>
            <w:r>
              <w:rPr>
                <w:color w:val="000000"/>
              </w:rPr>
              <w:t>146</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963" w:type="dxa"/>
            <w:tcBorders/>
            <w:shd w:fill="CCEEFF" w:val="clear"/>
            <w:vAlign w:val="bottom"/>
          </w:tcPr>
          <w:p>
            <w:pPr>
              <w:pStyle w:val="TableContents"/>
              <w:bidi w:val="0"/>
              <w:spacing w:before="0" w:after="0"/>
              <w:jc w:val="right"/>
              <w:rPr>
                <w:color w:val="000000"/>
              </w:rPr>
            </w:pPr>
            <w:r>
              <w:rPr>
                <w:color w:val="000000"/>
              </w:rPr>
              <w:t>—</w:t>
            </w:r>
          </w:p>
        </w:tc>
        <w:tc>
          <w:tcPr>
            <w:tcW w:w="78" w:type="dxa"/>
            <w:tcBorders/>
            <w:shd w:fill="CCEEFF" w:val="clear"/>
            <w:vAlign w:val="bottom"/>
          </w:tcPr>
          <w:p>
            <w:pPr>
              <w:pStyle w:val="TableContents"/>
              <w:bidi w:val="0"/>
              <w:spacing w:before="0" w:after="283"/>
              <w:jc w:val="left"/>
              <w:rPr/>
            </w:pPr>
            <w:r>
              <w:rPr/>
              <w:t> </w:t>
            </w:r>
          </w:p>
        </w:tc>
      </w:tr>
      <w:tr>
        <w:trPr/>
        <w:tc>
          <w:tcPr>
            <w:tcW w:w="7248" w:type="dxa"/>
            <w:tcBorders/>
            <w:vAlign w:val="bottom"/>
          </w:tcPr>
          <w:p>
            <w:pPr>
              <w:pStyle w:val="TableContents"/>
              <w:bidi w:val="0"/>
              <w:spacing w:before="0" w:after="0"/>
              <w:ind w:left="360" w:right="0" w:hanging="180"/>
              <w:jc w:val="left"/>
              <w:rPr>
                <w:color w:val="000000"/>
              </w:rPr>
            </w:pPr>
            <w:r>
              <w:rPr>
                <w:color w:val="000000"/>
              </w:rPr>
              <w:t>Commissions payable on issuance of Class B Preferred Units</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1170" w:type="dxa"/>
            <w:tcBorders/>
            <w:vAlign w:val="bottom"/>
          </w:tcPr>
          <w:p>
            <w:pPr>
              <w:pStyle w:val="TableContents"/>
              <w:bidi w:val="0"/>
              <w:spacing w:before="0" w:after="0"/>
              <w:jc w:val="right"/>
              <w:rPr>
                <w:color w:val="000000"/>
              </w:rPr>
            </w:pPr>
            <w:r>
              <w:rPr>
                <w:color w:val="000000"/>
              </w:rPr>
              <w:t>163</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963"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7248" w:type="dxa"/>
            <w:tcBorders/>
            <w:shd w:fill="CCEEFF" w:val="clear"/>
            <w:vAlign w:val="bottom"/>
          </w:tcPr>
          <w:p>
            <w:pPr>
              <w:pStyle w:val="TableContents"/>
              <w:bidi w:val="0"/>
              <w:spacing w:before="0" w:after="0"/>
              <w:ind w:left="360" w:right="0" w:hanging="180"/>
              <w:jc w:val="left"/>
              <w:rPr>
                <w:color w:val="000000"/>
              </w:rPr>
            </w:pPr>
            <w:r>
              <w:rPr>
                <w:color w:val="000000"/>
              </w:rPr>
              <w:t>Commissions payable on issuance of NCI</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1170" w:type="dxa"/>
            <w:tcBorders/>
            <w:shd w:fill="CCEEFF" w:val="clear"/>
            <w:vAlign w:val="bottom"/>
          </w:tcPr>
          <w:p>
            <w:pPr>
              <w:pStyle w:val="TableContents"/>
              <w:bidi w:val="0"/>
              <w:spacing w:before="0" w:after="0"/>
              <w:jc w:val="right"/>
              <w:rPr>
                <w:color w:val="000000"/>
              </w:rPr>
            </w:pPr>
            <w:r>
              <w:rPr>
                <w:color w:val="000000"/>
              </w:rPr>
              <w:t>83</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963" w:type="dxa"/>
            <w:tcBorders/>
            <w:shd w:fill="CCEEFF" w:val="clear"/>
            <w:vAlign w:val="bottom"/>
          </w:tcPr>
          <w:p>
            <w:pPr>
              <w:pStyle w:val="TableContents"/>
              <w:bidi w:val="0"/>
              <w:spacing w:before="0" w:after="0"/>
              <w:jc w:val="right"/>
              <w:rPr>
                <w:color w:val="000000"/>
              </w:rPr>
            </w:pPr>
            <w:r>
              <w:rPr>
                <w:color w:val="000000"/>
              </w:rPr>
              <w:t>—</w:t>
            </w:r>
          </w:p>
        </w:tc>
        <w:tc>
          <w:tcPr>
            <w:tcW w:w="78" w:type="dxa"/>
            <w:tcBorders/>
            <w:shd w:fill="CCEEFF" w:val="clear"/>
            <w:vAlign w:val="bottom"/>
          </w:tcPr>
          <w:p>
            <w:pPr>
              <w:pStyle w:val="TableContents"/>
              <w:bidi w:val="0"/>
              <w:spacing w:before="0" w:after="283"/>
              <w:jc w:val="left"/>
              <w:rPr/>
            </w:pPr>
            <w:r>
              <w:rPr/>
              <w:t> </w:t>
            </w:r>
          </w:p>
        </w:tc>
      </w:tr>
      <w:tr>
        <w:trPr/>
        <w:tc>
          <w:tcPr>
            <w:tcW w:w="7248" w:type="dxa"/>
            <w:tcBorders/>
            <w:vAlign w:val="bottom"/>
          </w:tcPr>
          <w:p>
            <w:pPr>
              <w:pStyle w:val="TableContents"/>
              <w:bidi w:val="0"/>
              <w:spacing w:before="0" w:after="0"/>
              <w:ind w:left="360" w:right="0" w:hanging="180"/>
              <w:jc w:val="left"/>
              <w:rPr>
                <w:color w:val="000000"/>
              </w:rPr>
            </w:pPr>
            <w:r>
              <w:rPr>
                <w:color w:val="000000"/>
              </w:rPr>
              <w:t>Issuance of Class B Preferred Units to extinguish consulting fees payable</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1170" w:type="dxa"/>
            <w:tcBorders/>
            <w:vAlign w:val="bottom"/>
          </w:tcPr>
          <w:p>
            <w:pPr>
              <w:pStyle w:val="TableContents"/>
              <w:bidi w:val="0"/>
              <w:spacing w:before="0" w:after="0"/>
              <w:jc w:val="right"/>
              <w:rPr>
                <w:color w:val="000000"/>
              </w:rPr>
            </w:pPr>
            <w:r>
              <w:rPr>
                <w:color w:val="000000"/>
              </w:rPr>
              <w:t>24</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963"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7248" w:type="dxa"/>
            <w:tcBorders/>
            <w:shd w:fill="CCEEFF" w:val="clear"/>
            <w:vAlign w:val="bottom"/>
          </w:tcPr>
          <w:p>
            <w:pPr>
              <w:pStyle w:val="TableContents"/>
              <w:bidi w:val="0"/>
              <w:spacing w:before="0" w:after="0"/>
              <w:ind w:left="360" w:right="0" w:hanging="180"/>
              <w:jc w:val="left"/>
              <w:rPr>
                <w:color w:val="000000"/>
              </w:rPr>
            </w:pPr>
            <w:r>
              <w:rPr>
                <w:color w:val="000000"/>
              </w:rPr>
              <w:t>Issuance of units to NCI in exchange of convertible promissory notes</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1170" w:type="dxa"/>
            <w:tcBorders/>
            <w:shd w:fill="CCEEFF" w:val="clear"/>
            <w:vAlign w:val="bottom"/>
          </w:tcPr>
          <w:p>
            <w:pPr>
              <w:pStyle w:val="TableContents"/>
              <w:bidi w:val="0"/>
              <w:spacing w:before="0" w:after="0"/>
              <w:jc w:val="right"/>
              <w:rPr>
                <w:color w:val="000000"/>
              </w:rPr>
            </w:pPr>
            <w:r>
              <w:rPr>
                <w:color w:val="000000"/>
              </w:rPr>
              <w:t>7,324</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963" w:type="dxa"/>
            <w:tcBorders/>
            <w:shd w:fill="CCEEFF" w:val="clear"/>
            <w:vAlign w:val="bottom"/>
          </w:tcPr>
          <w:p>
            <w:pPr>
              <w:pStyle w:val="TableContents"/>
              <w:bidi w:val="0"/>
              <w:spacing w:before="0" w:after="0"/>
              <w:jc w:val="right"/>
              <w:rPr>
                <w:color w:val="000000"/>
              </w:rPr>
            </w:pPr>
            <w:r>
              <w:rPr>
                <w:color w:val="000000"/>
              </w:rPr>
              <w:t>—</w:t>
            </w:r>
          </w:p>
        </w:tc>
        <w:tc>
          <w:tcPr>
            <w:tcW w:w="78" w:type="dxa"/>
            <w:tcBorders/>
            <w:shd w:fill="CCEEFF" w:val="clear"/>
            <w:vAlign w:val="bottom"/>
          </w:tcPr>
          <w:p>
            <w:pPr>
              <w:pStyle w:val="TableContents"/>
              <w:bidi w:val="0"/>
              <w:spacing w:before="0" w:after="283"/>
              <w:jc w:val="left"/>
              <w:rPr/>
            </w:pPr>
            <w:r>
              <w:rPr/>
              <w:t> </w:t>
            </w:r>
          </w:p>
        </w:tc>
      </w:tr>
      <w:tr>
        <w:trPr/>
        <w:tc>
          <w:tcPr>
            <w:tcW w:w="7248" w:type="dxa"/>
            <w:tcBorders/>
            <w:vAlign w:val="bottom"/>
          </w:tcPr>
          <w:p>
            <w:pPr>
              <w:pStyle w:val="TableContents"/>
              <w:bidi w:val="0"/>
              <w:spacing w:before="0" w:after="0"/>
              <w:ind w:left="360" w:right="0" w:hanging="180"/>
              <w:jc w:val="left"/>
              <w:rPr>
                <w:color w:val="000000"/>
              </w:rPr>
            </w:pPr>
            <w:r>
              <w:rPr>
                <w:color w:val="000000"/>
              </w:rPr>
              <w:t>Conversion of working capital loans to equity method investees into  investments in debt securities - related party</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1170" w:type="dxa"/>
            <w:tcBorders/>
            <w:vAlign w:val="bottom"/>
          </w:tcPr>
          <w:p>
            <w:pPr>
              <w:pStyle w:val="TableContents"/>
              <w:bidi w:val="0"/>
              <w:spacing w:before="0" w:after="0"/>
              <w:jc w:val="right"/>
              <w:rPr>
                <w:color w:val="000000"/>
              </w:rPr>
            </w:pPr>
            <w:r>
              <w:rPr>
                <w:color w:val="000000"/>
              </w:rPr>
              <w:t>2,600</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963" w:type="dxa"/>
            <w:tcBorders/>
            <w:vAlign w:val="bottom"/>
          </w:tcPr>
          <w:p>
            <w:pPr>
              <w:pStyle w:val="TableContents"/>
              <w:bidi w:val="0"/>
              <w:spacing w:before="0" w:after="0"/>
              <w:jc w:val="right"/>
              <w:rPr>
                <w:color w:val="000000"/>
              </w:rPr>
            </w:pPr>
            <w:r>
              <w:rPr>
                <w:color w:val="000000"/>
              </w:rPr>
              <w:t>—</w:t>
            </w:r>
          </w:p>
        </w:tc>
        <w:tc>
          <w:tcPr>
            <w:tcW w:w="78" w:type="dxa"/>
            <w:tcBorders/>
            <w:vAlign w:val="bottom"/>
          </w:tcPr>
          <w:p>
            <w:pPr>
              <w:pStyle w:val="TableContents"/>
              <w:bidi w:val="0"/>
              <w:spacing w:before="0" w:after="283"/>
              <w:jc w:val="left"/>
              <w:rPr/>
            </w:pPr>
            <w:r>
              <w:rPr/>
              <w:t> </w:t>
            </w:r>
          </w:p>
        </w:tc>
      </w:tr>
      <w:tr>
        <w:trPr/>
        <w:tc>
          <w:tcPr>
            <w:tcW w:w="7248" w:type="dxa"/>
            <w:tcBorders/>
            <w:shd w:fill="CCEEFF" w:val="clear"/>
            <w:vAlign w:val="bottom"/>
          </w:tcPr>
          <w:p>
            <w:pPr>
              <w:pStyle w:val="TableContents"/>
              <w:bidi w:val="0"/>
              <w:spacing w:before="0" w:after="0"/>
              <w:ind w:left="360" w:right="0" w:hanging="180"/>
              <w:jc w:val="left"/>
              <w:rPr>
                <w:color w:val="000000"/>
              </w:rPr>
            </w:pPr>
            <w:r>
              <w:rPr>
                <w:color w:val="000000"/>
              </w:rPr>
              <w:t>Unrealized loss on investments in debt Securities - related party through OCI</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1170" w:type="dxa"/>
            <w:tcBorders/>
            <w:shd w:fill="CCEEFF" w:val="clear"/>
            <w:vAlign w:val="bottom"/>
          </w:tcPr>
          <w:p>
            <w:pPr>
              <w:pStyle w:val="TableContents"/>
              <w:bidi w:val="0"/>
              <w:spacing w:before="0" w:after="0"/>
              <w:jc w:val="right"/>
              <w:rPr>
                <w:color w:val="000000"/>
              </w:rPr>
            </w:pPr>
            <w:r>
              <w:rPr>
                <w:color w:val="000000"/>
              </w:rPr>
              <w:t>2,373</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963" w:type="dxa"/>
            <w:tcBorders/>
            <w:shd w:fill="CCEEFF" w:val="clear"/>
            <w:vAlign w:val="bottom"/>
          </w:tcPr>
          <w:p>
            <w:pPr>
              <w:pStyle w:val="TableContents"/>
              <w:bidi w:val="0"/>
              <w:spacing w:before="0" w:after="0"/>
              <w:jc w:val="right"/>
              <w:rPr>
                <w:color w:val="000000"/>
              </w:rPr>
            </w:pPr>
            <w:r>
              <w:rPr>
                <w:color w:val="000000"/>
              </w:rPr>
              <w:t>—</w:t>
            </w:r>
          </w:p>
        </w:tc>
        <w:tc>
          <w:tcPr>
            <w:tcW w:w="78" w:type="dxa"/>
            <w:tcBorders/>
            <w:shd w:fill="CCEEFF" w:val="clear"/>
            <w:vAlign w:val="bottom"/>
          </w:tcPr>
          <w:p>
            <w:pPr>
              <w:pStyle w:val="TableContents"/>
              <w:bidi w:val="0"/>
              <w:spacing w:before="0" w:after="283"/>
              <w:jc w:val="left"/>
              <w:rPr/>
            </w:pPr>
            <w:r>
              <w:rPr/>
              <w:t> </w:t>
            </w:r>
          </w:p>
        </w:tc>
      </w:tr>
      <w:tr>
        <w:trPr/>
        <w:tc>
          <w:tcPr>
            <w:tcW w:w="7248" w:type="dxa"/>
            <w:tcBorders/>
            <w:vAlign w:val="bottom"/>
          </w:tcPr>
          <w:p>
            <w:pPr>
              <w:pStyle w:val="TableContents"/>
              <w:bidi w:val="0"/>
              <w:spacing w:before="0" w:after="0"/>
              <w:ind w:left="360" w:right="0" w:hanging="180"/>
              <w:jc w:val="left"/>
              <w:rPr>
                <w:color w:val="000000"/>
              </w:rPr>
            </w:pPr>
            <w:r>
              <w:rPr>
                <w:color w:val="000000"/>
              </w:rPr>
              <w:t>Recognition of right of use asset and corresponding lease liability</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1170" w:type="dxa"/>
            <w:tcBorders/>
            <w:vAlign w:val="bottom"/>
          </w:tcPr>
          <w:p>
            <w:pPr>
              <w:pStyle w:val="TableContents"/>
              <w:bidi w:val="0"/>
              <w:spacing w:before="0" w:after="0"/>
              <w:jc w:val="right"/>
              <w:rPr>
                <w:color w:val="000000"/>
              </w:rPr>
            </w:pPr>
            <w:r>
              <w:rPr>
                <w:color w:val="000000"/>
              </w:rPr>
              <w:t>—</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0"/>
              <w:jc w:val="left"/>
              <w:rPr>
                <w:color w:val="000000"/>
              </w:rPr>
            </w:pPr>
            <w:r>
              <w:rPr>
                <w:color w:val="000000"/>
              </w:rPr>
              <w:t>$</w:t>
            </w:r>
          </w:p>
        </w:tc>
        <w:tc>
          <w:tcPr>
            <w:tcW w:w="963" w:type="dxa"/>
            <w:tcBorders/>
            <w:vAlign w:val="bottom"/>
          </w:tcPr>
          <w:p>
            <w:pPr>
              <w:pStyle w:val="TableContents"/>
              <w:bidi w:val="0"/>
              <w:spacing w:before="0" w:after="0"/>
              <w:jc w:val="right"/>
              <w:rPr>
                <w:color w:val="000000"/>
              </w:rPr>
            </w:pPr>
            <w:r>
              <w:rPr>
                <w:color w:val="000000"/>
              </w:rPr>
              <w:t>731</w:t>
            </w:r>
          </w:p>
        </w:tc>
        <w:tc>
          <w:tcPr>
            <w:tcW w:w="7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right"/>
        <w:rPr/>
      </w:pPr>
      <w:r>
        <w:rPr/>
      </w:r>
    </w:p>
    <w:p>
      <w:pPr>
        <w:pStyle w:val="TextBody"/>
        <w:bidi w:val="0"/>
        <w:spacing w:before="0" w:after="0"/>
        <w:jc w:val="right"/>
        <w:rPr>
          <w:rFonts w:ascii="Times New Roman;Times;serif" w:hAnsi="Times New Roman;Times;serif"/>
          <w:b/>
          <w:color w:val="000000"/>
          <w:sz w:val="20"/>
        </w:rPr>
      </w:pPr>
      <w:bookmarkStart w:id="41" w:name="Exhibit99.2"/>
      <w:bookmarkEnd w:id="41"/>
      <w:r>
        <w:rPr>
          <w:rFonts w:ascii="Times New Roman;Times;serif" w:hAnsi="Times New Roman;Times;serif"/>
          <w:b/>
          <w:color w:val="000000"/>
          <w:sz w:val="20"/>
        </w:rPr>
        <w:t xml:space="preserve">Exhibit 99.2 </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Third Quarter 2024 Earnings  November 14, 2024  Exhibit 99.2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2  Cautionary Statement Regarding Forward-Looking Information   This presentation includes “forward-looking statements” within the meaning of Section 27A of the Securities Act of 1933 and Section 21E of the Securities Exchange Act of 1934. Forward-looking statements are all statements other than those of historical fact and include statements regarding Innventure, Inc. (including its subsidiaries, "Innventure," the "Company," "us," "our," or "we") or its management's expectations, hopes, beliefs, intentions, plans, prospects or strategies regarding the future, including the anticipated benefits of the business combination of the Company and Learn CW Investment Corporation ("Learn CW") and related transactions (collectively, the "Business Combination"), revenue growth and financial performance, product expansion and services, and the financial condition, results of operations, earnings outlook and prospects of the Company. Any statements that refer to projections, forecasts or other characterizations of future events or circumstances, including any underlying assumptions, are forward-looking statements. Forward-looking statements are typically identified by words such as "anticipate," "believe," "continue," "could," "estimate," "expect," "forecast," "intend," "may," "might," "outlook," "plan," "possible," "potential," "predict," "project," "should," "will," "would" and other similar words and expressions, but the absence of these words does not mean that a statement is not forward-looking.   These forward-looking statements are based on the current expectations and beliefs of the management of the Company in light of its experience and its perception of historical trends, current conditions and expected future developments and their potential effects on the Company, as well as other factors they believe are appropriate in the circumstances. There can be no assurance that future developments affecting Innventure will be those that we have anticipated. These forward-looking statements involve a number of risks, uncertainties (some of which are beyond the control of the Company) or other assumptions that may cause actual results or performance to be materially different from those expressed or implied by these forward-looking statements, including those discussed and identified in the public filings made by Innventure, and the following:  expectations regarding the Company’s and the Innventure Companies’ (as defined below) strategies and future financial performance, including their future business plans, expansion and acquisition plans or objectives, prospective performance and opportunities and competitors, revenues, products and services, pricing, operating expenses, market trends, liquidity, cash flows and uses of cash, capital expenditures, and the Company’s ability to invest in growth initiatives;   the implementation, market acceptance and success of the Company’s and the Innventure Companies’ business models and growth strategies;   the Company’s future capital requirements and sources and uses of cash;   the Company’s ability to meet the various conditions, including the available cash and performance targets, and access any of the installments draws under the WTI Line of Credit;   the Company’s ability to meet the various conditions and satisfy the various limitations under the Standby Equity Purchase Agreement (the “SEPA”) with YA II PN, Ltd., including exchange caps, issuances and subscriptions based on trading volumes, to access the funds available under the SEPA;   that the Company will have sufficient capital following the completion of the Business Combination to operate as anticipated;   the Company’s ability to obtain funding for its operations and future growth;   developments and projections relating to the Company’s and the Innventure Companies’ competitors and industry;   Disclaimer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3  the Innventure Companies’ ability to meet, and to continue to meet, applicable regulatory requirements for the use of their products and the numerous regulatory requirements generally applicable to their products and facilities;   the outcome of any legal proceedings that may be instituted against the Company in connection with the completion of the Business Combination;   the Company’s ability to find future opportunities to license or acquire breakthrough technology solutions from multinational corporations (“MNCs”) and to satisfy the requirements imposed by or to avoid disagreements with its current and future MNC partners;   the risk that the Company may be deemed an investment company under the Investment Company Act, which would impose burdensome compliance requirements and restrictions on its activities;   the Company’s ability to sufficiently protect the intellectual property rights of itself and its subsidiaries, and to avoid or resolve in a timely and cost-effective manner any disputes that may arise relating to its use of the intellectual property of third parties;   the risk of a cyber-attack or a failure of the Company’s information technology and data security infrastructure;   the ability to recognize the anticipated benefits of the Business Combination;   unexpected costs related to the Business Combination;   geopolitical risk and changes in applicable laws or regulations;   potential adverse effects of other economic, business, and/or competitive factors; and   operational risks related to the Company and its subsidiaries.  Should one or more of these risks or uncertainties materialize, or should any of our assumptions prove incorrect, actual results may vary in material respects from those projected in these forward-looking statements.  All forward-looking statements in this presentation are made as of the date hereof, based on information available to the Company as of the date hereof, and the Company assumes no obligation to update any forward-looking statement, whether as a result of new information, future events or otherwise, except as may be required under applicable law.  Disclaimer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4  Trademarks  In addition to trademarks, service marks, trade names, copyrights and logos of Innventure and its subsidiaries contained herein, this presentation contains trademarks, service marks, trade names, copyrights and logos of other companies, which are the property of their respective owners. Unless otherwise stated, the use of these other trademarks, service marks, trade names, copyrights and logos herein does not imply an affiliation with, or endorsement of the information contained herein by, the owners of such trademarks, service marks, trade names, copyrights and logos.  Disclaimer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5  COMPANY OVERVIEW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6  Successful Track Record of Company Formation  Innventure Company  Technology  MNC  Innventure has launched three companies since inception  2022  Thermal Management Technology  Nokia  2018  Liquids Packaging Technology  Procter &amp; Gamble  Innventure took PureCycle Technologies public in 2021 (Nasdaq “PCT”). As of September 30, 2024, Innventure no longer has an economic interest in PCT.  NASDAQ: PCT  2015  Polypropylene Recycling Technology  Procter &amp; Gamble  (1)  Company  Operations  Ironton Production Plant  Westchester Facility Filling Machines  Cooling System Demonstration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7  Innventure – Achieving Our Core Mission  Innventure’s business model was purpose-built to mitigate five key risk factors historically inherent in high-growth  venture creation   Macro/Market Level  1   Technology  2   Adoption  3   Funding  4   Operational Execution  5  Key Risk Factors in Company Creation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8  The Closed Loop Model  Innventure’s closed loop model is designed to mitigate risk and serves as a value creation flywheel  System designed to mitigate risks inherent in creating and growing high-growth, disruptive companies  Deep MNC market knowledge related to the unmet market need, technology solution, industry value creation, market size, and channels of distribution  Institutional Data Set  Access to technology that is available only through MNCs  Access Advantage  Early Customer Adoption  Economics designed to motivate the MNC to catalyze early adoption by becoming an early customer and/or facilitate the initial customer base to drive financial and strategic value  Funded beyond proof of concept, strong patent strategy and early tailored technical support  Developed Technology  Institutional  Data Set  Developed  Technology  Early Customer Adoption  Access  Advantage  Closed Loop  Model  1  2  3  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Commercial-grade technology solutions that enable significant, additional quantifiable value opportunities  Proven Industrial Technology(1)  Seeking to build businesses leveraging technology solutions that we believe have been significantly de-risked by MNC partners with benefit of market data  De-Risked Business  2  4  9  The Innventure Strike Zone  Leverage MNC data and built-in adoption to confirm market demand and identify early customers, with a goal of mitigating risk for go-to-market pathway and promoting customer adoption  Unmet Customer Need  Targeting opportunities believed to have the potential for billion+ target enterprise values  Path to Economic Return  While Accelsius and AeroFlexx recently began initial commercial production; their operations have not yet scaled.  1  3  Innventure’s data-centric approach is designed to reduce principal risk to scaling and execution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10  3RD QUARTER UPDATE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11  Accelsius Update  Innventure maintains majority ownership in the business  ~55% as of November 14, 2024     Currently delivering systems to the market  First delivery made in 3Q 2024  Revenue generating within 30 months of founding  In discussion with many top players in the data center ecosystem  Active engagement at industry events such as OCP Global Summit, Digital Infrastructure Network and upcoming Data Center World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12  AeroFlexx Update  Carried as equity-method investment  Innventure owns ~31% as of November 14, 2024     Currently delivering product to the market and building demand pipeline  Expect products on the shelf in 2025  Capacity to manufacture millions of packages on an annual basis  Executing on global growth plans  February 2024 – announced partnership with Dynapack Asia  June 2024 – announced partnership with Chemipack in the European market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13  Pipeline of Multinational Corporation Relationships(1)  As of November 14, 2024.  Innventure took PureCycle Technologies public in 2021 (Nasdaq “PCT”). As of September 30, 2024, Innventure no longer has an economic interest in PCT.  2  Ongoing MNC Partners     Innventure only needs a handful of high-quality, high-conviction partners to deliver value to shareholders   MNCs that have shared at least one opportunity with Innventure in the last 12 months  Corporations within large industries such as Energy, Industrials, Telecom and Aerospace &amp; Defense  (2)  Nokia  Procter &amp; Gamble  7  MNCs Sharing Opportunities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14  FINANCIAL OVERVIEW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15  Financial Profile and Reporting Structure  Plan to report revenue, Adjusted EBITDA and cash flow as companies scale  Accelsius financials are consolidated and reported through the income statement  AeroFlexx held as equity-method investment     Expect to see revenue growth in coming quarters  Accelsius already generating revenue with robust pipeline of demand  Opportunity for operating leverage  Capital efficient model to run Innventure at the corporate level  Family of companies positioned to capture margin expansion as they scale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16  Capital Position  October 24, 2023  Entered into conditional Standby Equity Purchase Agreement with Yorkville for up to $75 million  October 2, 2024  Successful business combination close with approximately $11.3 million assets in trust  Entered agreement with certain investors for issuance of approximately $11 million of Series B Preferred Stock  October 22, 2024  Entered into $50 million conditional secured line of credit with Western Technology Investment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Innventure’s Capital Allocation Strategy  17  Compounding cash flows expand Innventure's value creation options  Paced investment inline with revenue visibility  Expense management to minimize early-stage operating losses  Disciplined Scale  As Innventure grows, NewCos will receive funding directly from Innventure’s balance sheet  Self Fund NewCo  Excess Free Cash Flow  Share repurchase  Accretive M&amp;A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18  Q&amp;A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7620000" cy="4286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428625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jc w:val="center"/>
        <w:rPr/>
      </w:pPr>
      <w:r>
        <w:rPr/>
      </w:r>
    </w:p>
    <w:p>
      <w:pPr>
        <w:pStyle w:val="HorizontalLine"/>
        <w:pBdr>
          <w:bottom w:val="single" w:sz="12" w:space="0" w:color="808080"/>
        </w:pBdr>
        <w:bidi w:val="0"/>
        <w:jc w:val="center"/>
        <w:rPr/>
      </w:pPr>
      <w:r>
        <w:rPr/>
      </w:r>
    </w:p>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5528</Words>
  <Characters>31926</Characters>
  <CharactersWithSpaces>38847</CharactersWithSpaces>
  <Paragraphs>3485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