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14,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35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As previously disclosed in the Current Report on Form 8-K filed by Innventure, Inc., a Delaware corporation (the “Company”), with the Securities and Exchange Commission (the “SEC”) on March 26, 2025, the Company entered into a securities purchase agreement (the “Purchase Agreement”) with YA II PN, Ltd. (“Yorkville”), for the issuance and sale by the Company of convertible debentures (the “Convertible Debentures”) issuable in an aggregate principal amount of up to $30,000,000, which Convertible Debentures will be convertible into shares of the Company’s common stock, par value $0.0001 per share. On April 14, 2025, the Company issued a Convertible Debenture to Yorkville with an original principal amount of $20,000,000 (the “First Convertible Debenture”). On May 15, 2025, the Company issued a Convertible Debenture to Yorkville with an original principal amount of $10,000,000 (the “Second Convertible Debenture” and, together with the First Convertible Debenture, the “Debentures”).</w:t>
      </w:r>
    </w:p>
    <w:p>
      <w:pPr>
        <w:spacing w:after="0" w:line="212" w:lineRule="exact"/>
        <w:rPr>
          <w:sz w:val="20"/>
          <w:szCs w:val="20"/>
          <w:color w:val="auto"/>
        </w:rPr>
      </w:pPr>
    </w:p>
    <w:p>
      <w:pPr>
        <w:ind w:right="360" w:firstLine="648"/>
        <w:spacing w:after="0"/>
        <w:rPr>
          <w:sz w:val="20"/>
          <w:szCs w:val="20"/>
          <w:color w:val="auto"/>
        </w:rPr>
      </w:pPr>
      <w:r>
        <w:rPr>
          <w:rFonts w:ascii="Times New Roman" w:cs="Times New Roman" w:eastAsia="Times New Roman" w:hAnsi="Times New Roman"/>
          <w:sz w:val="18"/>
          <w:szCs w:val="18"/>
          <w:color w:val="auto"/>
        </w:rPr>
        <w:t>On June 4, 2025, Yorkville and the Company entered into an amendment to the Debentures (the “Amendment”), pursuant to which the parties agreed to amend the definition of “Conversion Price” as set forth in Section 12(n) of the Debentures to add a price floor of $2.00 to the definition of Conversion Price. The Conversion Price may be adjusted from time to time upon the occurrence of certain events pursuant to the other terms and conditions of the Debentures.</w:t>
      </w:r>
    </w:p>
    <w:p>
      <w:pPr>
        <w:spacing w:after="0" w:line="21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the terms of the Amendment, which is attached hereto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421"/>
        </w:trPr>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217"/>
        </w:trPr>
        <w:tc>
          <w:tcPr>
            <w:tcW w:w="9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to the Debenture date June 4, 2025.</w:t>
            </w: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2639"/>
        </w:trPr>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240" w:val="left"/>
          <w:tab w:leader="none" w:pos="272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1440"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CONVERTIBLE DEBENTURES</w:t>
      </w:r>
    </w:p>
    <w:p>
      <w:pPr>
        <w:spacing w:after="0" w:line="264" w:lineRule="exact"/>
        <w:rPr>
          <w:sz w:val="20"/>
          <w:szCs w:val="20"/>
          <w:color w:val="auto"/>
        </w:rPr>
      </w:pPr>
    </w:p>
    <w:p>
      <w:pPr>
        <w:jc w:val="both"/>
        <w:ind w:firstLine="847"/>
        <w:spacing w:after="0" w:line="252" w:lineRule="auto"/>
        <w:rPr>
          <w:sz w:val="20"/>
          <w:szCs w:val="20"/>
          <w:color w:val="auto"/>
        </w:rPr>
      </w:pPr>
      <w:r>
        <w:rPr>
          <w:rFonts w:ascii="Times New Roman" w:cs="Times New Roman" w:eastAsia="Times New Roman" w:hAnsi="Times New Roman"/>
          <w:sz w:val="22"/>
          <w:szCs w:val="22"/>
          <w:color w:val="auto"/>
        </w:rPr>
        <w:t>This Amendment to Convertible Debentures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June 4, 2025 by and between INNVENTURE, INC. a company incorporated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YA II PN, LTD., a Cayman Islands exempt limited company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with reference to (i) that certain Convertible Debenture issued April 14, 2025 in an original principal amount of Twenty Million Dollars ($20,00,000), and (ii) that certain Convertible Debenture issued May 15, 2025 in an original principal amount of Ten Million Dollars ($10,00,000), each delivered by the Company to the Investor (collectively, the “</w:t>
      </w:r>
      <w:r>
        <w:rPr>
          <w:rFonts w:ascii="Times New Roman" w:cs="Times New Roman" w:eastAsia="Times New Roman" w:hAnsi="Times New Roman"/>
          <w:sz w:val="22"/>
          <w:szCs w:val="22"/>
          <w:u w:val="single" w:color="auto"/>
          <w:color w:val="auto"/>
        </w:rPr>
        <w:t>Debentures</w:t>
      </w:r>
      <w:r>
        <w:rPr>
          <w:rFonts w:ascii="Times New Roman" w:cs="Times New Roman" w:eastAsia="Times New Roman" w:hAnsi="Times New Roman"/>
          <w:sz w:val="22"/>
          <w:szCs w:val="22"/>
          <w:color w:val="auto"/>
        </w:rPr>
        <w:t>”). Undefined terms herein have the same definitions set forth in the Debentures.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this Amendment, the Company and the Investor have agreed to amend the Debentures on the following terms:</w:t>
      </w:r>
    </w:p>
    <w:p>
      <w:pPr>
        <w:spacing w:after="0" w:line="229" w:lineRule="exact"/>
        <w:rPr>
          <w:sz w:val="20"/>
          <w:szCs w:val="20"/>
          <w:color w:val="auto"/>
        </w:rPr>
      </w:pPr>
    </w:p>
    <w:p>
      <w:pPr>
        <w:ind w:left="340" w:hanging="332"/>
        <w:spacing w:after="0" w:line="287" w:lineRule="auto"/>
        <w:tabs>
          <w:tab w:leader="none" w:pos="43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Conversion Price. </w:t>
      </w:r>
      <w:r>
        <w:rPr>
          <w:rFonts w:ascii="Times New Roman" w:cs="Times New Roman" w:eastAsia="Times New Roman" w:hAnsi="Times New Roman"/>
          <w:sz w:val="22"/>
          <w:szCs w:val="22"/>
          <w:color w:val="auto"/>
        </w:rPr>
        <w:t>The definition of “Conversion Price” as set forth in Section 12(n) of the Debentures shall be deleted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entirety and replaced with the following:</w:t>
      </w:r>
    </w:p>
    <w:p>
      <w:pPr>
        <w:spacing w:after="0" w:line="155"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22"/>
          <w:szCs w:val="22"/>
          <w:color w:val="auto"/>
        </w:rPr>
        <w:t>12(n) “</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means, as of any Conversion Date or other date of determination, $10.00 per Common Share, provided that, on each of October 14, 2025 (the “</w:t>
      </w:r>
      <w:r>
        <w:rPr>
          <w:rFonts w:ascii="Times New Roman" w:cs="Times New Roman" w:eastAsia="Times New Roman" w:hAnsi="Times New Roman"/>
          <w:sz w:val="22"/>
          <w:szCs w:val="22"/>
          <w:u w:val="single" w:color="auto"/>
          <w:color w:val="auto"/>
        </w:rPr>
        <w:t>First Reset Date</w:t>
      </w:r>
      <w:r>
        <w:rPr>
          <w:rFonts w:ascii="Times New Roman" w:cs="Times New Roman" w:eastAsia="Times New Roman" w:hAnsi="Times New Roman"/>
          <w:sz w:val="22"/>
          <w:szCs w:val="22"/>
          <w:color w:val="auto"/>
        </w:rPr>
        <w:t>”) and January 14, 2026 (the “</w:t>
      </w:r>
      <w:r>
        <w:rPr>
          <w:rFonts w:ascii="Times New Roman" w:cs="Times New Roman" w:eastAsia="Times New Roman" w:hAnsi="Times New Roman"/>
          <w:sz w:val="22"/>
          <w:szCs w:val="22"/>
          <w:u w:val="single" w:color="auto"/>
          <w:color w:val="auto"/>
        </w:rPr>
        <w:t>Second Reset Date</w:t>
      </w:r>
      <w:r>
        <w:rPr>
          <w:rFonts w:ascii="Times New Roman" w:cs="Times New Roman" w:eastAsia="Times New Roman" w:hAnsi="Times New Roman"/>
          <w:sz w:val="22"/>
          <w:szCs w:val="22"/>
          <w:color w:val="auto"/>
        </w:rPr>
        <w:t>” and collectively, a “</w:t>
      </w:r>
      <w:r>
        <w:rPr>
          <w:rFonts w:ascii="Times New Roman" w:cs="Times New Roman" w:eastAsia="Times New Roman" w:hAnsi="Times New Roman"/>
          <w:sz w:val="22"/>
          <w:szCs w:val="22"/>
          <w:u w:val="single" w:color="auto"/>
          <w:color w:val="auto"/>
        </w:rPr>
        <w:t>Reset Date</w:t>
      </w:r>
      <w:r>
        <w:rPr>
          <w:rFonts w:ascii="Times New Roman" w:cs="Times New Roman" w:eastAsia="Times New Roman" w:hAnsi="Times New Roman"/>
          <w:sz w:val="22"/>
          <w:szCs w:val="22"/>
          <w:color w:val="auto"/>
        </w:rPr>
        <w:t>”) the Conversion Price shall be adjusted (downwards only) to equal the lower of (a) the Conversion Price then in effect or (b) the greater of (i) the average VWAP for the ten (10) Trading Days immediately prior to the applicable Reset Date and (ii) $2.00 (as may be adjusted to take into account any combinations or splits to the Common Shares). The Conversion Price shall be adjusted from time to time pursuant to the other terms and conditions of this Debenture.</w:t>
      </w:r>
    </w:p>
    <w:p>
      <w:pPr>
        <w:spacing w:after="0" w:line="184" w:lineRule="exact"/>
        <w:rPr>
          <w:sz w:val="20"/>
          <w:szCs w:val="20"/>
          <w:color w:val="auto"/>
        </w:rPr>
      </w:pPr>
    </w:p>
    <w:p>
      <w:pPr>
        <w:jc w:val="both"/>
        <w:ind w:left="340" w:hanging="332"/>
        <w:spacing w:after="0" w:line="262" w:lineRule="auto"/>
        <w:tabs>
          <w:tab w:leader="none" w:pos="44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Effect; Continuing Validity. </w:t>
      </w:r>
      <w:r>
        <w:rPr>
          <w:rFonts w:ascii="Times New Roman" w:cs="Times New Roman" w:eastAsia="Times New Roman" w:hAnsi="Times New Roman"/>
          <w:sz w:val="22"/>
          <w:szCs w:val="22"/>
          <w:color w:val="auto"/>
        </w:rPr>
        <w:t>The Debenture is amended to the extent necessary to give effect to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Agreement shall supersede any contrary terms in the Debenture. Each reference to the “Debenture” in the Debentures shall be deemed to refer to such Debenture as modified by this Agreement. Except as specifically set forth herein, the terms and conditions of the Debentures shall remain unmodified and are hereby ratified by the parties. The Company acknowledges and agrees that, except as otherwise expressly provided in this Agreement, all terms, conditions and provisions of the Debentures shall continue in full force and effect and remain unaffected and unchanged.</w:t>
      </w:r>
    </w:p>
    <w:p>
      <w:pPr>
        <w:spacing w:after="0" w:line="178" w:lineRule="exact"/>
        <w:rPr>
          <w:rFonts w:ascii="Times New Roman" w:cs="Times New Roman" w:eastAsia="Times New Roman" w:hAnsi="Times New Roman"/>
          <w:sz w:val="22"/>
          <w:szCs w:val="22"/>
          <w:color w:val="auto"/>
        </w:rPr>
      </w:pPr>
    </w:p>
    <w:p>
      <w:pPr>
        <w:ind w:left="340" w:hanging="332"/>
        <w:spacing w:after="0" w:line="287" w:lineRule="auto"/>
        <w:tabs>
          <w:tab w:leader="none" w:pos="50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This Agreement One of the Transaction Documents</w:t>
      </w:r>
      <w:r>
        <w:rPr>
          <w:rFonts w:ascii="Times New Roman" w:cs="Times New Roman" w:eastAsia="Times New Roman" w:hAnsi="Times New Roman"/>
          <w:sz w:val="22"/>
          <w:szCs w:val="22"/>
          <w:color w:val="auto"/>
        </w:rPr>
        <w:t>. From and after the date hereof, this Agreement is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 part of each Debenture and shall be considered a Transaction Document.</w:t>
      </w:r>
    </w:p>
    <w:p>
      <w:pPr>
        <w:spacing w:after="0" w:line="150" w:lineRule="exact"/>
        <w:rPr>
          <w:rFonts w:ascii="Times New Roman" w:cs="Times New Roman" w:eastAsia="Times New Roman" w:hAnsi="Times New Roman"/>
          <w:sz w:val="22"/>
          <w:szCs w:val="22"/>
          <w:color w:val="auto"/>
        </w:rPr>
      </w:pPr>
    </w:p>
    <w:p>
      <w:pPr>
        <w:jc w:val="both"/>
        <w:ind w:left="340" w:hanging="332"/>
        <w:spacing w:after="0" w:line="272" w:lineRule="auto"/>
        <w:tabs>
          <w:tab w:leader="none" w:pos="42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Guarantors. </w:t>
      </w:r>
      <w:r>
        <w:rPr>
          <w:rFonts w:ascii="Times New Roman" w:cs="Times New Roman" w:eastAsia="Times New Roman" w:hAnsi="Times New Roman"/>
          <w:sz w:val="22"/>
          <w:szCs w:val="22"/>
          <w:color w:val="auto"/>
        </w:rPr>
        <w:t>Each of the guarantors listed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(such parties, whether one or more, being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collectively as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hereby (i) acknowledge and consent to the terms and conditions of this Amendment, (ii) affirm their respective Obligations under the Transaction Documents and any other agreement under which any of</w:t>
      </w:r>
    </w:p>
    <w:p>
      <w:pPr>
        <w:sectPr>
          <w:pgSz w:w="11900" w:h="16838" w:orient="portrait"/>
          <w:cols w:equalWidth="0" w:num="1">
            <w:col w:w="11240"/>
          </w:cols>
          <w:pgMar w:left="320" w:top="1418" w:right="339" w:bottom="1440" w:gutter="0" w:footer="0" w:header="0"/>
        </w:sectPr>
      </w:pPr>
    </w:p>
    <w:bookmarkStart w:id="4" w:name="page5"/>
    <w:bookmarkEnd w:id="4"/>
    <w:p>
      <w:pPr>
        <w:ind w:left="340"/>
        <w:spacing w:after="0" w:line="309" w:lineRule="auto"/>
        <w:rPr>
          <w:sz w:val="20"/>
          <w:szCs w:val="20"/>
          <w:color w:val="auto"/>
        </w:rPr>
      </w:pPr>
      <w:r>
        <w:rPr>
          <w:rFonts w:ascii="Times New Roman" w:cs="Times New Roman" w:eastAsia="Times New Roman" w:hAnsi="Times New Roman"/>
          <w:sz w:val="21"/>
          <w:szCs w:val="21"/>
          <w:color w:val="auto"/>
        </w:rPr>
        <w:t>the Guarantors has granted to Investor a guaranty of payment; and (iii) confirm that the Transaction Documents and any other agreement under which any of the Guarantors has granted to Investor a guaranty of payment remain in full force and effect.</w:t>
      </w:r>
    </w:p>
    <w:p>
      <w:pPr>
        <w:spacing w:after="0" w:line="130" w:lineRule="exact"/>
        <w:rPr>
          <w:sz w:val="20"/>
          <w:szCs w:val="20"/>
          <w:color w:val="auto"/>
        </w:rPr>
      </w:pPr>
    </w:p>
    <w:p>
      <w:pPr>
        <w:jc w:val="both"/>
        <w:ind w:left="340" w:hanging="332"/>
        <w:spacing w:after="0" w:line="262" w:lineRule="auto"/>
        <w:tabs>
          <w:tab w:leader="none" w:pos="42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This Agreement shall be governed by and construed in accordance with the laws of the State of New York.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each of which, when so executed, shall be deemed an original, but all such counterparts, taken together, shall constitute one and the same instrument. Delivery of an executed counterpart of this Agreement electronically shall be equally as effective as delivery of a manually executed counterpart of this Agreement. No waiver of any provision of this Agreement shall be effective or enforceable unless made in writing signed by the party waiving any right or privilege hereunder.</w:t>
      </w:r>
    </w:p>
    <w:p>
      <w:pPr>
        <w:spacing w:after="0" w:line="200" w:lineRule="exact"/>
        <w:rPr>
          <w:sz w:val="20"/>
          <w:szCs w:val="20"/>
          <w:color w:val="auto"/>
        </w:rPr>
      </w:pPr>
    </w:p>
    <w:p>
      <w:pPr>
        <w:spacing w:after="0" w:line="37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each of the Guarantors and the Investor have caused this Amendment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a duly authorized representative as of the date first written above.</w:t>
      </w: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3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Yablunosky____</w:t>
      </w:r>
    </w:p>
    <w:p>
      <w:pPr>
        <w:spacing w:after="0" w:line="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 David Yablunosky</w:t>
      </w:r>
    </w:p>
    <w:p>
      <w:pPr>
        <w:spacing w:after="0" w:line="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 Chief Financial Officer</w:t>
      </w:r>
    </w:p>
    <w:p>
      <w:pPr>
        <w:sectPr>
          <w:pgSz w:w="11900" w:h="16838" w:orient="portrait"/>
          <w:cols w:equalWidth="0" w:num="1">
            <w:col w:w="11240"/>
          </w:cols>
          <w:pgMar w:left="320" w:top="1422" w:right="339" w:bottom="1440" w:gutter="0" w:footer="0" w:header="0"/>
        </w:sectPr>
      </w:pPr>
    </w:p>
    <w:bookmarkStart w:id="5" w:name="page6"/>
    <w:bookmarkEnd w:id="5"/>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YA II PN, LTD.</w:t>
      </w:r>
    </w:p>
    <w:p>
      <w:pPr>
        <w:spacing w:after="0" w:line="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Yorkville Advisors Global, LP</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Investment Manger</w:t>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By: Yorkville Advisors Global II, LLC</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Matt Beckman______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Matt Beckman</w:t>
      </w:r>
    </w:p>
    <w:p>
      <w:pPr>
        <w:spacing w:after="0" w:line="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019"/>
          </w:cols>
          <w:pgMar w:left="1440" w:top="1440" w:right="1440" w:bottom="1440" w:gutter="0" w:footer="0" w:header="0"/>
        </w:sectPr>
      </w:pPr>
    </w:p>
    <w:bookmarkStart w:id="6" w:name="page7"/>
    <w:bookmarkEnd w:id="6"/>
    <w:p>
      <w:pPr>
        <w:ind w:left="2780"/>
        <w:spacing w:after="0"/>
        <w:rPr>
          <w:sz w:val="20"/>
          <w:szCs w:val="20"/>
          <w:color w:val="auto"/>
        </w:rPr>
      </w:pPr>
      <w:r>
        <w:rPr>
          <w:rFonts w:ascii="Times New Roman" w:cs="Times New Roman" w:eastAsia="Times New Roman" w:hAnsi="Times New Roman"/>
          <w:sz w:val="22"/>
          <w:szCs w:val="22"/>
          <w:b w:val="1"/>
          <w:bCs w:val="1"/>
          <w:color w:val="auto"/>
        </w:rPr>
        <w:t>INNVENTURE LLC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450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By: /s/ David Yablunosky_______</w:t>
            </w:r>
          </w:p>
        </w:tc>
      </w:tr>
      <w:tr>
        <w:trPr>
          <w:trHeight w:val="277"/>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6"/>
              </w:rPr>
              <w:t>Name: David Yablunosky</w:t>
            </w:r>
          </w:p>
        </w:tc>
        <w:tc>
          <w:tcPr>
            <w:tcW w:w="1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82"/>
        </w:trPr>
        <w:tc>
          <w:tcPr>
            <w:tcW w:w="50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Title: Chief Financial Officer</w:t>
            </w:r>
          </w:p>
        </w:tc>
      </w:tr>
      <w:tr>
        <w:trPr>
          <w:trHeight w:val="825"/>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w w:val="97"/>
              </w:rPr>
              <w:t>Annex 1</w:t>
            </w:r>
          </w:p>
        </w:tc>
      </w:tr>
      <w:tr>
        <w:trPr>
          <w:trHeight w:val="20"/>
        </w:trPr>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545"/>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80" w:type="dxa"/>
            <w:vAlign w:val="bottom"/>
            <w:gridSpan w:val="4"/>
          </w:tcPr>
          <w:p>
            <w:pPr>
              <w:jc w:val="center"/>
              <w:ind w:left="612"/>
              <w:spacing w:after="0"/>
              <w:rPr>
                <w:sz w:val="20"/>
                <w:szCs w:val="20"/>
                <w:color w:val="auto"/>
              </w:rPr>
            </w:pPr>
            <w:r>
              <w:rPr>
                <w:rFonts w:ascii="Times New Roman" w:cs="Times New Roman" w:eastAsia="Times New Roman" w:hAnsi="Times New Roman"/>
                <w:sz w:val="22"/>
                <w:szCs w:val="22"/>
                <w:color w:val="auto"/>
                <w:w w:val="97"/>
              </w:rPr>
              <w:t>(Guarantors)</w:t>
            </w:r>
          </w:p>
        </w:tc>
      </w:tr>
      <w:tr>
        <w:trPr>
          <w:trHeight w:val="258"/>
        </w:trPr>
        <w:tc>
          <w:tcPr>
            <w:tcW w:w="58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spacing w:after="0"/>
              <w:rPr>
                <w:sz w:val="22"/>
                <w:szCs w:val="22"/>
                <w:color w:val="auto"/>
              </w:rPr>
            </w:pPr>
          </w:p>
        </w:tc>
      </w:tr>
      <w:tr>
        <w:trPr>
          <w:trHeight w:val="323"/>
        </w:trPr>
        <w:tc>
          <w:tcPr>
            <w:tcW w:w="580" w:type="dxa"/>
            <w:vAlign w:val="bottom"/>
            <w:tcBorders>
              <w:right w:val="single" w:sz="8" w:color="auto"/>
            </w:tcBorders>
          </w:tcPr>
          <w:p>
            <w:pPr>
              <w:spacing w:after="0"/>
              <w:rPr>
                <w:sz w:val="24"/>
                <w:szCs w:val="24"/>
                <w:color w:val="auto"/>
              </w:rPr>
            </w:pPr>
          </w:p>
        </w:tc>
        <w:tc>
          <w:tcPr>
            <w:tcW w:w="1720" w:type="dxa"/>
            <w:vAlign w:val="bottom"/>
            <w:tcBorders>
              <w:bottom w:val="single" w:sz="8" w:color="D0CECE"/>
              <w:right w:val="single" w:sz="8" w:color="auto"/>
            </w:tcBorders>
            <w:shd w:val="clear" w:color="auto" w:fill="D0CECE"/>
          </w:tcPr>
          <w:p>
            <w:pPr>
              <w:ind w:left="56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780" w:type="dxa"/>
            <w:vAlign w:val="bottom"/>
            <w:tcBorders>
              <w:bottom w:val="single" w:sz="8" w:color="D0CECE"/>
              <w:right w:val="single" w:sz="8" w:color="auto"/>
            </w:tcBorders>
            <w:gridSpan w:val="4"/>
            <w:shd w:val="clear" w:color="auto" w:fill="D0CECE"/>
          </w:tcPr>
          <w:p>
            <w:pPr>
              <w:ind w:left="180"/>
              <w:spacing w:after="0"/>
              <w:rPr>
                <w:sz w:val="20"/>
                <w:szCs w:val="20"/>
                <w:color w:val="auto"/>
              </w:rPr>
            </w:pPr>
            <w:r>
              <w:rPr>
                <w:rFonts w:ascii="Times New Roman" w:cs="Times New Roman" w:eastAsia="Times New Roman" w:hAnsi="Times New Roman"/>
                <w:sz w:val="22"/>
                <w:szCs w:val="22"/>
                <w:b w:val="1"/>
                <w:bCs w:val="1"/>
                <w:color w:val="auto"/>
              </w:rPr>
              <w:t>Jurisdiction of Formation</w:t>
            </w:r>
          </w:p>
        </w:tc>
      </w:tr>
      <w:tr>
        <w:trPr>
          <w:trHeight w:val="289"/>
        </w:trPr>
        <w:tc>
          <w:tcPr>
            <w:tcW w:w="580" w:type="dxa"/>
            <w:vAlign w:val="bottom"/>
            <w:tcBorders>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Innventure LLC</w:t>
            </w:r>
          </w:p>
        </w:tc>
        <w:tc>
          <w:tcPr>
            <w:tcW w:w="278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8"/>
        </w:trPr>
        <w:tc>
          <w:tcPr>
            <w:tcW w:w="5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9019"/>
      </w:cols>
      <w:pgMar w:left="144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2025-06-04T15:24:47Z</dcterms:created>
  <dcterms:modified xsi:type="dcterms:W3CDTF">2025-06-04T15:24:47Z</dcterms:modified>
</cp:coreProperties>
</file>