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April 27, 2026</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2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Innventure,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ectPr>
          <w:pgSz w:w="11900" w:h="16838" w:orient="portrait"/>
          <w:cols w:equalWidth="0" w:num="1">
            <w:col w:w="11300"/>
          </w:cols>
          <w:pgMar w:left="300" w:top="877" w:right="299" w:bottom="1440" w:gutter="0" w:footer="0" w:header="0"/>
        </w:sectPr>
      </w:pPr>
    </w:p>
    <w:p>
      <w:pPr>
        <w:spacing w:after="0" w:line="2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001-42303</w:t>
      </w:r>
    </w:p>
    <w:p>
      <w:pPr>
        <w:spacing w:after="0" w:line="2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93-4440048</w:t>
      </w:r>
    </w:p>
    <w:p>
      <w:pPr>
        <w:spacing w:after="0" w:line="2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(I.R.S. Employer Identification Number)</w:t>
      </w:r>
    </w:p>
    <w:p>
      <w:pPr>
        <w:spacing w:after="0" w:line="27" w:lineRule="exact"/>
        <w:rPr>
          <w:sz w:val="24"/>
          <w:szCs w:val="24"/>
          <w:color w:val="auto"/>
        </w:rPr>
      </w:pPr>
    </w:p>
    <w:p>
      <w:pPr>
        <w:sectPr>
          <w:pgSz w:w="11900" w:h="16838" w:orient="portrait"/>
          <w:cols w:equalWidth="0" w:num="3">
            <w:col w:w="4240" w:space="720"/>
            <w:col w:w="2700" w:space="720"/>
            <w:col w:w="2920"/>
          </w:cols>
          <w:pgMar w:left="300" w:top="877" w:right="29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6900 Tavistock Lakes Blvd, Suite 400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Orlando, Florida 32827</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(321) 209-6787</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7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w:t>
      </w:r>
    </w:p>
    <w:p>
      <w:pPr>
        <w:sectPr>
          <w:pgSz w:w="11900" w:h="16838" w:orient="portrait"/>
          <w:cols w:equalWidth="0" w:num="1">
            <w:col w:w="11300"/>
          </w:cols>
          <w:pgMar w:left="300" w:top="877" w:right="299" w:bottom="1440" w:gutter="0" w:footer="0" w:header="0"/>
          <w:type w:val="continuous"/>
        </w:sectPr>
      </w:pP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highlight w:val="black"/>
        </w:rPr>
      </w:pPr>
    </w:p>
    <w:p>
      <w:pPr>
        <w:ind w:left="680" w:hanging="405"/>
        <w:spacing w:after="0"/>
        <w:tabs>
          <w:tab w:leader="none" w:pos="68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Pre-commencement communications pursuant to Rule 13e-4(c) under the Exchange Act (17 CFR 240.13e-4(c))</w:t>
      </w:r>
    </w:p>
    <w:p>
      <w:pPr>
        <w:spacing w:after="0" w:line="195" w:lineRule="exact"/>
        <w:rPr>
          <w:sz w:val="24"/>
          <w:szCs w:val="24"/>
          <w:color w:val="auto"/>
        </w:rPr>
      </w:pPr>
    </w:p>
    <w:tbl>
      <w:tblPr>
        <w:tblLayout w:type="fixed"/>
        <w:tblInd w:w="74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8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53"/>
        </w:trPr>
        <w:tc>
          <w:tcPr>
            <w:tcW w:w="680" w:type="dxa"/>
            <w:vAlign w:val="bottom"/>
          </w:tcPr>
          <w:p>
            <w:pPr>
              <w:spacing w:after="0"/>
              <w:rPr>
                <w:sz w:val="13"/>
                <w:szCs w:val="13"/>
                <w:color w:val="auto"/>
              </w:rPr>
            </w:pPr>
          </w:p>
        </w:tc>
        <w:tc>
          <w:tcPr>
            <w:tcW w:w="2180" w:type="dxa"/>
            <w:vAlign w:val="bottom"/>
            <w:gridSpan w:val="2"/>
          </w:tcPr>
          <w:p>
            <w:pPr>
              <w:jc w:val="center"/>
              <w:ind w:right="12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80" w:type="dxa"/>
            <w:vAlign w:val="bottom"/>
            <w:gridSpan w:val="3"/>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262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87"/>
        </w:trPr>
        <w:tc>
          <w:tcPr>
            <w:tcW w:w="2860" w:type="dxa"/>
            <w:vAlign w:val="bottom"/>
            <w:gridSpan w:val="3"/>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w:t>
            </w:r>
          </w:p>
        </w:tc>
        <w:tc>
          <w:tcPr>
            <w:tcW w:w="1200" w:type="dxa"/>
            <w:vAlign w:val="bottom"/>
          </w:tcPr>
          <w:p>
            <w:pPr>
              <w:spacing w:after="0"/>
              <w:rPr>
                <w:sz w:val="16"/>
                <w:szCs w:val="16"/>
                <w:color w:val="auto"/>
              </w:rPr>
            </w:pPr>
          </w:p>
        </w:tc>
        <w:tc>
          <w:tcPr>
            <w:tcW w:w="2680" w:type="dxa"/>
            <w:vAlign w:val="bottom"/>
            <w:gridSpan w:val="2"/>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INV</w:t>
            </w:r>
          </w:p>
        </w:tc>
        <w:tc>
          <w:tcPr>
            <w:tcW w:w="38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The Nasdaq Stock Market, LLC</w:t>
            </w:r>
          </w:p>
        </w:tc>
      </w:tr>
    </w:tbl>
    <w:p>
      <w:pPr>
        <w:spacing w:after="0" w:line="138" w:lineRule="exact"/>
        <w:rPr>
          <w:sz w:val="24"/>
          <w:szCs w:val="24"/>
          <w:color w:val="auto"/>
        </w:rPr>
      </w:pPr>
    </w:p>
    <w:p>
      <w:pPr>
        <w:ind w:right="160"/>
        <w:spacing w:after="0" w:line="286" w:lineRule="auto"/>
        <w:rPr>
          <w:sz w:val="20"/>
          <w:szCs w:val="20"/>
          <w:color w:val="auto"/>
        </w:rPr>
      </w:pPr>
      <w:r>
        <w:rPr>
          <w:rFonts w:ascii="Times New Roman" w:cs="Times New Roman" w:eastAsia="Times New Roman" w:hAnsi="Times New Roman"/>
          <w:sz w:val="12"/>
          <w:szCs w:val="12"/>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7" w:lineRule="exact"/>
        <w:rPr>
          <w:sz w:val="24"/>
          <w:szCs w:val="24"/>
          <w:color w:val="auto"/>
        </w:rPr>
      </w:pPr>
    </w:p>
    <w:p>
      <w:pPr>
        <w:spacing w:after="0" w:line="138" w:lineRule="exact"/>
        <w:tabs>
          <w:tab w:leader="none" w:pos="1480" w:val="left"/>
        </w:tabs>
        <w:rPr>
          <w:sz w:val="20"/>
          <w:szCs w:val="20"/>
          <w:color w:val="auto"/>
        </w:rPr>
      </w:pPr>
      <w:r>
        <w:rPr>
          <w:rFonts w:ascii="Times New Roman" w:cs="Times New Roman" w:eastAsia="Times New Roman" w:hAnsi="Times New Roman"/>
          <w:sz w:val="12"/>
          <w:szCs w:val="12"/>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433070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7" w:right="299" w:bottom="1440" w:gutter="0" w:footer="0" w:header="0"/>
          <w:type w:val="continuous"/>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As previously announced, Innventure, Inc. (“Innventure” or the “Company”) will host an operating company CEO conference call today at 5:00 p.m. ET, featuring executive commentary from the chief executive officers of Accelsius Holdings LLC, AeroFlexx, LLC, and Refinity Olefins, LLC, each an operating subsidiary company of Innventure.</w:t>
      </w:r>
    </w:p>
    <w:p>
      <w:pPr>
        <w:spacing w:after="0" w:line="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replay of the event webcast, which will be open to all, will be made available on Innventure’s investor relations website shortly following the call.</w:t>
      </w:r>
    </w:p>
    <w:p>
      <w:pPr>
        <w:spacing w:after="0" w:line="78"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 xml:space="preserve">Attached as Exhibit 99.1 to this Current Report on Form 8-K and incorporated into this Item 7.01 by reference is the presentation that Innventure will use during the conference call. The presentation will also be available on the “News &amp; Events: Presentations” page of Innventure's website: </w:t>
      </w:r>
      <w:r>
        <w:rPr>
          <w:rFonts w:ascii="Times New Roman" w:cs="Times New Roman" w:eastAsia="Times New Roman" w:hAnsi="Times New Roman"/>
          <w:sz w:val="12"/>
          <w:szCs w:val="12"/>
          <w:color w:val="467886"/>
        </w:rPr>
        <w:t>https://ir.innventure.com/news-events/presentations</w:t>
      </w:r>
      <w:r>
        <w:rPr>
          <w:rFonts w:ascii="Times New Roman" w:cs="Times New Roman" w:eastAsia="Times New Roman" w:hAnsi="Times New Roman"/>
          <w:sz w:val="12"/>
          <w:szCs w:val="12"/>
          <w:color w:val="auto"/>
        </w:rPr>
        <w:t>.</w:t>
      </w:r>
    </w:p>
    <w:p>
      <w:pPr>
        <w:spacing w:after="0" w:line="35"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8.01</w:t>
        <w:tab/>
        <w:t>Other Events.</w:t>
      </w:r>
    </w:p>
    <w:p>
      <w:pPr>
        <w:spacing w:after="0" w:line="82"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February 25, 2026, the Company’s Board of Directors (the “Board”) adopted stock ownership guidelines (the “Guidelines”) applicable to the Company’s non-management directors and executive officers and specified senior officers in furtherance of the Company’s commitment to strong corporate governance and to further align the interests of its leadership with those of its stockholders.</w:t>
      </w:r>
    </w:p>
    <w:p>
      <w:pPr>
        <w:spacing w:after="0" w:line="39"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Under the Guidelines, (a) non-employee directors are expected to hold shares of the Company’s common stock, par value $0.0001 per share (“Common Stock”), having a value equal to at least three times their annual cash retainer, (b) the Company’s Chief Executive Officer is expected to hold shares of Common Stock having a value equal to at least five times his or her annual base salary, and (c) the Company’s other executive officers and specified senior officers are expected to hold shares of Common Stock having a value equal to at least three times their respective annual base salaries. Shares of Common Stock counted toward satisfaction of the Guidelines include (1) shares directly owned;</w:t>
      </w:r>
    </w:p>
    <w:p>
      <w:pPr>
        <w:spacing w:after="0" w:line="1" w:lineRule="exact"/>
        <w:rPr>
          <w:sz w:val="20"/>
          <w:szCs w:val="20"/>
          <w:color w:val="auto"/>
        </w:rPr>
      </w:pPr>
    </w:p>
    <w:p>
      <w:pPr>
        <w:jc w:val="both"/>
        <w:ind w:left="8" w:hanging="8"/>
        <w:spacing w:after="0" w:line="255" w:lineRule="auto"/>
        <w:tabs>
          <w:tab w:leader="none" w:pos="181"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vested stock awards, including such awards that have been deferred for future delivery; (3) shares relating to unvested time-based restricted stock and restricted stock units; (4) shares owned jointly with spouse; (5) shares held in a trust established by the applicable officer or director for the benefit of such individual and/or his or her family members; (6) shares held by the purchase of stock through an employee stock purchase plan; and (7) shares held in a 401(k) or similar qualified or non-qualified retirement plan.</w:t>
      </w:r>
    </w:p>
    <w:p>
      <w:pPr>
        <w:spacing w:after="0" w:line="53"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Covered individuals are generally expected to achieve the applicable ownership levels within five years of becoming subject to the Guidelines. Until the applicable ownership level is achieved, covered individuals are required to retain a specified percentage of “net profit shares” from each award on exercise, vesting or earning of an equity award granted at or following the later of the implementation date of the Guidelines or the date such person became subject to the Guidelines. “Net profit shares” means shares received on vesting or earning of restricted stock/restricted stock units, net of shares for taxes; and shares received on exercise of stock options, net of shares tendered or withheld for payment of exercise price and shares for taxes. Non-management directors are required to hold 100% of net profit shares, and executive officers and senior officers covered by the Guidelines are required to retain 50% of net profit shares.</w:t>
      </w:r>
    </w:p>
    <w:p>
      <w:pPr>
        <w:spacing w:after="0" w:line="5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Guidelines is a summary only and is qualified in its entirety by reference to the full text of the Guidelines, which are available on the Company’s website at https://ir.innventure.com/corporate-governance/documents-charters. The Company intends to review the Guidelines from time to time and may amend them as it deems appropriate.</w:t>
      </w:r>
    </w:p>
    <w:p>
      <w:pPr>
        <w:spacing w:after="0" w:line="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 Exhibits</w:t>
      </w:r>
    </w:p>
    <w:p>
      <w:pPr>
        <w:spacing w:after="0" w:line="19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38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920" w:type="dxa"/>
            <w:vAlign w:val="bottom"/>
          </w:tcPr>
          <w:p>
            <w:pPr>
              <w:ind w:left="446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71"/>
        </w:trPr>
        <w:tc>
          <w:tcPr>
            <w:tcW w:w="13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99.1</w:t>
            </w:r>
          </w:p>
        </w:tc>
        <w:tc>
          <w:tcPr>
            <w:tcW w:w="99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Investor Presentation dated April 27, 2026</w:t>
            </w:r>
          </w:p>
        </w:tc>
      </w:tr>
      <w:tr>
        <w:trPr>
          <w:trHeight w:val="171"/>
        </w:trPr>
        <w:tc>
          <w:tcPr>
            <w:tcW w:w="138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104</w:t>
            </w:r>
          </w:p>
        </w:tc>
        <w:tc>
          <w:tcPr>
            <w:tcW w:w="99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Cover Page Interactive Data File (formatted in Inline XBRL)</w:t>
            </w:r>
          </w:p>
        </w:tc>
      </w:tr>
      <w:tr>
        <w:trPr>
          <w:trHeight w:val="801"/>
        </w:trPr>
        <w:tc>
          <w:tcPr>
            <w:tcW w:w="138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079" w:right="2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3"/>
          <w:szCs w:val="13"/>
          <w:b w:val="1"/>
          <w:bCs w:val="1"/>
          <w:color w:val="auto"/>
        </w:rPr>
        <w:t>INNVENTURE,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Date: April 27, 2026</w:t>
            </w:r>
          </w:p>
        </w:tc>
        <w:tc>
          <w:tcPr>
            <w:tcW w:w="3280" w:type="dxa"/>
            <w:vAlign w:val="bottom"/>
          </w:tcPr>
          <w:p>
            <w:pPr>
              <w:ind w:left="2500"/>
              <w:spacing w:after="0"/>
              <w:rPr>
                <w:sz w:val="20"/>
                <w:szCs w:val="20"/>
                <w:color w:val="auto"/>
              </w:rPr>
            </w:pPr>
            <w:r>
              <w:rPr>
                <w:rFonts w:ascii="Times New Roman" w:cs="Times New Roman" w:eastAsia="Times New Roman" w:hAnsi="Times New Roman"/>
                <w:sz w:val="12"/>
                <w:szCs w:val="12"/>
                <w:color w:val="auto"/>
              </w:rPr>
              <w:t>By:</w:t>
            </w:r>
          </w:p>
        </w:tc>
        <w:tc>
          <w:tcPr>
            <w:tcW w:w="4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 David Yablunosky</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80" w:type="dxa"/>
            <w:vAlign w:val="bottom"/>
            <w:vMerge w:val="restart"/>
          </w:tcPr>
          <w:p>
            <w:pPr>
              <w:ind w:left="2500"/>
              <w:spacing w:after="0"/>
              <w:rPr>
                <w:sz w:val="20"/>
                <w:szCs w:val="20"/>
                <w:color w:val="auto"/>
              </w:rPr>
            </w:pPr>
            <w:r>
              <w:rPr>
                <w:rFonts w:ascii="Times New Roman" w:cs="Times New Roman" w:eastAsia="Times New Roman" w:hAnsi="Times New Roman"/>
                <w:sz w:val="12"/>
                <w:szCs w:val="12"/>
                <w:color w:val="auto"/>
              </w:rPr>
              <w:t>Name:</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David Yablunosky</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280" w:type="dxa"/>
            <w:vAlign w:val="bottom"/>
          </w:tcPr>
          <w:p>
            <w:pPr>
              <w:ind w:left="2500"/>
              <w:spacing w:after="0"/>
              <w:rPr>
                <w:sz w:val="20"/>
                <w:szCs w:val="20"/>
                <w:color w:val="auto"/>
              </w:rPr>
            </w:pPr>
            <w:r>
              <w:rPr>
                <w:rFonts w:ascii="Times New Roman" w:cs="Times New Roman" w:eastAsia="Times New Roman" w:hAnsi="Times New Roman"/>
                <w:sz w:val="12"/>
                <w:szCs w:val="12"/>
                <w:color w:val="auto"/>
              </w:rPr>
              <w:t>Title:</w:t>
            </w:r>
          </w:p>
        </w:tc>
        <w:tc>
          <w:tcPr>
            <w:tcW w:w="4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20" w:top="926"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2026-04-27T16:08:42Z</dcterms:created>
  <dcterms:modified xsi:type="dcterms:W3CDTF">2026-04-27T16:08:42Z</dcterms:modified>
</cp:coreProperties>
</file>