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333-291034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1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November 12,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This prospectus supplement updates, amends and supplements the prospectus dated November 12, 2025 (the “Prospectus”), which forms a part of our Registration Statement on Form S-1 (Registration No. 333-291034) and is being filed </w:t>
      </w:r>
      <w:r>
        <w:rPr>
          <w:rFonts w:ascii="Times New Roman;serif" w:hAnsi="Times New Roman;serif"/>
          <w:b w:val="false"/>
          <w:color w:val="000000"/>
          <w:sz w:val="20"/>
          <w:shd w:fill="FFFFFF" w:val="clear"/>
        </w:rPr>
        <w:t>to update, amend and supplement the information included in the Prospectus with information contained in our Quarterly Report on Form 10-Q, which was filed with the Securities and Exchange Commission (the “SEC”) on November 13, 2025 (the “Quarterly Report”), and our Current Report on Form 8-K, which was filed with the SEC on November 12, 2025 (the “Current Report”). Accordingly, we have attached each of the Quarterly Report and the Current Report to this prospectus supplement.</w:t>
      </w:r>
      <w:r>
        <w:rPr>
          <w:color w:val="000000"/>
        </w:rPr>
        <w:t xml:space="preserve"> </w:t>
      </w:r>
      <w:r>
        <w:rPr>
          <w:rFonts w:ascii="Times New Roman;serif" w:hAnsi="Times New Roman;serif"/>
          <w:b w:val="false"/>
          <w:color w:val="000000"/>
          <w:sz w:val="20"/>
        </w:rPr>
        <w:t>Capitalized terms used in this prospectus supplement and not otherwise defined herein have the meanings specified in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of our common stock, par value $0.0001 per share (our “Common Stock”), are listed on The Nasdaq Stock Market, LLC under the symbol “INV.” On November 13, 2025, the closing price of our Common Stock was $3.69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Investing in our securities </w:t>
      </w:r>
      <w:r>
        <w:rPr>
          <w:rFonts w:ascii="Times New Roman;serif" w:hAnsi="Times New Roman;serif"/>
          <w:b/>
          <w:color w:val="000000"/>
          <w:sz w:val="20"/>
          <w:shd w:fill="FFFFFF" w:val="clear"/>
        </w:rPr>
        <w:t>involves risks that are described in the “Ri</w:t>
      </w:r>
      <w:r>
        <w:rPr>
          <w:rFonts w:ascii="Times New Roman;serif" w:hAnsi="Times New Roman;serif"/>
          <w:b/>
          <w:color w:val="000000"/>
          <w:sz w:val="20"/>
        </w:rPr>
        <w:t>sk Factors” section of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supplement is November 14,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001-42303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6584" w:type="dxa"/>
        <w:jc w:val="left"/>
        <w:tblInd w:w="0" w:type="dxa"/>
        <w:tblLayout w:type="fixed"/>
        <w:tblCellMar>
          <w:top w:w="28" w:type="dxa"/>
          <w:left w:w="28" w:type="dxa"/>
          <w:bottom w:w="28" w:type="dxa"/>
          <w:right w:w="28" w:type="dxa"/>
        </w:tblCellMar>
      </w:tblPr>
      <w:tblGrid>
        <w:gridCol w:w="1285"/>
        <w:gridCol w:w="1129"/>
        <w:gridCol w:w="1141"/>
        <w:gridCol w:w="884"/>
        <w:gridCol w:w="884"/>
        <w:gridCol w:w="1261"/>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Orlando, Florida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32827</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(321) 209-6787</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5620" w:type="dxa"/>
        <w:jc w:val="left"/>
        <w:tblInd w:w="0" w:type="dxa"/>
        <w:tblLayout w:type="fixed"/>
        <w:tblCellMar>
          <w:top w:w="28" w:type="dxa"/>
          <w:left w:w="28" w:type="dxa"/>
          <w:bottom w:w="28" w:type="dxa"/>
          <w:right w:w="28" w:type="dxa"/>
        </w:tblCellMar>
      </w:tblPr>
      <w:tblGrid>
        <w:gridCol w:w="695"/>
        <w:gridCol w:w="611"/>
        <w:gridCol w:w="613"/>
        <w:gridCol w:w="170"/>
        <w:gridCol w:w="170"/>
        <w:gridCol w:w="170"/>
        <w:gridCol w:w="109"/>
        <w:gridCol w:w="109"/>
        <w:gridCol w:w="109"/>
        <w:gridCol w:w="769"/>
        <w:gridCol w:w="769"/>
        <w:gridCol w:w="772"/>
        <w:gridCol w:w="162"/>
        <w:gridCol w:w="162"/>
        <w:gridCol w:w="230"/>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 xml:space="preserve">x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November 12, 2025, the registrant had 62,471,971 shares of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53" w:type="dxa"/>
        <w:jc w:val="left"/>
        <w:tblInd w:w="0" w:type="dxa"/>
        <w:tblLayout w:type="fixed"/>
        <w:tblCellMar>
          <w:top w:w="28" w:type="dxa"/>
          <w:left w:w="28" w:type="dxa"/>
          <w:bottom w:w="28" w:type="dxa"/>
          <w:right w:w="28" w:type="dxa"/>
        </w:tblCellMar>
      </w:tblPr>
      <w:tblGrid>
        <w:gridCol w:w="500"/>
        <w:gridCol w:w="439"/>
        <w:gridCol w:w="439"/>
        <w:gridCol w:w="2447"/>
        <w:gridCol w:w="2447"/>
        <w:gridCol w:w="2471"/>
        <w:gridCol w:w="236"/>
        <w:gridCol w:w="236"/>
        <w:gridCol w:w="33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65" w:after="20"/>
              <w:jc w:val="center"/>
              <w:rPr/>
            </w:pPr>
            <w:r>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810" w:type="dxa"/>
            <w:gridSpan w:val="3"/>
            <w:tcBorders>
              <w:top w:val="single" w:sz="4" w:space="0" w:color="000000"/>
            </w:tcBorders>
            <w:tcMar>
              <w:left w:w="0" w:type="dxa"/>
              <w:bottom w:w="0" w:type="dxa"/>
              <w:right w:w="0" w:type="dxa"/>
            </w:tcMar>
            <w:vAlign w:val="center"/>
          </w:tcPr>
          <w:p>
            <w:pPr>
              <w:pStyle w:val="TableContents"/>
              <w:bidi w:val="0"/>
              <w:spacing w:before="55" w:after="20"/>
              <w:jc w:val="left"/>
              <w:rPr/>
            </w:pPr>
            <w:r>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6">
              <w:r>
                <w:rPr>
                  <w:rStyle w:val="InternetLink"/>
                  <w:rFonts w:ascii="Times New Roman;serif" w:hAnsi="Times New Roman;serif"/>
                  <w:b w:val="false"/>
                  <w:strike w:val="false"/>
                  <w:dstrike w:val="false"/>
                  <w:color w:val="000000"/>
                  <w:sz w:val="20"/>
                  <w:u w:val="none"/>
                  <w:effect w:val="none"/>
                </w:rPr>
                <w:t>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88">
              <w:r>
                <w:rPr>
                  <w:rStyle w:val="InternetLink"/>
                  <w:rFonts w:ascii="Times New Roman;serif" w:hAnsi="Times New Roman;serif"/>
                  <w:b w:val="false"/>
                  <w:strike w:val="false"/>
                  <w:dstrike w:val="false"/>
                  <w:color w:val="000000"/>
                  <w:sz w:val="20"/>
                  <w:u w:val="none"/>
                  <w:effect w:val="none"/>
                </w:rPr>
                <w:t>40</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1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09">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12">
              <w:r>
                <w:rPr>
                  <w:rStyle w:val="InternetLink"/>
                  <w:rFonts w:ascii="Times New Roman;serif" w:hAnsi="Times New Roman;serif"/>
                  <w:b w:val="false"/>
                  <w:strike w:val="false"/>
                  <w:dstrike w:val="false"/>
                  <w:color w:val="000000"/>
                  <w:sz w:val="20"/>
                  <w:u w:val="none"/>
                  <w:effect w:val="none"/>
                </w:rPr>
                <w:t>52</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1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Other Information</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24">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124">
              <w:r>
                <w:rPr>
                  <w:rStyle w:val="InternetLink"/>
                  <w:rFonts w:ascii="Times New Roman;serif" w:hAnsi="Times New Roman;serif"/>
                  <w:b w:val="false"/>
                  <w:strike w:val="false"/>
                  <w:dstrike w:val="false"/>
                  <w:color w:val="000080"/>
                  <w:sz w:val="20"/>
                  <w:u w:val="single"/>
                  <w:effect w:val="none"/>
                </w:rPr>
                <w:t>1</w:t>
              </w:r>
            </w:hyperlink>
            <w:hyperlink w:anchor="ic00931e569874fb1a320c87b1f8af24a_124">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18">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1">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88">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88">
              <w:r>
                <w:rPr>
                  <w:rStyle w:val="InternetLink"/>
                  <w:rFonts w:ascii="Times New Roman;serif" w:hAnsi="Times New Roman;serif"/>
                  <w:b w:val="false"/>
                  <w:strike w:val="false"/>
                  <w:dstrike w:val="false"/>
                  <w:color w:val="000080"/>
                  <w:sz w:val="20"/>
                  <w:u w:val="single"/>
                  <w:effect w:val="none"/>
                </w:rPr>
                <w:t>2</w:t>
              </w:r>
            </w:hyperlink>
            <w:hyperlink w:anchor="ic00931e569874fb1a320c87b1f8af24a_88">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4">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27">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0">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3">
              <w:r>
                <w:rPr>
                  <w:rStyle w:val="InternetLink"/>
                  <w:rFonts w:ascii="Times New Roman;serif" w:hAnsi="Times New Roman;serif"/>
                  <w:b w:val="false"/>
                  <w:strike w:val="false"/>
                  <w:dstrike w:val="false"/>
                  <w:color w:val="000000"/>
                  <w:sz w:val="20"/>
                  <w:u w:val="none"/>
                  <w:effect w:val="none"/>
                </w:rPr>
                <w:t>54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39">
              <w:r>
                <w:rPr>
                  <w:rStyle w:val="InternetLink"/>
                  <w:rFonts w:ascii="Times New Roman;serif" w:hAnsi="Times New Roman;serif"/>
                  <w:b w:val="false"/>
                  <w:strike w:val="false"/>
                  <w:dstrike w:val="false"/>
                  <w:color w:val="000080"/>
                  <w:sz w:val="20"/>
                  <w:u w:val="single"/>
                  <w:effect w:val="none"/>
                </w:rPr>
                <w:t xml:space="preserve">Item </w:t>
              </w:r>
            </w:hyperlink>
            <w:hyperlink w:anchor="ic00931e569874fb1a320c87b1f8af24a_139">
              <w:r>
                <w:rPr>
                  <w:rStyle w:val="InternetLink"/>
                  <w:rFonts w:ascii="Times New Roman;serif" w:hAnsi="Times New Roman;serif"/>
                  <w:b w:val="false"/>
                  <w:strike w:val="false"/>
                  <w:dstrike w:val="false"/>
                  <w:color w:val="000080"/>
                  <w:sz w:val="20"/>
                  <w:u w:val="single"/>
                  <w:effect w:val="none"/>
                </w:rPr>
                <w:t>6</w:t>
              </w:r>
            </w:hyperlink>
            <w:hyperlink w:anchor="ic00931e569874fb1a320c87b1f8af24a_139">
              <w:r>
                <w:rPr>
                  <w:rStyle w:val="InternetLink"/>
                  <w:rFonts w:ascii="Times New Roman;serif" w:hAnsi="Times New Roman;serif"/>
                  <w:b w:val="false"/>
                  <w:strike w:val="false"/>
                  <w:dstrike w:val="false"/>
                  <w:color w:val="000080"/>
                  <w:sz w:val="20"/>
                  <w:u w:val="single"/>
                  <w:effect w:val="none"/>
                </w:rPr>
                <w:t>.</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39">
              <w:r>
                <w:rPr>
                  <w:rStyle w:val="InternetLink"/>
                  <w:rFonts w:ascii="Times New Roman;serif" w:hAnsi="Times New Roman;serif"/>
                  <w:b w:val="false"/>
                  <w:strike w:val="false"/>
                  <w:dstrike w:val="false"/>
                  <w:color w:val="000000"/>
                  <w:sz w:val="20"/>
                  <w:u w:val="none"/>
                  <w:effect w:val="none"/>
                </w:rPr>
                <w:t>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39">
              <w:r>
                <w:rPr>
                  <w:rStyle w:val="InternetLink"/>
                  <w:rFonts w:ascii="Times New Roman;serif" w:hAnsi="Times New Roman;serif"/>
                  <w:b w:val="false"/>
                  <w:strike w:val="false"/>
                  <w:dstrike w:val="false"/>
                  <w:color w:val="000000"/>
                  <w:sz w:val="20"/>
                  <w:u w:val="none"/>
                  <w:effect w:val="none"/>
                </w:rPr>
                <w:t>55</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00931e569874fb1a320c87b1f8af24a_142">
              <w:r>
                <w:rPr>
                  <w:rStyle w:val="InternetLink"/>
                  <w:rFonts w:ascii="Times New Roman;serif" w:hAnsi="Times New Roman;serif"/>
                  <w:b w:val="false"/>
                  <w:strike w:val="false"/>
                  <w:dstrike w:val="false"/>
                  <w:color w:val="000000"/>
                  <w:sz w:val="20"/>
                  <w:u w:val="none"/>
                  <w:effect w:val="none"/>
                </w:rPr>
                <w:t>Signatures</w:t>
              </w:r>
            </w:hyperlink>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00931e569874fb1a320c87b1f8af24a_142">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references in this Quarterly Report on Form 10-Q (“Form 10-Q”) to “Innventure,” the “Company,” “we,” “our” or “us” refer to Innventure, Inc. and its consolidated subsidiaries.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Forward-looking statements generally relate to future events or the Company’s future financial or operating performance and may refer to projections, forecasts or other characterizations of future events or circumstances, including any underlying assumptions.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expectations regarding Innventure’s and the Innventure Companies’ (as defined below)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implementation, market acceptance and success of Innventure’s and the Innventure Companies’ business models and growth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future capital requirements and sources and uses of cash;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sustained unfavorable economic or other conditions which could cause the need for Innventure to evaluate and potentially record additional impairment charges for all, or a portion of, its goodwill and other intangible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Innventure’s future capital requirements and sources and uses of cash, including: (i) Innventure’s ability to obtain funding for its operations and future growth; and (ii) Innventure’s ability to continue as a going concern;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Innventure’s ability to maintain control over the Innventure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meet the various conditions imposed by, and to satisfy its obligations to, the WTI Lenders (as defined below), under the WTI Facility (as defined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Innventure’s access to funds under the Standby Equity Purchase Agreement (the “SEPA”) with YA II PN, Ltd. (“Yorkville”), including ownership limitations, issuances and subscriptions based on trading volumes, </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Innventure’s ability to continue to access the funds available under the SEPA due to certain conditions, restrictions and limitations set forth therein and in the Existing Purchase Agreement (as defined below) and the Securities Purchase Agreement (together, the “Purchase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restrictions and limitations set forth in Innventure’s debt instruments, which may impair Innventure’s financial and operating flexibility;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ability to generate liquidity and maintain sufficient capital to operate as anticipated;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and the Innventure Companies’ ability to obtain funding for their operations, future growth and to continue as going concerns;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the technology solutions that Innventure and the Innventure Companies license or acquire from third parties or develop internally may not function as anticipated or provide the benefits anticipated;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and projections relating to Innventure’s and the Innventure Companies’ competitors and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scale the operations of their respective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establish substantial commercial sales of their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Innventure and the Innventure Companies to compete against companies with greater capital and other resources or superior technology or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 and the Innventure Companies’ ability to meet, and to continue to meet, applicable regulatory requirements for the use of their respective products and the numerous regulatory requirements generally applicable to their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outcome of any legal proceedings against Innventure or the Innventure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the launch of new companies distracts Innventure’s management from its subsidiaries and their respective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that Innventure may be deemed an investment company under the Investment Company Act of 1940 (the “Investment Company Act”), which would impose burdensome compliance requirements and restrictions on its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Innventure’s ability to sufficiently protect the intellectual property (“IP”) rights of itself and its Operating Companies, and to avoid or resolve in a timely and cost-effective manner any disputes that may arise relating to its use of the IP of third parties;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risk of a cyber-attack or a failure of Innventure’s information technology and data security infrastructure;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geopolitical risk and changes in applicable laws or regulations, including with respect to foreign trade policy and tariffs;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adverse effects of other economic, business, and/or competitive factors; </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operational risks related to Innventure and the Innventure Companies, which have limited or no operating history;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limited liquidity and trading of Innventure’s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21"/>
        <w:gridCol w:w="2218"/>
        <w:gridCol w:w="2246"/>
        <w:gridCol w:w="305"/>
        <w:gridCol w:w="1090"/>
        <w:gridCol w:w="183"/>
        <w:gridCol w:w="109"/>
        <w:gridCol w:w="109"/>
        <w:gridCol w:w="109"/>
        <w:gridCol w:w="192"/>
        <w:gridCol w:w="687"/>
        <w:gridCol w:w="336"/>
      </w:tblGrid>
      <w:tr>
        <w:trPr/>
        <w:tc>
          <w:tcPr>
            <w:tcW w:w="262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11,119 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related parties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4,536 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Assets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32,250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24,286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28,734 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165,941 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182,153 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323,463 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667,936 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Assets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556,515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benefits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notes payable - current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34,398 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Embedded derivative liability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Obligation to issue equity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4,158 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34,023 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payable</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convertible promissory notes - current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Current Liabilities </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82,477</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69,347</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Notes payable, net of current portion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13,654 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Term convertible notes, net of current portion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Related party convertible promissory notes, net of current portion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Earnout liability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14,752 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liability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1,160 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Patent installment payable, net of current portion</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12,375 </w:t>
            </w:r>
          </w:p>
        </w:tc>
        <w:tc>
          <w:tcPr>
            <w:tcW w:w="33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27,353 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149,936</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138,996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Commitments and Contingencies (Note 16)</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$0.0001 par value, 25,000,000 shares authorized;</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B Preferred Stock, $0.0001 par value, 3,000,000 shares designated, 33,144 and 1,102,000 shares issued and outstanding as of September 30, 2025 and December 31, 2024, respectively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Series C Preferred Stock, $0.0001 par value, 5,000,000 shares designated, 150,000 and — shares issued and outstanding as of September 30, 2025 and December 31, 2024, respectively</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250,000,000 shares authorized, 56,220,158 and 44,597,154 shares issued and outstanding as of September 30, 2025 and December 31, 2024, respectively</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525,615 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502,865 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Accumulated other comprehensive (loss) gain </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(333,844)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Innventure, Inc., Stockholders’ Equity</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190,769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425,516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215,810 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340,777 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Stockholders' Equity </w:t>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406,579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766,293</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 xml:space="preserve">Total Liabilities and Stockholders' Equity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556,515</w:t>
            </w: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905,289</w:t>
            </w:r>
            <w:r>
              <w:rPr>
                <w:color w:val="000000"/>
              </w:rPr>
              <w:t> </w:t>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157"/>
        <w:gridCol w:w="765"/>
        <w:gridCol w:w="779"/>
        <w:gridCol w:w="337"/>
        <w:gridCol w:w="904"/>
        <w:gridCol w:w="143"/>
        <w:gridCol w:w="109"/>
        <w:gridCol w:w="109"/>
        <w:gridCol w:w="109"/>
        <w:gridCol w:w="109"/>
        <w:gridCol w:w="109"/>
        <w:gridCol w:w="109"/>
        <w:gridCol w:w="361"/>
        <w:gridCol w:w="903"/>
        <w:gridCol w:w="173"/>
        <w:gridCol w:w="109"/>
        <w:gridCol w:w="109"/>
        <w:gridCol w:w="109"/>
        <w:gridCol w:w="260"/>
        <w:gridCol w:w="986"/>
        <w:gridCol w:w="138"/>
        <w:gridCol w:w="109"/>
        <w:gridCol w:w="109"/>
        <w:gridCol w:w="109"/>
        <w:gridCol w:w="109"/>
        <w:gridCol w:w="109"/>
        <w:gridCol w:w="109"/>
        <w:gridCol w:w="320"/>
        <w:gridCol w:w="842"/>
        <w:gridCol w:w="502"/>
      </w:tblGrid>
      <w:tr>
        <w:trPr/>
        <w:tc>
          <w:tcPr>
            <w:tcW w:w="11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 (Predecessor)</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1,234</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764</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25,323 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5,978 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346,557 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29,739</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13,991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434,211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36,256</w:t>
            </w:r>
            <w:r>
              <w:rPr>
                <w:color w:val="000000"/>
              </w:rPr>
              <w:t>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Loss from Operations </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(29,205)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(13,674)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(432,977)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(35,492)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Non-operating (Expense) and Income</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investments – due to related parties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 (loss) income</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conversion of available for sale investment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related party debt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conversion of promissory notes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Miscellaneous other expense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Total Non-operating (Expense) Income </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(9,133)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6,033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(3,929)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9,011</w:t>
            </w:r>
            <w:r>
              <w:rPr>
                <w:color w:val="000000"/>
              </w:rPr>
              <w:t>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Loss before income taxes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(38,338)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(436,906)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(26,481)</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w:t>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(34,735)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(7,641)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(429,684)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(26,481)</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(174,128)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Net Loss Attributable to Innventure, Inc. Stockholders / Innventure LLC Unitholders </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(28,332)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(2,211)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(255,556)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(14,719)</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loss per share</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weighted average common shares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55,846,721 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51,583,853 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10,875,000 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 net of taxes:</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 for sale debt securities - related party</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50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realized gain on conversion of available for sale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income (loss), net of taxes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loss, net of taxes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(34,454)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(10,014)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(431,601)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(28,854)</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loss attributable to</w:t>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(11,762)</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Comprehensive Loss Attributable to Innventure, Inc. Stockholders / Innventure LLC Unitholders</w:t>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(28,051)</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(4,584)</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(257,473)</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(17,092)</w:t>
            </w:r>
          </w:p>
        </w:tc>
        <w:tc>
          <w:tcPr>
            <w:tcW w:w="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Unitholders' Deficit (Predecessor)</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1056" w:type="dxa"/>
        <w:jc w:val="left"/>
        <w:tblInd w:w="0" w:type="dxa"/>
        <w:tblLayout w:type="fixed"/>
        <w:tblCellMar>
          <w:top w:w="28" w:type="dxa"/>
          <w:left w:w="28" w:type="dxa"/>
          <w:bottom w:w="28" w:type="dxa"/>
          <w:right w:w="28" w:type="dxa"/>
        </w:tblCellMar>
      </w:tblPr>
      <w:tblGrid>
        <w:gridCol w:w="564"/>
        <w:gridCol w:w="383"/>
        <w:gridCol w:w="269"/>
        <w:gridCol w:w="196"/>
        <w:gridCol w:w="661"/>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213"/>
        <w:gridCol w:w="719"/>
        <w:gridCol w:w="119"/>
        <w:gridCol w:w="109"/>
        <w:gridCol w:w="109"/>
        <w:gridCol w:w="109"/>
        <w:gridCol w:w="235"/>
        <w:gridCol w:w="685"/>
        <w:gridCol w:w="131"/>
        <w:gridCol w:w="264"/>
        <w:gridCol w:w="893"/>
        <w:gridCol w:w="149"/>
        <w:gridCol w:w="109"/>
        <w:gridCol w:w="109"/>
        <w:gridCol w:w="109"/>
        <w:gridCol w:w="196"/>
        <w:gridCol w:w="66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B-1 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OCI</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(Deficit)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December 31, 2023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(64,284)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1,559</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units to non-controlling interest in exchange of convertible promissory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March 31,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45,688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(73,918)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11,543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(10,519)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48,540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(81,568)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15,113</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issued to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units, net of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September 30, 2024</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51,683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1,950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981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(90,952)</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(2,373)</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13,080</w:t>
            </w:r>
            <w:r>
              <w:rPr>
                <w:color w:val="000000"/>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(22,308)</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55.6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and Stockholders' Equity (Deficit) (Successor)</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5192" w:type="dxa"/>
        <w:jc w:val="left"/>
        <w:tblInd w:w="0" w:type="dxa"/>
        <w:tblLayout w:type="fixed"/>
        <w:tblCellMar>
          <w:top w:w="28" w:type="dxa"/>
          <w:left w:w="28" w:type="dxa"/>
          <w:bottom w:w="28" w:type="dxa"/>
          <w:right w:w="28" w:type="dxa"/>
        </w:tblCellMar>
      </w:tblPr>
      <w:tblGrid>
        <w:gridCol w:w="470"/>
        <w:gridCol w:w="215"/>
        <w:gridCol w:w="216"/>
        <w:gridCol w:w="323"/>
        <w:gridCol w:w="323"/>
        <w:gridCol w:w="151"/>
        <w:gridCol w:w="109"/>
        <w:gridCol w:w="109"/>
        <w:gridCol w:w="109"/>
        <w:gridCol w:w="166"/>
        <w:gridCol w:w="406"/>
        <w:gridCol w:w="109"/>
        <w:gridCol w:w="109"/>
        <w:gridCol w:w="109"/>
        <w:gridCol w:w="109"/>
        <w:gridCol w:w="278"/>
        <w:gridCol w:w="278"/>
        <w:gridCol w:w="151"/>
        <w:gridCol w:w="109"/>
        <w:gridCol w:w="109"/>
        <w:gridCol w:w="109"/>
        <w:gridCol w:w="166"/>
        <w:gridCol w:w="406"/>
        <w:gridCol w:w="109"/>
        <w:gridCol w:w="109"/>
        <w:gridCol w:w="109"/>
        <w:gridCol w:w="109"/>
        <w:gridCol w:w="353"/>
        <w:gridCol w:w="353"/>
        <w:gridCol w:w="151"/>
        <w:gridCol w:w="109"/>
        <w:gridCol w:w="109"/>
        <w:gridCol w:w="109"/>
        <w:gridCol w:w="174"/>
        <w:gridCol w:w="237"/>
        <w:gridCol w:w="115"/>
        <w:gridCol w:w="109"/>
        <w:gridCol w:w="109"/>
        <w:gridCol w:w="109"/>
        <w:gridCol w:w="166"/>
        <w:gridCol w:w="556"/>
        <w:gridCol w:w="109"/>
        <w:gridCol w:w="109"/>
        <w:gridCol w:w="109"/>
        <w:gridCol w:w="109"/>
        <w:gridCol w:w="166"/>
        <w:gridCol w:w="541"/>
        <w:gridCol w:w="109"/>
        <w:gridCol w:w="109"/>
        <w:gridCol w:w="109"/>
        <w:gridCol w:w="109"/>
        <w:gridCol w:w="189"/>
        <w:gridCol w:w="481"/>
        <w:gridCol w:w="126"/>
        <w:gridCol w:w="109"/>
        <w:gridCol w:w="109"/>
        <w:gridCol w:w="109"/>
        <w:gridCol w:w="188"/>
        <w:gridCol w:w="632"/>
        <w:gridCol w:w="126"/>
        <w:gridCol w:w="109"/>
        <w:gridCol w:w="109"/>
        <w:gridCol w:w="109"/>
        <w:gridCol w:w="166"/>
        <w:gridCol w:w="556"/>
        <w:gridCol w:w="109"/>
        <w:gridCol w:w="327"/>
        <w:gridCol w:w="327"/>
        <w:gridCol w:w="186"/>
        <w:gridCol w:w="460"/>
        <w:gridCol w:w="109"/>
        <w:gridCol w:w="327"/>
        <w:gridCol w:w="166"/>
        <w:gridCol w:w="496"/>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9"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Mezzanine Equity</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B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C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Stock</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Accumulated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Amount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1,102,000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44,597,154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502,865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340,777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766,293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(110,677)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Series B Preferred Stock buyback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Series B Preferred Stock issued for paid-in-kind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161,964 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Vesting of earnout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2,344,682 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related party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Series C Preferred Stock,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33,249 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1,118,808</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47,103,800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484,256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(221,285)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(1,478)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264,247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525,745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2,885,848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28,728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(57,048)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481,325 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to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(1,085,664)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7,636,369 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(2,735,848)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Transfer of Series C Preferred Stock from Mezzanine equity to Stockholders' equity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33,144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150,000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55,221,494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(305,512)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(1,289)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207,509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426,060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shares,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998,664 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gain,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 issued and related transfers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11,957 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preferred dividends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September 30, 2025</w:t>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33,144</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150,000</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56,220,158</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w:t>
            </w:r>
            <w:r>
              <w:rPr>
                <w:color w:val="000000"/>
              </w:rPr>
              <w:t>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525,615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(333,844)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(1,008)</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215,810</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406,579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9653" w:type="dxa"/>
        <w:jc w:val="left"/>
        <w:tblInd w:w="0" w:type="dxa"/>
        <w:tblLayout w:type="fixed"/>
        <w:tblCellMar>
          <w:top w:w="28" w:type="dxa"/>
          <w:left w:w="28" w:type="dxa"/>
          <w:bottom w:w="28" w:type="dxa"/>
          <w:right w:w="28" w:type="dxa"/>
        </w:tblCellMar>
      </w:tblPr>
      <w:tblGrid>
        <w:gridCol w:w="1700"/>
        <w:gridCol w:w="1490"/>
        <w:gridCol w:w="1505"/>
        <w:gridCol w:w="410"/>
        <w:gridCol w:w="1450"/>
        <w:gridCol w:w="269"/>
        <w:gridCol w:w="109"/>
        <w:gridCol w:w="109"/>
        <w:gridCol w:w="109"/>
        <w:gridCol w:w="109"/>
        <w:gridCol w:w="109"/>
        <w:gridCol w:w="109"/>
        <w:gridCol w:w="265"/>
        <w:gridCol w:w="839"/>
        <w:gridCol w:w="1071"/>
      </w:tblGrid>
      <w:tr>
        <w:trPr/>
        <w:tc>
          <w:tcPr>
            <w:tcW w:w="170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Operating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(429,684)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(26,481)</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Adjustments to reconcile net loss to net cash and cash equivalents used in operating activities: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22,972 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1,056 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income on debt securities - related party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(19,496)</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payables due to related parties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Non-cash interest expense on notes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5,142 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unpaid interest on note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931 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(gain)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income taxes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(8,141)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16,821 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costs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2"/>
              </w:rPr>
            </w:pPr>
            <w:r>
              <w:rPr>
                <w:rFonts w:ascii="Times New Roman;serif" w:hAnsi="Times New Roman;serif"/>
                <w:b w:val="false"/>
                <w:i/>
                <w:color w:val="000000"/>
                <w:sz w:val="12"/>
              </w:rPr>
              <w:t>Changes in operating assets and liabilities: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current assets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(6,461)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(1,605)</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(1,226)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(2,824)</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(2,448)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4,863 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employee benefits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3,838 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expenses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674 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 liability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(923)</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Liability for future stock issuance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2,158 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10,870 </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(147)</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assets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patent installment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liabilities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Operating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(56,328)</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(18,647)</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Used in Investing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available-for-sale debt securities - equity method investee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(2,708)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Investment in debt securities - related party</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(7,400)</w:t>
            </w:r>
          </w:p>
        </w:tc>
        <w:tc>
          <w:tcPr>
            <w:tcW w:w="10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 of property, plant and equipment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(1,371)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(736)</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received related to PCT stock sale</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2,314 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Used in Investing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(4,079)</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(5,822)</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Cash Flows Provided by Financing Activities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equity, net of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3,675 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13,122 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equity to non-controlling interest, net of issuance costs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13,859 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related party convertible promissory notes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the issuance of term convertible notes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14,950 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debt securities, net of issuance costs</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36,000 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debts</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(3,877)</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(790)</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of related party notes payable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12,000 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stockholders and other</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2"/>
              </w:rPr>
            </w:pPr>
            <w:r>
              <w:rPr>
                <w:rFonts w:ascii="Times New Roman;serif" w:hAnsi="Times New Roman;serif"/>
                <w:b/>
                <w:color w:val="000000"/>
                <w:sz w:val="12"/>
              </w:rPr>
              <w:t xml:space="preserve">Net Cash Flows Provided by Financing Activities </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63,349</w:t>
            </w:r>
            <w:r>
              <w:rPr>
                <w:color w:val="000000"/>
              </w:rPr>
              <w:t>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38,191</w:t>
            </w:r>
            <w:r>
              <w:rPr>
                <w:color w:val="000000"/>
              </w:rPr>
              <w:t> </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Increase in Cash, Cash Equivalents and Restricted Cash</w:t>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2,942</w:t>
            </w: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13,722</w:t>
            </w:r>
            <w:r>
              <w:rPr>
                <w:color w:val="000000"/>
              </w:rPr>
              <w:t> </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Cash, Cash Equivalents and Restricted Cash Beginning of period</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11,119 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2,575 </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Cash, Cash Equivalents and Restricted Cash End of period </w:t>
            </w:r>
          </w:p>
        </w:tc>
        <w:tc>
          <w:tcPr>
            <w:tcW w:w="4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4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14,061</w:t>
            </w:r>
            <w:r>
              <w:rPr>
                <w:color w:val="000000"/>
              </w:rPr>
              <w:t>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16,297</w:t>
            </w:r>
            <w:r>
              <w:rPr>
                <w:color w:val="000000"/>
              </w:rPr>
              <w:t> </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941"/>
        <w:gridCol w:w="1626"/>
        <w:gridCol w:w="1629"/>
        <w:gridCol w:w="478"/>
        <w:gridCol w:w="1359"/>
        <w:gridCol w:w="268"/>
        <w:gridCol w:w="109"/>
        <w:gridCol w:w="109"/>
        <w:gridCol w:w="109"/>
        <w:gridCol w:w="109"/>
        <w:gridCol w:w="109"/>
        <w:gridCol w:w="109"/>
        <w:gridCol w:w="382"/>
        <w:gridCol w:w="1084"/>
        <w:gridCol w:w="784"/>
      </w:tblGrid>
      <w:tr>
        <w:trPr/>
        <w:tc>
          <w:tcPr>
            <w:tcW w:w="194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Predecessor</w:t>
            </w:r>
          </w:p>
        </w:tc>
      </w:tr>
      <w:tr>
        <w:trPr/>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Financing Information</w:t>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units to redemption value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units to non-controlling interest in exchange of convertible promissory notes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7,324 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working capital loans to equity method investee into investments in debt securities - related party</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in debt Securities - related party through OCI</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right of use asset and corresponding lease liability</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Extinguishment of debt with Series C Preferred Stock</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of Series C Preferred Stock to equity method investee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AFX available-for-sale term loan into equity method investments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as repayment of convertible debt</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in exchange for services</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preferred stock into common stock</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36,910 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Series C Preferred Stock from Mezzanine to Stockholders' equity</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in association with Convertible Debentures</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non-controlling interest and additional paid-in capital</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Embedded derivative liability derecognition</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Nature of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the Closing. All balance sheet amounts presented are for Successor periods.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the same accounting policies in preparing quarterly and annual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(Successor), we identified an error and recorded an immaterial out of period adjustment of $12,448 to correct an overstatement of Additional paid-in capital, an immaterial out of period adjustment of $4,468 to correct understatement of Net loss attributable to Innventure, Inc. stockholders and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immaterial out of period adjustment of $16,916 to correct an understatement of Non-controlling interest. The impact of the adjustments are not material to the condensed consolidated financial statements for any interim or annual periods prior to September 30, 2025 nor the current financial period. The out of period adjustment to Additional paid-in capital is included in Non-controlling interest issued and related transfers within the condensed consolidated statements of changes in mezzanine and stockholders' equity (deficit) and the adjustment related to Net loss attributable to Innventure, Inc. within Comprehensive loss attributable to non-controlling interest on the condensed consolidated statements of operations and comprehensive income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a cash balance of $9,061, a restricted cash balance of $5,000, accumulated deficit of $333,844 and a working capital deficit of $50,227. During the three and nine months ended September 30, 2025 (Successor), the Company incurred a net loss of $34,735 and $429,684, respectively. We have experienced recurring losses from operations and negative cash flows from operating activities. In addition, we continue to have an ongoing need to raise significant additional cash from outside sources to sustain our operations and fund our growth plans. Refer to Note 18. Subsequent Events for details of equity raised after the quarter end.</w:t>
      </w:r>
    </w:p>
    <w:p>
      <w:pPr>
        <w:pStyle w:val="TextBody"/>
        <w:bidi w:val="0"/>
        <w:spacing w:lineRule="auto" w:line="288" w:before="0" w:after="180"/>
        <w:jc w:val="both"/>
        <w:rPr/>
      </w:pPr>
      <w:r>
        <w:rPr>
          <w:rFonts w:ascii="Times New Roman;serif" w:hAnsi="Times New Roman;serif"/>
          <w:b w:val="false"/>
          <w:color w:val="000000"/>
          <w:sz w:val="20"/>
        </w:rPr>
        <w:t xml:space="preserve">In connection with our assessment of going concern considerations in accordance with Financial Accounting Standard Board’s (“FASB”) Accounting Standards Update (“ASU”) 2014-15, </w:t>
      </w:r>
      <w:r>
        <w:rPr>
          <w:color w:val="000000"/>
        </w:rPr>
        <w:t>“</w:t>
      </w:r>
      <w:r>
        <w:rPr>
          <w:rFonts w:ascii="Times New Roman;serif" w:hAnsi="Times New Roman;serif"/>
          <w:b w:val="false"/>
          <w:i/>
          <w:color w:val="000000"/>
          <w:sz w:val="20"/>
        </w:rPr>
        <w:t>Disclosures of Uncertainties about an Entity’s Ability to Continue as a Going Concern,”</w:t>
      </w:r>
      <w:r>
        <w:rPr>
          <w:color w:val="000000"/>
        </w:rPr>
        <w:t xml:space="preserve"> </w:t>
      </w:r>
      <w:r>
        <w:rPr>
          <w:rFonts w:ascii="Times New Roman;serif" w:hAnsi="Times New Roman;serif"/>
          <w:b w:val="false"/>
          <w:color w:val="000000"/>
          <w:sz w:val="20"/>
        </w:rPr>
        <w:t xml:space="preserve">management has determined that these conditions raise substantial doubt about our ability to continue as a going concern within one year after the filing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$0.0001 par value per share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pStyle w:val="TextBody"/>
        <w:bidi w:val="0"/>
        <w:spacing w:before="0" w:after="180"/>
        <w:jc w:val="both"/>
        <w:rPr/>
      </w:pPr>
      <w:r>
        <w:rPr/>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But Not Yet Adopted Accounting Standards</w:t>
      </w:r>
    </w:p>
    <w:p>
      <w:pPr>
        <w:pStyle w:val="TextBody"/>
        <w:bidi w:val="0"/>
        <w:spacing w:lineRule="auto" w:line="288" w:before="0" w:after="18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 xml:space="preserve">Disclosure Improvements: Codification Amendments in Response to the SEC’s Disclosure Update and Simplification Initiative </w:t>
      </w:r>
      <w:r>
        <w:rPr>
          <w:rFonts w:ascii="Times New Roman;serif" w:hAnsi="Times New Roman;serif"/>
          <w:b w:val="false"/>
          <w:color w:val="000000"/>
          <w:sz w:val="20"/>
        </w:rPr>
        <w:t>(“ASU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Compensation—Stock Compensation (Topic 718) and Revenue from Contracts with Customers (Topic 606): Clarifications to Share-Based Consideration Payable to a Customer</w:t>
      </w:r>
      <w:r>
        <w:rPr>
          <w:rFonts w:ascii="Times New Roman;serif" w:hAnsi="Times New Roman;serif"/>
          <w:b w:val="false"/>
          <w:color w:val="000000"/>
          <w:sz w:val="20"/>
        </w:rPr>
        <w:t>, which reduces the diversity in practice and improves the decision usefulness and operability of the guidance for share-based consideration payable to a customer in conjunction with selling goods or services. The amendments in this ASU are effective for annual reporting periods (including interim reporting periods within annual reporting periods) beginning after December 15, 2026. Early adoption is permitted. The Company is currently evaluating the impact that the adoption of this accounting standard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for the application of the current expected credit loss (“CECL”) model to current accounts receivable and contract assets. The amendments in this ASU are effective for the fiscal years beginning after December 15, 2025, and interim reporting periods within those annual reporting periods. Early adoption is permitted. If elected, the amendments in this ASU should be applied prospectively. The Company is currently evaluating the impact ASU 2025-05 will have on its consolidated financial statements.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increases the operability of the recognition guidance considering different methods of software development. The amendments in this ASU are effective for the fiscal years beginning after December 15, 2027, and interim reporting periods within those annual reporting periods. Early adoption is permitted as of the beginning of an annual reporting period. If elected, the amendments in this ASU should be applied prospectively. The Company is currently evaluating the impact ASU 2025-06 will have on its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is expected to reduce the cost and complexity of evaluating whether contracts with features are derivatives, better portray the economics of those contracts in the financial statements, reduce diversity from the application of the current guidance and changing business environment, and to clarify Topic 606 applicability to share-based noncash consideration for the transfer of goods or services. The amendments in this ASU are effective for the fiscal years beginning after December 15, 2026, and interim reporting periods within those annual reporting periods. Early adoption is permitted. If elected, the amendments in this ASU should be applied prospectively. The Company is currently evaluating the impact ASU 2025-07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Investments</w:t>
      </w:r>
    </w:p>
    <w:tbl>
      <w:tblPr>
        <w:tblW w:w="6804" w:type="dxa"/>
        <w:jc w:val="left"/>
        <w:tblInd w:w="0" w:type="dxa"/>
        <w:tblLayout w:type="fixed"/>
        <w:tblCellMar>
          <w:top w:w="28" w:type="dxa"/>
          <w:left w:w="28" w:type="dxa"/>
          <w:bottom w:w="28" w:type="dxa"/>
          <w:right w:w="28" w:type="dxa"/>
        </w:tblCellMar>
      </w:tblPr>
      <w:tblGrid>
        <w:gridCol w:w="1064"/>
        <w:gridCol w:w="935"/>
        <w:gridCol w:w="940"/>
        <w:gridCol w:w="353"/>
        <w:gridCol w:w="1234"/>
        <w:gridCol w:w="182"/>
        <w:gridCol w:w="109"/>
        <w:gridCol w:w="109"/>
        <w:gridCol w:w="109"/>
        <w:gridCol w:w="339"/>
        <w:gridCol w:w="1183"/>
        <w:gridCol w:w="247"/>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Equity-method investments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securities - AFS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Investments </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31,207</w:t>
            </w:r>
            <w:r>
              <w:rPr>
                <w:color w:val="000000"/>
              </w:rPr>
              <w:t>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28,734</w:t>
            </w:r>
            <w:r>
              <w:rPr>
                <w:color w:val="000000"/>
              </w:rPr>
              <w:t> </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i/>
          <w:color w:val="000000"/>
          <w:sz w:val="20"/>
        </w:rPr>
        <w:t>Equity-method investments</w:t>
      </w:r>
      <w:r>
        <w:rPr>
          <w:color w:val="000000"/>
        </w:rPr>
        <w:t xml:space="preserv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September 30, 2025 and December 31, 2024.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AeroFlexx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a 37% and 34% equity method investment interest in AeroFlexx as of September 30, 2025 and December 31, 2024,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 in debt securities - Available for Sale (“AFS”)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2024, the Company entered into a loan agreement with AeroFlexx under which the Company will lend up to $10,000 to AeroFlexx.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loans and any unpaid accrued interest are required to be repaid by the maturity date, which is the earlier of (i) December 31, 2026 or (ii) the date of the sale, transfer or other disposition of all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applicable to such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nine months ended September 30, 2025 (Successor) and is included in non-operating income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principal balance drawn as of September 30, 2025 was $10,000. During the nine months ended September 30, 2025 (Successor), $4,375 was reclassified from Due from related parties under the term loan and $2,708 was drawn down by AeroFlexx under the term loan.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loans as an investment in debt securities and classified them as available for sale (“AFS”)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contractual maturity of the loan is December 31, 2026, it is included in the non-current line item Investments of the condensed consolidated balance sheets. The increase of $281 and decrease of $410 in fair value of this investment in debt securities for the three and nine months ended September 30, 2025 (Successor), respectively, is included as Unrealized gain (loss) on available for sale debt securities - related party in the condensed consolidated statements of operations and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Company’s carrying amount and maximum exposure relating to AeroFlexx advances and other receivables were $7,071 and $4,472 as of September 30, 2025 and December 31, 2024, included in Due from related parties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fair value hierarchy for assets and liabilities measured at fair value on a recurring basis as of September 30, 2025 and December 31, 2024: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1474"/>
        <w:gridCol w:w="1276"/>
        <w:gridCol w:w="1280"/>
        <w:gridCol w:w="390"/>
        <w:gridCol w:w="753"/>
        <w:gridCol w:w="204"/>
        <w:gridCol w:w="109"/>
        <w:gridCol w:w="109"/>
        <w:gridCol w:w="109"/>
        <w:gridCol w:w="460"/>
        <w:gridCol w:w="887"/>
        <w:gridCol w:w="238"/>
        <w:gridCol w:w="109"/>
        <w:gridCol w:w="109"/>
        <w:gridCol w:w="109"/>
        <w:gridCol w:w="287"/>
        <w:gridCol w:w="839"/>
        <w:gridCol w:w="150"/>
        <w:gridCol w:w="109"/>
        <w:gridCol w:w="109"/>
        <w:gridCol w:w="109"/>
        <w:gridCol w:w="211"/>
        <w:gridCol w:w="616"/>
        <w:gridCol w:w="159"/>
      </w:tblGrid>
      <w:tr>
        <w:trPr/>
        <w:tc>
          <w:tcPr>
            <w:tcW w:w="147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asset - Convertible Debentures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 liability</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 - August 2025 Notes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8"/>
        <w:gridCol w:w="575"/>
        <w:gridCol w:w="577"/>
        <w:gridCol w:w="695"/>
        <w:gridCol w:w="1340"/>
        <w:gridCol w:w="364"/>
        <w:gridCol w:w="109"/>
        <w:gridCol w:w="109"/>
        <w:gridCol w:w="109"/>
        <w:gridCol w:w="569"/>
        <w:gridCol w:w="1095"/>
        <w:gridCol w:w="295"/>
        <w:gridCol w:w="109"/>
        <w:gridCol w:w="109"/>
        <w:gridCol w:w="109"/>
        <w:gridCol w:w="393"/>
        <w:gridCol w:w="1346"/>
        <w:gridCol w:w="205"/>
        <w:gridCol w:w="109"/>
        <w:gridCol w:w="109"/>
        <w:gridCol w:w="109"/>
        <w:gridCol w:w="211"/>
        <w:gridCol w:w="721"/>
        <w:gridCol w:w="160"/>
      </w:tblGrid>
      <w:tr>
        <w:trPr/>
        <w:tc>
          <w:tcPr>
            <w:tcW w:w="6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debt security - AFS</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 liability</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 liability</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estimated fair value of Level 3 financial assets and liabilities that are measured on a recurring basis for the nine months ended September 30, 2025 (Successor) and the nine months ended September 30, 2024 (Predecessor), respectively, are as follows: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638"/>
        <w:gridCol w:w="451"/>
        <w:gridCol w:w="453"/>
        <w:gridCol w:w="325"/>
        <w:gridCol w:w="976"/>
        <w:gridCol w:w="171"/>
        <w:gridCol w:w="277"/>
        <w:gridCol w:w="831"/>
        <w:gridCol w:w="144"/>
        <w:gridCol w:w="239"/>
        <w:gridCol w:w="836"/>
        <w:gridCol w:w="123"/>
        <w:gridCol w:w="217"/>
        <w:gridCol w:w="760"/>
        <w:gridCol w:w="112"/>
        <w:gridCol w:w="232"/>
        <w:gridCol w:w="810"/>
        <w:gridCol w:w="119"/>
        <w:gridCol w:w="236"/>
        <w:gridCol w:w="706"/>
        <w:gridCol w:w="122"/>
        <w:gridCol w:w="352"/>
        <w:gridCol w:w="804"/>
        <w:gridCol w:w="271"/>
      </w:tblGrid>
      <w:tr>
        <w:trPr/>
        <w:tc>
          <w:tcPr>
            <w:tcW w:w="6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convertible promissory notes</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debt securities - AFS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liability</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WTI Warrant liability</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WTI Warrant liability</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Embedded derivative liability (asset) - Convertible Debentures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Balance as of January 1, 2024 (Predecessor)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 (Predecessor)</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 (Successor)</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derecognitions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 (Successor)</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1,677</w:t>
            </w:r>
            <w:r>
              <w:rPr>
                <w:color w:val="000000"/>
              </w:rPr>
              <w:t>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9,402</w:t>
            </w:r>
            <w:r>
              <w:rPr>
                <w:color w:val="000000"/>
              </w:rPr>
              <w:t>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5,460</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12,720</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3,630</w:t>
            </w:r>
            <w:r>
              <w:rPr>
                <w:color w:val="000000"/>
              </w:rPr>
              <w:t>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 or out of levels during the three and nine months ended September 30, 2025 (Successor) nor for the three and nine months ended September 30, 2024 (Predecessor). </w:t>
      </w:r>
    </w:p>
    <w:p>
      <w:pPr>
        <w:pStyle w:val="TextBody"/>
        <w:bidi w:val="0"/>
        <w:jc w:val="both"/>
        <w:rPr/>
      </w:pPr>
      <w:r>
        <w:rPr/>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(Level 3):</w:t>
      </w:r>
    </w:p>
    <w:tbl>
      <w:tblPr>
        <w:tblW w:w="9265" w:type="dxa"/>
        <w:jc w:val="left"/>
        <w:tblInd w:w="0" w:type="dxa"/>
        <w:tblLayout w:type="fixed"/>
        <w:tblCellMar>
          <w:top w:w="28" w:type="dxa"/>
          <w:left w:w="28" w:type="dxa"/>
          <w:bottom w:w="28" w:type="dxa"/>
          <w:right w:w="28" w:type="dxa"/>
        </w:tblCellMar>
      </w:tblPr>
      <w:tblGrid>
        <w:gridCol w:w="124"/>
        <w:gridCol w:w="109"/>
        <w:gridCol w:w="109"/>
        <w:gridCol w:w="814"/>
        <w:gridCol w:w="814"/>
        <w:gridCol w:w="816"/>
        <w:gridCol w:w="979"/>
        <w:gridCol w:w="979"/>
        <w:gridCol w:w="982"/>
        <w:gridCol w:w="340"/>
        <w:gridCol w:w="993"/>
        <w:gridCol w:w="437"/>
        <w:gridCol w:w="326"/>
        <w:gridCol w:w="954"/>
        <w:gridCol w:w="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Valuation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Techniques</w:t>
            </w:r>
          </w:p>
        </w:tc>
        <w:tc>
          <w:tcPr>
            <w:tcW w:w="29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Inputs</w:t>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Investment in debt securities - AFS: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Black-Scholes Model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AeroFlexx yield</w:t>
            </w:r>
          </w:p>
        </w:tc>
        <w:tc>
          <w:tcPr>
            <w:tcW w:w="13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Earnout Shares: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years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2024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2025 WTI Warrants: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Geometric Brownian Motion</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3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asset - Convertible Debentures: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Binomial Lattice Model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spread</w:t>
            </w:r>
          </w:p>
        </w:tc>
        <w:tc>
          <w:tcPr>
            <w:tcW w:w="13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4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Embedded derivative liability - August 2025 Notes: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 Model</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4.25 years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Accelsius Series B-1 issuance price</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and defined in Note 5. Borrowings, the Company issued Convertible Debentures (as defined below) which contain certain features which qualify as embedded derivates requiring bifurcation. The fair value of the embedded derivative is determined utilizing a “with and without” method, in which the fair value is calculated as the difference in the fair value of the entire hybrid instrument and the fair value of the instrument excluding the bifurcated derivative features. The initial fair value of the embedded derivative was determined using a discounted cash flow model as of April 14, 2025 and May 15, 2025 which is reflective of the dates of the Convertible Debenture issuances. The model uses a significant assumption of a debt yield of 44.5% for the April 14, 2025 issuance and 42.6% for the May 15, 2025 issuance.</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further discussed in Note 3. Investments,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2025 WTI Warrants (as defined and further described below) was determined using a Monte Carlo valuation model in which the future stock price is simulated assuming a Geometric Brownian Motion in a risk-neutral framework. The model utilizes significant assumptions including stock price, stock price volatility and credit spread. Specifically, the initial valuation as of the April 14, 2025 issuance date considered a stock price of $3.65, stock price volatility of 57.00%, and credit spread of 27.70%. The credit spread relates to estimated counterparty credit risk of Innventure being able to make payments related to the WTI Lenders’ put right, in which the WTI Lenders may exchange the 2025 WTI Warrants for a total cash payment of $3,000 after the 10-year anniversary of issuance. The risk-free interest rate was determined by reference to the U.S. Treasury yield curve.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time of issuance of the August 2025 Notes, the related embedded derivative liability had a de minimis fair value. As of September 30, 2025, the Company recognized $1,677 for the embedded derivative liability related to the contingent exchange feature. The fair value was determined using a Black-Scholes valuation model, utilizing inputs related to the risk-free rate, volatility, time to liquidity, and the Accelsius Series B-1 issuance price, as further defined in Note 18. Subsequent Events. Specifically, the September 30, 2025 valuation considered a risk-free rate of 3.66%, volatility of 70.00%, time to liquidity of 4.25 years, and an Accelsius Series B-1 unit issuance price of $36.49.</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further information on the Earnout Shares (as defined below), 2024 WTI Warrants (as defined below), and 2025 WTI Warrants, refer to Note 9. Earnout Shares and Note 10.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Borrowings</w:t>
      </w:r>
    </w:p>
    <w:tbl>
      <w:tblPr>
        <w:tblW w:w="10205" w:type="dxa"/>
        <w:jc w:val="left"/>
        <w:tblInd w:w="0" w:type="dxa"/>
        <w:tblLayout w:type="fixed"/>
        <w:tblCellMar>
          <w:top w:w="28" w:type="dxa"/>
          <w:left w:w="28" w:type="dxa"/>
          <w:bottom w:w="28" w:type="dxa"/>
          <w:right w:w="28" w:type="dxa"/>
        </w:tblCellMar>
      </w:tblPr>
      <w:tblGrid>
        <w:gridCol w:w="1330"/>
        <w:gridCol w:w="1076"/>
        <w:gridCol w:w="1079"/>
        <w:gridCol w:w="353"/>
        <w:gridCol w:w="353"/>
        <w:gridCol w:w="355"/>
        <w:gridCol w:w="309"/>
        <w:gridCol w:w="1082"/>
        <w:gridCol w:w="159"/>
        <w:gridCol w:w="367"/>
        <w:gridCol w:w="367"/>
        <w:gridCol w:w="369"/>
        <w:gridCol w:w="109"/>
        <w:gridCol w:w="109"/>
        <w:gridCol w:w="109"/>
        <w:gridCol w:w="303"/>
        <w:gridCol w:w="1060"/>
        <w:gridCol w:w="157"/>
        <w:gridCol w:w="336"/>
        <w:gridCol w:w="336"/>
        <w:gridCol w:w="487"/>
      </w:tblGrid>
      <w:tr>
        <w:trPr/>
        <w:tc>
          <w:tcPr>
            <w:tcW w:w="133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Maturities</w:t>
            </w:r>
          </w:p>
        </w:tc>
        <w:tc>
          <w:tcPr>
            <w:tcW w:w="1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1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Rates</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2024 - 2025</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 - 15.99%</w:t>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1 promissory notes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 - 15%</w:t>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2025 - 2026</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3.94%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val="false"/>
                <w:color w:val="000000"/>
                <w:sz w:val="20"/>
              </w:rPr>
              <w:t>% - 5%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2025 notes</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WTI Facility</w:t>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13.50%</w:t>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Notes Payable </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73,906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34,725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notes payable</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related party convertible notes</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Long-term Notes </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29,514</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13,654</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notes payable, excluding debt issuance costs, mature as follows:</w:t>
      </w:r>
    </w:p>
    <w:tbl>
      <w:tblPr>
        <w:tblW w:w="3501" w:type="dxa"/>
        <w:jc w:val="left"/>
        <w:tblInd w:w="0" w:type="dxa"/>
        <w:tblLayout w:type="fixed"/>
        <w:tblCellMar>
          <w:top w:w="28" w:type="dxa"/>
          <w:left w:w="28" w:type="dxa"/>
          <w:bottom w:w="28" w:type="dxa"/>
          <w:right w:w="28" w:type="dxa"/>
        </w:tblCellMar>
      </w:tblPr>
      <w:tblGrid>
        <w:gridCol w:w="868"/>
        <w:gridCol w:w="765"/>
        <w:gridCol w:w="767"/>
        <w:gridCol w:w="211"/>
        <w:gridCol w:w="73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3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Debt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73,906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1 Promissory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2018, the Company authorized the issuance and sale of unsecured promissory notes to investors up to $35,000 (the “Series 1 promissory notes”).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Extensions on Series 1 promissory notes were as follows:</w:t>
      </w:r>
    </w:p>
    <w:tbl>
      <w:tblPr>
        <w:tblW w:w="10205" w:type="dxa"/>
        <w:jc w:val="left"/>
        <w:tblInd w:w="0" w:type="dxa"/>
        <w:tblLayout w:type="fixed"/>
        <w:tblCellMar>
          <w:top w:w="28" w:type="dxa"/>
          <w:left w:w="28" w:type="dxa"/>
          <w:bottom w:w="28" w:type="dxa"/>
          <w:right w:w="28" w:type="dxa"/>
        </w:tblCellMar>
      </w:tblPr>
      <w:tblGrid>
        <w:gridCol w:w="634"/>
        <w:gridCol w:w="557"/>
        <w:gridCol w:w="558"/>
        <w:gridCol w:w="281"/>
        <w:gridCol w:w="281"/>
        <w:gridCol w:w="282"/>
        <w:gridCol w:w="403"/>
        <w:gridCol w:w="776"/>
        <w:gridCol w:w="210"/>
        <w:gridCol w:w="109"/>
        <w:gridCol w:w="109"/>
        <w:gridCol w:w="109"/>
        <w:gridCol w:w="109"/>
        <w:gridCol w:w="109"/>
        <w:gridCol w:w="109"/>
        <w:gridCol w:w="456"/>
        <w:gridCol w:w="879"/>
        <w:gridCol w:w="237"/>
        <w:gridCol w:w="109"/>
        <w:gridCol w:w="109"/>
        <w:gridCol w:w="109"/>
        <w:gridCol w:w="373"/>
        <w:gridCol w:w="823"/>
        <w:gridCol w:w="193"/>
        <w:gridCol w:w="109"/>
        <w:gridCol w:w="109"/>
        <w:gridCol w:w="109"/>
        <w:gridCol w:w="109"/>
        <w:gridCol w:w="109"/>
        <w:gridCol w:w="109"/>
        <w:gridCol w:w="410"/>
        <w:gridCol w:w="907"/>
        <w:gridCol w:w="310"/>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1st extension promissory notes</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2nd extension promissory notes</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Interest expense on Series 1 promissory notes was as follows:</w:t>
      </w:r>
    </w:p>
    <w:tbl>
      <w:tblPr>
        <w:tblW w:w="10205" w:type="dxa"/>
        <w:jc w:val="left"/>
        <w:tblInd w:w="0" w:type="dxa"/>
        <w:tblLayout w:type="fixed"/>
        <w:tblCellMar>
          <w:top w:w="28" w:type="dxa"/>
          <w:left w:w="28" w:type="dxa"/>
          <w:bottom w:w="28" w:type="dxa"/>
          <w:right w:w="28" w:type="dxa"/>
        </w:tblCellMar>
      </w:tblPr>
      <w:tblGrid>
        <w:gridCol w:w="674"/>
        <w:gridCol w:w="592"/>
        <w:gridCol w:w="595"/>
        <w:gridCol w:w="486"/>
        <w:gridCol w:w="833"/>
        <w:gridCol w:w="253"/>
        <w:gridCol w:w="109"/>
        <w:gridCol w:w="109"/>
        <w:gridCol w:w="109"/>
        <w:gridCol w:w="109"/>
        <w:gridCol w:w="109"/>
        <w:gridCol w:w="109"/>
        <w:gridCol w:w="544"/>
        <w:gridCol w:w="931"/>
        <w:gridCol w:w="283"/>
        <w:gridCol w:w="109"/>
        <w:gridCol w:w="109"/>
        <w:gridCol w:w="109"/>
        <w:gridCol w:w="486"/>
        <w:gridCol w:w="833"/>
        <w:gridCol w:w="253"/>
        <w:gridCol w:w="109"/>
        <w:gridCol w:w="109"/>
        <w:gridCol w:w="109"/>
        <w:gridCol w:w="109"/>
        <w:gridCol w:w="109"/>
        <w:gridCol w:w="109"/>
        <w:gridCol w:w="456"/>
        <w:gridCol w:w="1011"/>
        <w:gridCol w:w="3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Related Party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first party, the maturity date was extended to the earlier of (i) January 31, 2025 or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per the amended note with the second party, the maturity date was extended to January 31, 2025 and the interest rate was increased to 13.50% per annum. Additionally, $1,000 of the principal amount became due on or around the amendment date.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on the related party notes was as follows:</w:t>
      </w:r>
    </w:p>
    <w:tbl>
      <w:tblPr>
        <w:tblW w:w="10205" w:type="dxa"/>
        <w:jc w:val="left"/>
        <w:tblInd w:w="0" w:type="dxa"/>
        <w:tblLayout w:type="fixed"/>
        <w:tblCellMar>
          <w:top w:w="28" w:type="dxa"/>
          <w:left w:w="28" w:type="dxa"/>
          <w:bottom w:w="28" w:type="dxa"/>
          <w:right w:w="28" w:type="dxa"/>
        </w:tblCellMar>
      </w:tblPr>
      <w:tblGrid>
        <w:gridCol w:w="450"/>
        <w:gridCol w:w="394"/>
        <w:gridCol w:w="398"/>
        <w:gridCol w:w="501"/>
        <w:gridCol w:w="965"/>
        <w:gridCol w:w="260"/>
        <w:gridCol w:w="109"/>
        <w:gridCol w:w="109"/>
        <w:gridCol w:w="109"/>
        <w:gridCol w:w="109"/>
        <w:gridCol w:w="109"/>
        <w:gridCol w:w="109"/>
        <w:gridCol w:w="554"/>
        <w:gridCol w:w="1069"/>
        <w:gridCol w:w="288"/>
        <w:gridCol w:w="109"/>
        <w:gridCol w:w="109"/>
        <w:gridCol w:w="109"/>
        <w:gridCol w:w="463"/>
        <w:gridCol w:w="1023"/>
        <w:gridCol w:w="240"/>
        <w:gridCol w:w="109"/>
        <w:gridCol w:w="109"/>
        <w:gridCol w:w="109"/>
        <w:gridCol w:w="109"/>
        <w:gridCol w:w="109"/>
        <w:gridCol w:w="109"/>
        <w:gridCol w:w="534"/>
        <w:gridCol w:w="1030"/>
        <w:gridCol w:w="401"/>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related party notes above, the Company also had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20, 2025, in connection with the issuance of Series C Preferred Stock (as defined below), the Company extinguished the outstanding amount of related party notes. The Company recognized a loss of $— and $3,538 in Loss on extinguishment of related party debt on the condensed consolidated statements of operations and comprehensive income (loss) for the three and nine months ended September 30, 2025 (Successor),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WTI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and nine months ended September 30, 2025 (Successor) was 13.50%.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WTI Facility, the Company issued the 2024 WTI Warrants to the WTI Lenders (as further defined and described in Note 10. Warrants). The Company accounted for each of the 2024 WTI Warrants as detachable warrants at their fair value. The fair value of the 2024 WTI Warrants was recorded as a liability and as a discount to the WTI Facility on the condensed consolidated balance sheets. The 2024 WTI Warrants are classified as a liability in accordance with ASC 480, as they represent an instrument that is not an outstanding share and may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require the issuer to settle the obligation by transferring assets, specifically cash. The Company is amortizing the discount over the term of the WTI Facility using the straight-line method.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21, 2025, in connection with the issuance of the first tranche of Convertible Debentures (as further described below) to Yorkville, the Company and Innventure LLC entered into a consent (the “Consent”) with WTI Fund X, LLC and WTI Fund XI, LLC (the “WTI Holders”) and the WTI Lenders, modifying the WTI Facility. Specifically, under the Consent, the Company and the WTI Lenders and WTI Holders agreed (i) that from and after the date that the Company receives the initial proceeds from the Convertible Debentures and until such time as such obligations have been paid in full, the Company must maintain at least $5,000 of cash on deposit; (ii) that effective on the date that the Company receives the initial proceeds from the Convertible Debentures, the 2025 WTI Warrants will become payable to the WTI Lenders and their affiliates; and (iii) to certain additional consent provisions. Such provisions from the Consent became effective on April 14, 2025 when the Company received proceeds from the Convertible Debentures. The modification of the WTI Facility was accounted for as an extinguishment of debt though the WTI Facility remains outstanding, resulting in a loss on extinguishment of $3,462 recorded on the condensed consolidated statements of operations and comprehensive income (loss) for the three and nine months ended September 30, 2025 (Successor). The legal requirement to maintain at least $5,000 of cash on deposit is presented as Restricted cash on the condensed consolidated balance sheets.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on this facility was as follows:</w:t>
      </w:r>
    </w:p>
    <w:tbl>
      <w:tblPr>
        <w:tblW w:w="10205" w:type="dxa"/>
        <w:jc w:val="left"/>
        <w:tblInd w:w="0" w:type="dxa"/>
        <w:tblLayout w:type="fixed"/>
        <w:tblCellMar>
          <w:top w:w="28" w:type="dxa"/>
          <w:left w:w="28" w:type="dxa"/>
          <w:bottom w:w="28" w:type="dxa"/>
          <w:right w:w="28" w:type="dxa"/>
        </w:tblCellMar>
      </w:tblPr>
      <w:tblGrid>
        <w:gridCol w:w="877"/>
        <w:gridCol w:w="711"/>
        <w:gridCol w:w="715"/>
        <w:gridCol w:w="324"/>
        <w:gridCol w:w="970"/>
        <w:gridCol w:w="168"/>
        <w:gridCol w:w="109"/>
        <w:gridCol w:w="109"/>
        <w:gridCol w:w="109"/>
        <w:gridCol w:w="109"/>
        <w:gridCol w:w="109"/>
        <w:gridCol w:w="109"/>
        <w:gridCol w:w="477"/>
        <w:gridCol w:w="920"/>
        <w:gridCol w:w="248"/>
        <w:gridCol w:w="109"/>
        <w:gridCol w:w="109"/>
        <w:gridCol w:w="109"/>
        <w:gridCol w:w="324"/>
        <w:gridCol w:w="970"/>
        <w:gridCol w:w="168"/>
        <w:gridCol w:w="109"/>
        <w:gridCol w:w="109"/>
        <w:gridCol w:w="109"/>
        <w:gridCol w:w="109"/>
        <w:gridCol w:w="109"/>
        <w:gridCol w:w="109"/>
        <w:gridCol w:w="461"/>
        <w:gridCol w:w="890"/>
        <w:gridCol w:w="347"/>
      </w:tblGrid>
      <w:tr>
        <w:trPr/>
        <w:tc>
          <w:tcPr>
            <w:tcW w:w="87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 and discounts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1,291</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3,505</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25, 2025, the Company entered into a securities purchase agreement (“Existing Purchase Agreement”) with Yorkville related to the issuance and sale of convertible debentures (“Existing Convertible Debentures” collectively with the New Convertible Debentures defined below, the “Convertible Debentures”) with an aggregate principal amount of up to $30,000. The Existing Convertible Debentures are convertible into shares of Common Stock and contain certain features that represent embedded derivatives, which are bifurcated and included within Prepaid expenses and other current assets on the condensed consolidated balance sheets. The Company issued the aggregate principal amount of the Existing Convertible Debentures in two tranches tied to separate reporting and filing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first tranche of the Existing Convertible Debentures with a principal amount of $20,000, resulting in cash proceeds to the Company of $18,000, representing an original issue discount of 10%. The first tranche was scheduled to be repaid in twelve monthly payments with a 5% payment premium due to the lender with each payment. Also on April 14, 2025, the Company issued two warrants (the “2025 WTI Warrants”) to purchase, at a price of $0.01 per share (subject to certain limitations and adjustment), up to an aggregate total of 495,074 shares of Common Stock, as of the date of issuance and September 30, 2025 (subject to future adjustments to the number and type of shares pursuant to the 2025 WTI Warrants), to the WTI Holders. Each of the 2025 WTI Warrants is exercisable through March 31, 2035. For further information on the 2025 WTI Warrants, refer to Note 10.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May 15, 2025, the Company issued the second tranche of the Existing Convertible Debentures with a principal amount of $10,000, resulting in cash proceeds to the Company of $9,000, representing an original issue discount of 10%. The second tranche was scheduled to be repaid in eleven monthly payments with a 5% payment premium due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lender with each payment. There is no contractual interest associated with amounts outstanding for the Existing Convertible Debentures for the three and nine months ended September 30, 2025 (Successor).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additional amendment to the Existing Purchase Agreement for the Existing Convertible Debentures (the “September 2025 Amendment”). Pursuant to the September 2025 Amendment, the Company and Yorkville agreed to amend the definition of conversion price so that the fixed price of $10.00 was reduced to $7.00 and a floor price of $1.59 was implemented. Additionally, the monthly payments applicable to the Existing Convertible Debentures were removed and replaced with repayment due upon maturity in connection with the early repayment of the approximately $2,000. The payment premium on this payment was waived. However, payments and related payment premiums resume should the Innventure stock price fall below the floor price, the Company issues in excess of 99% of Common Shares under the exchange cap or Yorkville is unable to utilize a registration statement to resell Common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 securities purchase agreement (the “Securities Purchase Agreement”) with Yorkville for up to $15,000 in convertible debentures (“New Convertible Debentures”), issuable in two tranches. The first tranche of $10,000 was issued with a 10% original issue discount, yielding $9,000 in net proceeds, and bears 5% annual interest, with repayment due September 15, 2026. The debentures are convertible into Common Stock and contain certain features that represent embedded derivatives which are bifurcated and included within Prepaid expenses and other current assets on the condensed consolidated balance sheets. As of September 30, 2025, the second tranche of $5,000 had not been issued due to unmet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September 2025 Amendment and first tranche of the New Convertible Debentures were accounted for collectively as a troubled debt restructuring. The Company determined that a concession was provided based on a decrease in the effective interest rate when compared to the original terms of the Existing Convertible Debentures. No gain or loss was recognized under the troubled debt restructuring accounting.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(Successor), the Company issued 523,748 and 997,573 shares, respectively, of its Common Stock pursuant to the SEPA in payment of $2,602 and $4,937 of principal, respectively, and $130 and $247 of payment premium, respectively, for the Convertible Debentures. Also, the Company issued 140,168 shares of Common Stock due to the exercise of conversion option by Yorkville for a principal amount of $776 of the Convertible Debentures. For further information on this conversion, see Note 11. Stockholders' Equity. During the three months ended September 30, 2025 (Successor) and nine months ended September 30, 2025 (Successor), the Company made cash payments toward the Convertible Debentures totaling $552 and $1,386 of principal and $28 and $69 of payment premium,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on the Convertible Debentures was as follows:</w:t>
      </w:r>
    </w:p>
    <w:tbl>
      <w:tblPr>
        <w:tblW w:w="10205" w:type="dxa"/>
        <w:jc w:val="left"/>
        <w:tblInd w:w="0" w:type="dxa"/>
        <w:tblLayout w:type="fixed"/>
        <w:tblCellMar>
          <w:top w:w="28" w:type="dxa"/>
          <w:left w:w="28" w:type="dxa"/>
          <w:bottom w:w="28" w:type="dxa"/>
          <w:right w:w="28" w:type="dxa"/>
        </w:tblCellMar>
      </w:tblPr>
      <w:tblGrid>
        <w:gridCol w:w="799"/>
        <w:gridCol w:w="646"/>
        <w:gridCol w:w="649"/>
        <w:gridCol w:w="335"/>
        <w:gridCol w:w="1004"/>
        <w:gridCol w:w="174"/>
        <w:gridCol w:w="109"/>
        <w:gridCol w:w="109"/>
        <w:gridCol w:w="109"/>
        <w:gridCol w:w="109"/>
        <w:gridCol w:w="109"/>
        <w:gridCol w:w="109"/>
        <w:gridCol w:w="492"/>
        <w:gridCol w:w="950"/>
        <w:gridCol w:w="256"/>
        <w:gridCol w:w="109"/>
        <w:gridCol w:w="109"/>
        <w:gridCol w:w="109"/>
        <w:gridCol w:w="335"/>
        <w:gridCol w:w="1004"/>
        <w:gridCol w:w="174"/>
        <w:gridCol w:w="109"/>
        <w:gridCol w:w="109"/>
        <w:gridCol w:w="109"/>
        <w:gridCol w:w="109"/>
        <w:gridCol w:w="109"/>
        <w:gridCol w:w="109"/>
        <w:gridCol w:w="476"/>
        <w:gridCol w:w="918"/>
        <w:gridCol w:w="358"/>
      </w:tblGrid>
      <w:tr>
        <w:trPr/>
        <w:tc>
          <w:tcPr>
            <w:tcW w:w="7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attributable to contractual interest</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attributable to amortization of issuance costs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3,705</w:t>
            </w:r>
            <w:r>
              <w:rPr>
                <w:color w:val="000000"/>
              </w:rPr>
              <w:t> </w:t>
            </w:r>
          </w:p>
        </w:tc>
        <w:tc>
          <w:tcPr>
            <w:tcW w:w="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 Convertible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dates in June and July of 2025, Accelsius entered into unsecured convertible notes with various other parties (the “Term Convertible Notes”) for a total principal amount of $7,750. The Term Convertible Notes have a stated maturity date of December 31, 2026 and bear interest at the annual applicable federal rate published by the Internal Revenue Service.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lenders will not demand payment related to this Term Convertible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Term Convertible Notes was $85 and $88 for the three and nine months ended September 30, 2025 (Successor),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Related Party Convertible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26, 2025, Accelsius entered into an unsecured Convertible Promissory Note (“CPN”) with a related party lender. The maximum principal amount under the CPN is $3,000, issuable in three equal draws, upon the request of Accelsius and subject to the related party’s sole discretion. On June 27, 2025, Accelsius received the first $1,000 draw and on July 24, 2025 received the second $1,000 draw, with a total outstanding principal of $2,000 as of September 30, 2025. The CPN has a stated interest rate of 15% and Accelsius is required to pay a loan fee (“Loan Fee”) of $35 upon maturity, repayment or conversion of this note.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CPN is convertible at the option of the related party lender for all amounts due under the Convertible Note, including the Loan Fee, into either preferred units of Accelsius at a price equal to 80% of the next funding round price if Accelsius raises at least $5,000 from unaffiliated investors, or into common units of Accelsius, if no such funding round occurs before the maturity date, with unit pricing of common units determined by an independent valuation firm.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CPN has a maturity date of December 31, 2025; is subordinated to the WTI Facility and the Convertible Debentures; and each of the WTI Lenders and Yorkville have been granted certain rights under the CPN. The CPN related party lender will not demand payment of this note, for so long as any portion of the WTI Facility or Convertible Debentures remains outstanding. Furthermore, pursuant to a Side Letter, dated June 26, 2025, by and among the Company, Innventure LLC, Accelsius and the related party, until such time as the CPN is either repaid in full or converted into equity of Accelsius, the Company will not seek repayment of any portion of that certain Loan and Security Agreement between Innventure LLC and Accelsius, dated as of March 30, 2023 (subject to certain exceptions).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of 2025, Accelsius also entered into unsecured convertible notes (“Related Party Term Convertible Notes”, together with the CPN, the “Related Party Convertible Notes”) with certain investors deemed to be Related Parties (as defined in the Company’s Related Party Transactions Policy) for a total principal amount of $4,250. The Related Party Term Convertible Notes have a stated maturity date of December 31, 2026 and bear interest at the annual applicable federal rate published by the Internal Revenue Service.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Term Convertible Notes, which are subordinated to the WTI Facility, are convertible at the option of the lenders, starting January 2, 2026, for all amounts due under the notes at the time of conversion, into Accelsius’ Series A Units at a price per unit equal to $12.175. For as long as any portion of the WTI Facility remains outstanding, the Related Party Term Convertible Notes lenders will not demand payment related to the Related Party Term Convertible Notes, unless they convert the debt into equity.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Related Party Convertible Notes, including the amortization of the loan fee, was $97 and $99 for the three and nine months ended September 30, 2025 (Successor),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August 2025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Between August 12, 2025 and September 19, 2025, Accelsius issued unsecured convertible promissory notes (the “August 2025 Notes”) totaling $9,150 in principal, with $7,300 in proceeds received by September 30, 2025. The notes bear interest at 6.5% annually, are repayable upon demand after two years and are subordinate to existing senior debt. Upon the Company’s next preferred equity round raising at least $5,000 from unaffiliated investors, the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notes will automatically convert into preferred units at 80% of the unit price, with accompanying warrants exercisable for 0.5 units at 120% of the unit price. During the three and nine months ended September 30, 2025 (Successor), the Company recognized $1,677 related to the change in fair value of the embedded derivative liability tied to the contingent conversion feature.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August 2025 Notes are subordinate to the WTI Facility, Convertible Debentures, Term Convertible Notes and indebtedness of Accelsius owed to Innventure LLC and for as long as any portion of these senior debts remains outstanding, the lenders will not demand payment related to this August 2025 Notes, unless they convert the debt into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expense on the August 2025 Notes was $37 for the three and nine months ended September 30, 2025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 net</w:t>
      </w:r>
    </w:p>
    <w:tbl>
      <w:tblPr>
        <w:tblW w:w="5441" w:type="dxa"/>
        <w:jc w:val="left"/>
        <w:tblInd w:w="0" w:type="dxa"/>
        <w:tblLayout w:type="fixed"/>
        <w:tblCellMar>
          <w:top w:w="28" w:type="dxa"/>
          <w:left w:w="28" w:type="dxa"/>
          <w:bottom w:w="28" w:type="dxa"/>
          <w:right w:w="28" w:type="dxa"/>
        </w:tblCellMar>
      </w:tblPr>
      <w:tblGrid>
        <w:gridCol w:w="570"/>
        <w:gridCol w:w="501"/>
        <w:gridCol w:w="504"/>
        <w:gridCol w:w="392"/>
        <w:gridCol w:w="1174"/>
        <w:gridCol w:w="204"/>
        <w:gridCol w:w="109"/>
        <w:gridCol w:w="109"/>
        <w:gridCol w:w="109"/>
        <w:gridCol w:w="374"/>
        <w:gridCol w:w="1121"/>
        <w:gridCol w:w="27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6,404</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5,178</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Property, Plant and Equipment</w:t>
      </w:r>
    </w:p>
    <w:tbl>
      <w:tblPr>
        <w:tblW w:w="7151" w:type="dxa"/>
        <w:jc w:val="left"/>
        <w:tblInd w:w="0" w:type="dxa"/>
        <w:tblLayout w:type="fixed"/>
        <w:tblCellMar>
          <w:top w:w="28" w:type="dxa"/>
          <w:left w:w="28" w:type="dxa"/>
          <w:bottom w:w="28" w:type="dxa"/>
          <w:right w:w="28" w:type="dxa"/>
        </w:tblCellMar>
      </w:tblPr>
      <w:tblGrid>
        <w:gridCol w:w="1190"/>
        <w:gridCol w:w="1045"/>
        <w:gridCol w:w="1050"/>
        <w:gridCol w:w="392"/>
        <w:gridCol w:w="1174"/>
        <w:gridCol w:w="204"/>
        <w:gridCol w:w="109"/>
        <w:gridCol w:w="109"/>
        <w:gridCol w:w="109"/>
        <w:gridCol w:w="374"/>
        <w:gridCol w:w="1121"/>
        <w:gridCol w:w="27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&amp; office equipment</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gross </w:t>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2,863</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1,492</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3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2,176</w:t>
            </w:r>
            <w:r>
              <w:rPr>
                <w:color w:val="000000"/>
              </w:rPr>
              <w:t>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1,414</w:t>
            </w:r>
            <w:r>
              <w:rPr>
                <w:color w:val="000000"/>
              </w:rPr>
              <w:t> </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Goodwill and Intangible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w:t>
      </w:r>
    </w:p>
    <w:tbl>
      <w:tblPr>
        <w:tblW w:w="4160" w:type="dxa"/>
        <w:jc w:val="left"/>
        <w:tblInd w:w="0" w:type="dxa"/>
        <w:tblLayout w:type="fixed"/>
        <w:tblCellMar>
          <w:top w:w="28" w:type="dxa"/>
          <w:left w:w="28" w:type="dxa"/>
          <w:bottom w:w="28" w:type="dxa"/>
          <w:right w:w="28" w:type="dxa"/>
        </w:tblCellMar>
      </w:tblPr>
      <w:tblGrid>
        <w:gridCol w:w="1068"/>
        <w:gridCol w:w="941"/>
        <w:gridCol w:w="945"/>
        <w:gridCol w:w="211"/>
        <w:gridCol w:w="84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667,936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323,463</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nine months ended September 30, 2025 (Successor), the Company recorded $346,557 in non-deductible, non-cash goodwill impairment charges,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in late February 2025 through April 2025.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June 30, 2025 and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 These fair values are Level 3 assets in the fair value hierarchy.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 </w: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 net</w:t>
      </w:r>
    </w:p>
    <w:tbl>
      <w:tblPr>
        <w:tblW w:w="10205" w:type="dxa"/>
        <w:jc w:val="left"/>
        <w:tblInd w:w="0" w:type="dxa"/>
        <w:tblLayout w:type="fixed"/>
        <w:tblCellMar>
          <w:top w:w="28" w:type="dxa"/>
          <w:left w:w="28" w:type="dxa"/>
          <w:bottom w:w="28" w:type="dxa"/>
          <w:right w:w="28" w:type="dxa"/>
        </w:tblCellMar>
      </w:tblPr>
      <w:tblGrid>
        <w:gridCol w:w="544"/>
        <w:gridCol w:w="336"/>
        <w:gridCol w:w="331"/>
        <w:gridCol w:w="534"/>
        <w:gridCol w:w="534"/>
        <w:gridCol w:w="535"/>
        <w:gridCol w:w="214"/>
        <w:gridCol w:w="855"/>
        <w:gridCol w:w="110"/>
        <w:gridCol w:w="228"/>
        <w:gridCol w:w="801"/>
        <w:gridCol w:w="120"/>
        <w:gridCol w:w="213"/>
        <w:gridCol w:w="852"/>
        <w:gridCol w:w="110"/>
        <w:gridCol w:w="109"/>
        <w:gridCol w:w="109"/>
        <w:gridCol w:w="109"/>
        <w:gridCol w:w="214"/>
        <w:gridCol w:w="855"/>
        <w:gridCol w:w="110"/>
        <w:gridCol w:w="254"/>
        <w:gridCol w:w="763"/>
        <w:gridCol w:w="132"/>
        <w:gridCol w:w="213"/>
        <w:gridCol w:w="851"/>
        <w:gridCol w:w="169"/>
      </w:tblGrid>
      <w:tr>
        <w:trPr/>
        <w:tc>
          <w:tcPr>
            <w:tcW w:w="5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Period Remaining (Years)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finite-lived intangible assets</w:t>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(21,589)</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165,941</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187,530</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(5,377)</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182,153</w:t>
            </w:r>
            <w:r>
              <w:rPr>
                <w:color w:val="000000"/>
              </w:rPr>
              <w:t>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$5,404 and $16,212 was recognized for the three and nine months ended September 30, 2025 (Successor), respectively, and is recorded within Cost of sales, General and administrative and Research and development on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future amortization expense is as follows: </w:t>
      </w:r>
    </w:p>
    <w:tbl>
      <w:tblPr>
        <w:tblW w:w="6823" w:type="dxa"/>
        <w:jc w:val="left"/>
        <w:tblInd w:w="0" w:type="dxa"/>
        <w:tblLayout w:type="fixed"/>
        <w:tblCellMar>
          <w:top w:w="28" w:type="dxa"/>
          <w:left w:w="28" w:type="dxa"/>
          <w:bottom w:w="28" w:type="dxa"/>
          <w:right w:w="28" w:type="dxa"/>
        </w:tblCellMar>
      </w:tblPr>
      <w:tblGrid>
        <w:gridCol w:w="1731"/>
        <w:gridCol w:w="1522"/>
        <w:gridCol w:w="1531"/>
        <w:gridCol w:w="355"/>
        <w:gridCol w:w="1422"/>
        <w:gridCol w:w="262"/>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first nine months of fiscal year 2025)</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165,941</w:t>
            </w:r>
            <w:r>
              <w:rPr>
                <w:color w:val="000000"/>
              </w:rPr>
              <w:t> </w:t>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Earnout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were not effective on the Company Earnout Shares until 6 months following the Business Combination.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Company’s Board of Directors formally recognized the creation of the Refinity subsidiary, thereby meeting the milestone two conditions for the Company Earnout Shares. As such, 2,000,000 shares of Common Stock were issued on February 4, 2025 as a result of the satisfaction of the milestone.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Earnout Shares related to milestone three are liability classified and were fair valued at $5,460 and $14,752 as of September 30, 2025 and December 31, 2024, respectively. The Company recognized a loss of $1,090 and gain of $8,419 in Change in fair value of financial liabilities on the condensed consolidated statements of operations and comprehensive income (loss) for the three and nine months ended September 30, 2025 (Successor),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Warrants</w:t>
      </w:r>
    </w:p>
    <w:tbl>
      <w:tblPr>
        <w:tblW w:w="10205" w:type="dxa"/>
        <w:jc w:val="left"/>
        <w:tblInd w:w="0" w:type="dxa"/>
        <w:tblLayout w:type="fixed"/>
        <w:tblCellMar>
          <w:top w:w="28" w:type="dxa"/>
          <w:left w:w="28" w:type="dxa"/>
          <w:bottom w:w="28" w:type="dxa"/>
          <w:right w:w="28" w:type="dxa"/>
        </w:tblCellMar>
      </w:tblPr>
      <w:tblGrid>
        <w:gridCol w:w="927"/>
        <w:gridCol w:w="813"/>
        <w:gridCol w:w="818"/>
        <w:gridCol w:w="802"/>
        <w:gridCol w:w="566"/>
        <w:gridCol w:w="568"/>
        <w:gridCol w:w="765"/>
        <w:gridCol w:w="581"/>
        <w:gridCol w:w="583"/>
        <w:gridCol w:w="621"/>
        <w:gridCol w:w="621"/>
        <w:gridCol w:w="623"/>
        <w:gridCol w:w="558"/>
        <w:gridCol w:w="558"/>
        <w:gridCol w:w="801"/>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Public Warrants</w:t>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Private Warrants</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2024 WTI Warrants</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2025 WTI Warrants</w:t>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December 31, 2024 (Successor)</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September 30, 2025 (Successor)</w:t>
            </w:r>
          </w:p>
        </w:tc>
        <w:tc>
          <w:tcPr>
            <w:tcW w:w="13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11,240,688</w:t>
            </w:r>
            <w:r>
              <w:rPr>
                <w:color w:val="000000"/>
              </w:rPr>
              <w:t>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7,146,000</w:t>
            </w:r>
            <w:r>
              <w:rPr>
                <w:color w:val="000000"/>
              </w:rPr>
              <w:t> </w:t>
            </w:r>
          </w:p>
        </w:tc>
        <w:tc>
          <w:tcPr>
            <w:tcW w:w="5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warrants outstanding during the three and nine months ended September 30, 2024 (Predecessor).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equity-classified public warrants expire on October 2, 2029 or earlier upon redemption or liquidation and are exercisable for $11.50 per share.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Private Placement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September 30, 2025 (Successor) and December 31, 2024 (Predecessor), the fair value of the private placement warrants is $6,392 and $16,793, respectively, and is presented as a current liability in the condensed consolidated balance sheets. For the three and nine months ended September 30, 2025 (Successor), the Company recognized a gain of $754 and $10,401, respectively, in Change in fair value of financial liabilities on the condensed consolidated statements of operations and comprehensive income (loss).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WTI 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October 22, 2024, in connection with the WTI Facility, the Company issued warrants (the "2024 WTI Warrants") to the WTI Lenders. The 2024 WTI Warrants are considered freestanding financial instruments and are recorded at fair value on the condensed consolidated balance sheets as a warrant liability in the amount of $12,720 and $17,230 as of September 30, 2025 (Successor) and December 31, 2024 (Predecessor), respectively. For the three and nine months ended September 30, 2025 (Successor), the Company recognized a loss of $270 and gain of $4,510, respectively, in change in fair value of financial liabilities on the condensed consolidated statements of operations and comprehensive income (loss). The 2024 WTI Warrants expire on March 31, 2035. See Note 4. Fair Value for details on the valuation.</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14, 2025, the Company issued the 2025 WTI Warrants to purchase, at a price of $0.01 per share (subject to certain limitations and adjustment), up to an aggregate total of 495,074 shares of Common Stock, as of the date of issuance and June 30, 2025 (subject to future adjustments to the number and type of shares pursuant to the 2025 WTI Warrants), to the WTI Holders. Each of the 2025 WTI Warrants is exercisable through March 31, 2035, with additional customary rights and protections. The 2025 WTI Warrants were issued to the WTI Holders in conjunction with the first issuance of the Convertible Debentures. The 2025 WTI Warrants serve as consideration for certain provisions under the Consent. The Company recognized the related warrant liability at fair value at an amount of $3,090 at the time of issuance. The 2025 WTI Warrants are recorded at fair value on the condensed consolidated balance sheets in the amount of $3,630 as of September 30, 2025 (Successor). For the three and nine months ended September 30, 2025 (Successor), the Company recognized a loss of $230 and $540, respectively, in the change in fair value of financial liabilities on the condensed consolidated statements of operations and comprehensive income (loss). The 2025 WTI Warrants expire on March 31, 2035. See Note 4. Fair Value for details on the valuation.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Stockholders'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25,000,000 shares of preferred stock with a par value of $0.0001 per share.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3,000,000 shares of the authorized preferred stock are designated as Series B preferred stock, $0.0001 par value per share (“Series B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of Series B Preferred Stock, to December 31, 2024, as a payment in kind at the specified rate. During the nine months ended September 30, 2025 (Successor), the holders of Series B Preferred Stock exercised their conversion right and converted 1,085,664 shares of Series B Preferred Stock for 2,164,673 shares of Common Stock. Upon conversion, all the converted Series B Preferred Stock shares were canceled and retired.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the Company had a total of 33,144 shares of Series B Preferred Stock issued and outstanding as of September 30, 2025. As of September 30, 2025, the Company accrued $20 for the 8% dividend in the Obligation to issue equity on the condensed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Series C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5,000,000 shares of the authorized preferred stock are designated as series C preferred stock, $0.0001 par value per share (the “Series C Preferred Stock”). On March 24, 2025, Innventure issued 2,885,848 shares of Series C Preferred Stock at the original issue price for a total amount of $28,858. The consideration received by the Company was in the form of cash, services rendered and the cancellation of related party debt. During the nine months ended September 30, 2025 (Successor), the holders of Series C Preferred Stock exercised their conversion right and converted 2,735,848 shares of Series C Preferred Stock for 5,471,696 shares of Common Stock. Upon conversion, all the converted Series C Preferred Stock shares were canceled and retired.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Series C Preferred Stock is subject to similar terms and conditions as the Series B Preferred Stock. The Company had a total of 150,000 shares of Series C Preferred Stock issued and outstanding as of September 30, 2025. As of September 30, 2025, the Company accrued $60 for the 8% dividend in the Obligation to issue equity on the condensed consolidated balance sheets.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250,000,000 shares of Common Stock with a par value of $0.0001 per share. Holders of the Company’s Common Stock are entitled to one vote for each share. As of September 30, 2025 there were 56,220,158 shares of Common Stock issued and outstanding.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Standby Equity Purchase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the SEPA with Yorkville. This agreement became effective concurrently with the Business 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 the Company shall have the right, but not the obligation, to sell to Yorkville up to $75,000 of Common Stock, par value $0.0001 per share, at the Company’s request any time during the commitment period commencing on the Closing and continuing for a term of 3 years.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SEPA will automatically terminate on the earlier to occur of (i) November 01, 2027 and (ii) the date on which Yorkville shall have made payment of advances pursuant to the SEPA for Common Stock equal to the commitment amount of $75,000.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 the Company issued 523,748 and 997,573 shares of Common Stock to the investors as repayments under the Convertible Debentures referenced in Note 5. Borrowings during the three and nine months ended September 30, 2025 (Successor),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(Successor), in addition to the Common Stock issuances pursuant to the SEPA made in repayment towards the Convertible Debentures noted above, the Company sold — and 73,993 shares of Common Stock under the SEPA, raising $— and $931 in cash proceeds, respectively, which is classified within Issuance of common shares, net of issuance costs in the condensed consolidated statements of changes in mezzanine and stockholders' equity (deficit). As of September 30, 2025, the maximum remaining availability under the SEPA is approximately $67,000.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ability to access the SEPA is subject to certain conditions and limitations in the SEPA and the Purchase Agreements, which impose further limitations and conditions upon the Company’s ability to access the SEPA.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Debentures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Convertible Debentures (further defined in Note 5. Borrowings), the Company issued 140,168 shares of Common Stock to Yorkville as repayments under the Convertible Debentures during the three and nine months ended September 30, 2025 (Successor).</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Service Provider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VWAP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2024 Equity and Incentive Compensation Plan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2025, the Company issued 111,525 restricted stock units (“RSUs”) to five directors pursuant to the Innventure Non-Management Director Compensation Plan. The RSUs had a grant date fair value of $600 based on a fair value per unit of $5.38. The fair value of RSUs is determined based on the closing market price of the Company’s Common Stock at the date of the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2025, the Company issued 327,248 shares of Common Stock to settle 412,156 vested RSUs net of taxes that were originally issued as part of the 2024 Equity and Incentive Compensation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25, 2025, the Company issued 519,189 RSUs to five key employees. The RSUs had a grant date fair value of $2,303 based on a fair value per unit of $4.44. The fair value of RSUs is determined based on the closing market price of the Company’s Common Stock at the date of the grant.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compensation costs related to the RSUs of $3,534 and $14,429, respectively, in the condensed consolidated statements of operations and comprehensive income (loss). As of September 30, 2025, the Company had $11,168 in stock-based compensation expense remaining to be recognized over approximately 1.8 years.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26, 2025, the Company issued 90,000 stock options to two independent contractors.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compensation costs related to the stock options of $1,192 and $3,733, respectively, in the condensed consolidated statements of operations and comprehensive income (loss). As of September 30, 2025, the Company had $2,633 in compensation expense remaining to be recognized over approximately 1.7 years.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as of September 30, 2025 using the Black-Scholes option-pricing model based on an expected volatility of 70%, an expected term of approximately 1.3 years, and risk-free rate of return of 4%. The Company recognized a decrease in compensation expense in the amount of $237 and $931 in relation to the change in fair value of the cash-settled SARs for the three and nine months ended September 30, 2025 (Successor),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2025, the SARs agreements were amended. Under these amendments, any payments by the Company to the participants shall be made in the form of shares of Common Stock and the maximum number of shares of Common Stock that may be issued pursuant to the SAR Agreements shall be 4,000,000.</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Subsidiary Equity Plan</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there were 915,000 and 1,048,000 Class C units granted, respectively with a grant date fair value per share of $20.31 and $20.60, respectively. During the three and nine months ended September 30, 2024 (Predecessor), there were $— and 110,000 Class C units granted, respectively, with a grant date fair value per unit of $— and $4.41,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recognized compensation costs of $2,747 and $4,557 for the three and nine months ended September 30, 2025 (Successor) and $326 and $919 for the three and nine months ended September 30, 2024 (Predecessor), respectively, in the condensed consolidated statements of operations and comprehensive income (loss). As of September 30, 2025, the Company had $24,179 in unit-based compensation expense remaining to be recognized over approximately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(Successor), the Company recognized income tax benefits of $3,603 and $7,222, respectively. During the three and nine months ended September 30, 2024 (Predecessor), no income tax provision or expense was recorded.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September 30, 2025 (Successor) was a benefit of 9.40%, driven primarily by an increase in the valuation allowance as a result of pre-tax book loss activity. For the nine months ended September 30, 2025 (Successor), the effective tax rate was a benefit of 1.65% driven primarily by the impact of the goodwill impairment, which is not deductible for tax purposes.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14. Net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2024 WTI Warrants and 2025 WTI Warrants, which are determined to be participating securities, do not have a contractual obligation to fund losses, undistributed net losses are not allocated to them for purposes of the loss per share calculation.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 Presented in the table below is a reconciliation of the numerator and denominator for the EPS calculations for the three and nine months ended September 30, 2025 (Successor):</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tbl>
      <w:tblPr>
        <w:tblW w:w="10205" w:type="dxa"/>
        <w:jc w:val="left"/>
        <w:tblInd w:w="0" w:type="dxa"/>
        <w:tblLayout w:type="fixed"/>
        <w:tblCellMar>
          <w:top w:w="28" w:type="dxa"/>
          <w:left w:w="28" w:type="dxa"/>
          <w:bottom w:w="28" w:type="dxa"/>
          <w:right w:w="28" w:type="dxa"/>
        </w:tblCellMar>
      </w:tblPr>
      <w:tblGrid>
        <w:gridCol w:w="1682"/>
        <w:gridCol w:w="1419"/>
        <w:gridCol w:w="1426"/>
        <w:gridCol w:w="551"/>
        <w:gridCol w:w="1879"/>
        <w:gridCol w:w="260"/>
        <w:gridCol w:w="109"/>
        <w:gridCol w:w="109"/>
        <w:gridCol w:w="109"/>
        <w:gridCol w:w="455"/>
        <w:gridCol w:w="1879"/>
        <w:gridCol w:w="327"/>
      </w:tblGrid>
      <w:tr>
        <w:trPr/>
        <w:tc>
          <w:tcPr>
            <w:tcW w:w="168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2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Innventure, Inc., shareholders</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(255,556)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earnings to participating securities</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Undistributed loss for participating securities </w:t>
            </w:r>
          </w:p>
        </w:tc>
        <w:tc>
          <w:tcPr>
            <w:tcW w:w="2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(255,636)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loss attributable to participating securities</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 basic and diluted</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(28,360)</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(255,636)</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2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outstanding, basic and diluted</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55,846,721 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51,583,853 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attributable to common shareholders, basic and diluted </w:t>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(0.51)</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the same for each period presented as the inclusion of all potential Common Stock outstanding would have been anti-dilutive.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Stock outstanding that was excluded from the computation of diluted net loss per share of Common Stock for the periods presented because including them would have been antidilutive:</w:t>
      </w:r>
    </w:p>
    <w:tbl>
      <w:tblPr>
        <w:tblW w:w="9597" w:type="dxa"/>
        <w:jc w:val="left"/>
        <w:tblInd w:w="0" w:type="dxa"/>
        <w:tblLayout w:type="fixed"/>
        <w:tblCellMar>
          <w:top w:w="28" w:type="dxa"/>
          <w:left w:w="28" w:type="dxa"/>
          <w:bottom w:w="28" w:type="dxa"/>
          <w:right w:w="28" w:type="dxa"/>
        </w:tblCellMar>
      </w:tblPr>
      <w:tblGrid>
        <w:gridCol w:w="830"/>
        <w:gridCol w:w="730"/>
        <w:gridCol w:w="735"/>
        <w:gridCol w:w="1174"/>
        <w:gridCol w:w="1174"/>
        <w:gridCol w:w="1177"/>
        <w:gridCol w:w="109"/>
        <w:gridCol w:w="109"/>
        <w:gridCol w:w="109"/>
        <w:gridCol w:w="1008"/>
        <w:gridCol w:w="1008"/>
        <w:gridCol w:w="143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11,240,688 </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7,146,000 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 WTI Warrants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Debentures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6,409,815 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8,102,531 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WTI Warrants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495,074 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61,808 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26,516 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Stock</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279,723 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194,062 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1,041,667 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1,041,667 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2,210,225 </w:t>
            </w:r>
          </w:p>
        </w:tc>
        <w:tc>
          <w:tcPr>
            <w:tcW w:w="1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2,210,225 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15.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more fully described in Note 5. Borrowings, the Company has various notes with affiliates, including short-term notes with three separate related parties which were settled on March 20, 2025. In addition, the Company issued a convertible note to the ESG Fund pursuant to the Amended and Restated Series I Convertible Note Purchase Agreement, dated as of June 2, 2023, by and among Accelsius, ESG Fund, and the other parties thereto, which was converted during the nine months ended September 30, 2024 (Predecessor). During the nine months ended September 30, 2025 (Successor), the Company entered into the Related Party Convertible Notes with various related parties, including other lenders.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Transactions with Directors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12. Stock-based Compensation, the Company issued various equity awards to related parties throughout 2024. On December 9, 2024, the Company issued 1,246,722 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Accelsius issued 100,000 Class C Units with a grant date fair value of $441 to one director under the Accelsius Subsidiary Equity Plan. Additionally, on June 25, 2025, the Company issued 111,525 RSUs with a grant date fair value of $600 to five directors pursuant to the Innventure Non-Management Director Compensation Plan. On August 25, 2025, the Company issued 338,601 RSUs with a grant date fair value of $1,502 to two directors, pursuant to the 2024 Equity and Incentive Compensation Plan.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the ESG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more fully described in Note 2. Accounting Policies in our 2024 Annual Report, the Company earns a 1-2% management fee for administrative, finance and accounting, and other back-office functions from the ESG Fund. Management fees earned from the ESG Fund were $— and $391 for the three and nine months ended September 30, 2025 (Successor), respectively, and $195 and $588 for the three and nine months ended September 30, 2024 (Predecessor), respectively, which is recorded as Revenue in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Transactions with AeroFlexx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$6,870 and $4,375, respectively, of advances to AeroFlexx which is included in Due from related parties in the condensed consolidated balance sheets. The advances have no stated interest or maturity date but are expected to be repaid within a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24, 2025, the Company issued 578,294 shares of Series C Preferred Stock to settle AeroFlexx’s debt with a related party. The Company considers the stock issuance to be an investment in AeroFlexx of $5,783 which was recorded in Investments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PCT Guaranty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 and total interest paid is $—. As of September 30, 2025 (Successor) and December 31, 2024 (Predecessor), there was no principal outstanding under the guaranty.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Patent Agreement Contingent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Accelsius entered into an amended and restated agreement with the MNC. The amended agreement modifies several terms and notably (a) eliminates revenue-based royalty payments, (b) extends the due dates for fixed installment payments, (c) modifies and reduces the buy-out fee payable to the MNC in lieu of future installment payments upon certain events such as an assignment of the agreement or a capital event (including a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 of control or initial public offering), at the option of either the MNC or Accelsius, and (d) eliminates Accelsius’s ability to unilaterally terminate the agreement upon the occurrence of certain events (other than a material breach) and provides the MNC with certain limited information rights related to the equity ownership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agreements, the Company is required to make fixed installment payments, as disclosed below, for each year of the agreement through December 31, 2040. </w:t>
      </w:r>
    </w:p>
    <w:tbl>
      <w:tblPr>
        <w:tblW w:w="5886" w:type="dxa"/>
        <w:jc w:val="left"/>
        <w:tblInd w:w="0" w:type="dxa"/>
        <w:tblLayout w:type="fixed"/>
        <w:tblCellMar>
          <w:top w:w="28" w:type="dxa"/>
          <w:left w:w="28" w:type="dxa"/>
          <w:bottom w:w="28" w:type="dxa"/>
          <w:right w:w="28" w:type="dxa"/>
        </w:tblCellMar>
      </w:tblPr>
      <w:tblGrid>
        <w:gridCol w:w="1731"/>
        <w:gridCol w:w="1524"/>
        <w:gridCol w:w="1530"/>
        <w:gridCol w:w="211"/>
        <w:gridCol w:w="73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first nine months of fiscal year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License and Royalty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the Company entered into a license agreement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committed to pay a semi-annual fee of $65 until ownership transfers or the Gasification Technology is no longer licensed, which is accrued on a monthly basis. During the three and nine months ended September 30, 2025 (Successor), $98 and $33, respectively, related to the Gasification Technology was recognized within General and administrative expense in the condensed consolidated statements of operations and comprehensive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pay annual royalties based on Refinity-related gross sales and licensing revenue starting in 2025. For the three and nine months ended September 30, 2025 (Successor), no royalty payments were made to the third party.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Framework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22, 2025, Refinity entered into the Framework Agreement (“Framework Agreement”) with a third party to obtain research services focusing on the further development and optimization of the Gasification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 During the three and nine months ended September 30, 2025 (Successor), Refinity incurred €379 and €960, respectively, of service expenses toward the Year 1 minimum fee. After currency conversion, Refinity incurred $445 and $1,064, respectively, toward the Year 1 minimum fee during the three and nine months ended September 30, 2025 (Successor). Additionally, during the three and nine months ended September 30, 2025 (Successor), Refinity made payments of $784 and $1,086, respectively, on costs incurred as a part of the Year 1 minimum fee.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Common Stock Advance Funds </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240"/>
        <w:jc w:val="both"/>
        <w:rPr/>
      </w:pPr>
      <w:r>
        <w:rPr>
          <w:rFonts w:ascii="Times New Roman;serif" w:hAnsi="Times New Roman;serif"/>
          <w:b w:val="false"/>
          <w:color w:val="000000"/>
          <w:sz w:val="20"/>
        </w:rPr>
        <w:t xml:space="preserve">During the three and nine months ended September 30, 2025, the Company received $2,159 of advance funds for future equity issuance of the Company. This amount is shown within </w:t>
      </w:r>
      <w:r>
        <w:rPr>
          <w:rFonts w:ascii="Times New Roman;serif" w:hAnsi="Times New Roman;serif"/>
          <w:b w:val="false"/>
          <w:i/>
          <w:color w:val="000000"/>
          <w:sz w:val="20"/>
        </w:rPr>
        <w:t>'Obligation to issue equity'</w:t>
      </w:r>
      <w:r>
        <w:rPr>
          <w:color w:val="000000"/>
        </w:rPr>
        <w:t xml:space="preserve"> </w:t>
      </w:r>
      <w:r>
        <w:rPr>
          <w:rFonts w:ascii="Times New Roman;serif" w:hAnsi="Times New Roman;serif"/>
          <w:b w:val="false"/>
          <w:color w:val="000000"/>
          <w:sz w:val="20"/>
        </w:rPr>
        <w:t>of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17. Business Segment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the Company’s Technology segment for the three and nine months ended September 30, 2025 (Successor) and the three and nine months ended September 30,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 </w:t>
      </w:r>
    </w:p>
    <w:tbl>
      <w:tblPr>
        <w:tblW w:w="10205" w:type="dxa"/>
        <w:jc w:val="left"/>
        <w:tblInd w:w="0" w:type="dxa"/>
        <w:tblLayout w:type="fixed"/>
        <w:tblCellMar>
          <w:top w:w="28" w:type="dxa"/>
          <w:left w:w="28" w:type="dxa"/>
          <w:bottom w:w="28" w:type="dxa"/>
          <w:right w:w="28" w:type="dxa"/>
        </w:tblCellMar>
      </w:tblPr>
      <w:tblGrid>
        <w:gridCol w:w="834"/>
        <w:gridCol w:w="465"/>
        <w:gridCol w:w="466"/>
        <w:gridCol w:w="309"/>
        <w:gridCol w:w="1127"/>
        <w:gridCol w:w="159"/>
        <w:gridCol w:w="109"/>
        <w:gridCol w:w="109"/>
        <w:gridCol w:w="109"/>
        <w:gridCol w:w="109"/>
        <w:gridCol w:w="109"/>
        <w:gridCol w:w="109"/>
        <w:gridCol w:w="387"/>
        <w:gridCol w:w="1158"/>
        <w:gridCol w:w="201"/>
        <w:gridCol w:w="109"/>
        <w:gridCol w:w="109"/>
        <w:gridCol w:w="109"/>
        <w:gridCol w:w="295"/>
        <w:gridCol w:w="1220"/>
        <w:gridCol w:w="152"/>
        <w:gridCol w:w="109"/>
        <w:gridCol w:w="109"/>
        <w:gridCol w:w="109"/>
        <w:gridCol w:w="109"/>
        <w:gridCol w:w="109"/>
        <w:gridCol w:w="109"/>
        <w:gridCol w:w="341"/>
        <w:gridCol w:w="1196"/>
        <w:gridCol w:w="260"/>
      </w:tblGrid>
      <w:tr>
        <w:trPr/>
        <w:tc>
          <w:tcPr>
            <w:tcW w:w="8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costs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equipment &amp; supplies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services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13,325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5,885</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380,399</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16,322</w:t>
            </w: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(12,818)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(5,783)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(379,633)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(16,220)</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 xml:space="preserve">* Represents depreciation expense not already included in Cost of sales.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 Other - change in fair value of embedded derivative liability, loss on conversion of promissory note, travel and other miscellaneous expenses.</w:t>
      </w:r>
    </w:p>
    <w:p>
      <w:pPr>
        <w:pStyle w:val="TextBody"/>
        <w:bidi w:val="0"/>
        <w:spacing w:before="0" w:after="180"/>
        <w:jc w:val="left"/>
        <w:rPr/>
      </w:pPr>
      <w:r>
        <w:rPr/>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reportable segment to amounts reflected in our condensed consolidated financial statements. </w:t>
      </w:r>
    </w:p>
    <w:tbl>
      <w:tblPr>
        <w:tblW w:w="10205" w:type="dxa"/>
        <w:jc w:val="left"/>
        <w:tblInd w:w="0" w:type="dxa"/>
        <w:tblLayout w:type="fixed"/>
        <w:tblCellMar>
          <w:top w:w="28" w:type="dxa"/>
          <w:left w:w="28" w:type="dxa"/>
          <w:bottom w:w="28" w:type="dxa"/>
          <w:right w:w="28" w:type="dxa"/>
        </w:tblCellMar>
      </w:tblPr>
      <w:tblGrid>
        <w:gridCol w:w="853"/>
        <w:gridCol w:w="678"/>
        <w:gridCol w:w="689"/>
        <w:gridCol w:w="288"/>
        <w:gridCol w:w="1044"/>
        <w:gridCol w:w="149"/>
        <w:gridCol w:w="109"/>
        <w:gridCol w:w="109"/>
        <w:gridCol w:w="109"/>
        <w:gridCol w:w="109"/>
        <w:gridCol w:w="109"/>
        <w:gridCol w:w="109"/>
        <w:gridCol w:w="361"/>
        <w:gridCol w:w="1079"/>
        <w:gridCol w:w="188"/>
        <w:gridCol w:w="109"/>
        <w:gridCol w:w="109"/>
        <w:gridCol w:w="109"/>
        <w:gridCol w:w="277"/>
        <w:gridCol w:w="1140"/>
        <w:gridCol w:w="143"/>
        <w:gridCol w:w="109"/>
        <w:gridCol w:w="109"/>
        <w:gridCol w:w="109"/>
        <w:gridCol w:w="109"/>
        <w:gridCol w:w="109"/>
        <w:gridCol w:w="109"/>
        <w:gridCol w:w="319"/>
        <w:gridCol w:w="1117"/>
        <w:gridCol w:w="245"/>
      </w:tblGrid>
      <w:tr>
        <w:trPr/>
        <w:tc>
          <w:tcPr>
            <w:tcW w:w="8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 (Predecessor)</w:t>
            </w:r>
          </w:p>
        </w:tc>
      </w:tr>
      <w:tr>
        <w:trPr/>
        <w:tc>
          <w:tcPr>
            <w:tcW w:w="22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management services provided to Technology</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Expense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7,892</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Elimination of Intercompany Interest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Interest Income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Consolidated Depreciation and Amortization Expense</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5,638</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16,821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(34,735)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(429,684)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(26,481)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Capital Expenditures</w:t>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w:t>
            </w: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1,371</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long-lived assets are located entirely in the United States. Segment assets are not reviewed by the CODM and therefore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 18. Subsequent Events</w:t>
      </w:r>
    </w:p>
    <w:p>
      <w:pPr>
        <w:pStyle w:val="TextBody"/>
        <w:bidi w:val="0"/>
        <w:spacing w:lineRule="auto" w:line="288" w:before="0" w:after="120"/>
        <w:jc w:val="left"/>
        <w:rPr/>
      </w:pPr>
      <w:hyperlink w:anchor="ic00931e569874fb1a320c87b1f8af24a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Innventure, Inc. and Subsidiaries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 (in thousands, except share or per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Events occurring after September 30, 2025 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and November 2025, the Company issued a total of 4,596,315 shares of Common Stock to Yorkville for a total principal amount of $12,900 of the Convertible Debentures, due to the exercise of conversion option by Yorkville as referenced in Note 5. Borrowings.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 2025, Accelsius issued and sold 685,163 Series B-1 Units (the “Series B-1 Units”) to Johnson Controls, Inc. (“JCI”) for approximately $25,000, before deducting financial advisor fees and other estimated offering expenses. JCI is entitled to appoint and remove a director to the board of directors of Accelsius if JCI and its affiliates maintain a significant ownership percentage. As a result of the sale of Series B-1 Units to JCI, the August 2025 Notes converted into 251,452 Series B-2 units and 125,725 B-2 Warrants were issued.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raised approximately $9,751 through a private placement, issuing 1,625,235 shares of Common Stock at $6.00 per share and Series A warrants to purchase 1,625,235 shares of Common Stock (the “Series A Warrants”). The Series A Warrants, exercisable from April 6, 2026 at $8.00 per share, are redeemable under certain conditions until October 3, 2030.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8, 2025, the Company repaid the CPN in full due to its related party, amounting to $2,000 in principal, $74 in interest, and $35 for the loan fee, for a total of $2,109.</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12, 2025, the Company issued the second tranche of the New Convertible Debentures for $5,000, as referenced in Note 5. Borrowings. The debentures were issued with a 10% original issue discount, yielding $4,500 in net proceeds, bear 5% annual interest, and mature on September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and our predecessor’s, as applicable, unaudited condensed consolidated financial statements and related notes as of September 30, 2025 and for the three and nine months ended September 30,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Innventure founds, funds, and operates companies with a focus on transformative, sustainable technology solutions that we acquire or license from technology innovators, which are typically multinational corporations (“MNCs”) with the intent to maximize values for investors and other stakeholders through positive cash flow generated through holding long term positions in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Refer to Item 1. Business of the Form 10-K for a detailed discussion of our business activities.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other equity method investment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 </w:t>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fees and additional internal and external accounting, legal and administrative resources, including increased audit and legal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Innventure’s future results of consolidated operations and financial position may not be comparable to historical results as a result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 for the three and nine months ended September 30, 2025 (Successor) and three and nine months ended September 30, 2024 (Predecessor) (in thousands, except as otherwise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reflect the application of different bases of accounting as a result of the Business Combination, the tables provided below separate the Company’s results via a black line into two distinct periods as follows: (1) three and nine months ended September 30, 2024 (labeled “Predecessor”) and (2) three and nine months ended September 30, 2025 (labeled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Comparison of the nine months ended September 30, 2025 and September 30, 2024: </w:t>
      </w:r>
    </w:p>
    <w:tbl>
      <w:tblPr>
        <w:tblW w:w="10205" w:type="dxa"/>
        <w:jc w:val="left"/>
        <w:tblInd w:w="0" w:type="dxa"/>
        <w:tblLayout w:type="fixed"/>
        <w:tblCellMar>
          <w:top w:w="28" w:type="dxa"/>
          <w:left w:w="28" w:type="dxa"/>
          <w:bottom w:w="28" w:type="dxa"/>
          <w:right w:w="28" w:type="dxa"/>
        </w:tblCellMar>
      </w:tblPr>
      <w:tblGrid>
        <w:gridCol w:w="1411"/>
        <w:gridCol w:w="1139"/>
        <w:gridCol w:w="1160"/>
        <w:gridCol w:w="320"/>
        <w:gridCol w:w="1116"/>
        <w:gridCol w:w="210"/>
        <w:gridCol w:w="109"/>
        <w:gridCol w:w="109"/>
        <w:gridCol w:w="109"/>
        <w:gridCol w:w="109"/>
        <w:gridCol w:w="109"/>
        <w:gridCol w:w="109"/>
        <w:gridCol w:w="339"/>
        <w:gridCol w:w="1061"/>
        <w:gridCol w:w="222"/>
        <w:gridCol w:w="109"/>
        <w:gridCol w:w="109"/>
        <w:gridCol w:w="109"/>
        <w:gridCol w:w="166"/>
        <w:gridCol w:w="569"/>
        <w:gridCol w:w="109"/>
        <w:gridCol w:w="109"/>
        <w:gridCol w:w="109"/>
        <w:gridCol w:w="109"/>
        <w:gridCol w:w="272"/>
        <w:gridCol w:w="272"/>
        <w:gridCol w:w="531"/>
      </w:tblGrid>
      <w:tr>
        <w:trPr/>
        <w:tc>
          <w:tcPr>
            <w:tcW w:w="14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Change</w:t>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Revenue</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61.5 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Operating Expenses</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Cost of sales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825.6 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General and administrative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55,172 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117.9 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Goodwill impairment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Sales and marketing</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4,178 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63.2 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Research and development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18,472 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5,978 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209.0 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Operating Expenses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434,211</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36,256</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397,955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1,097.6</w:t>
            </w: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Loss from Operations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(432,977)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(35,492)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1,119.9</w:t>
            </w: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Non-operating (Expense) and Income</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expense, net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(7,586)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483.5 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investments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loss on investments – due to related parties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financial liabilities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19,496 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(4,178.7)</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Equity method investment (loss) income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(1,251.4)</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Realized gain on conversion of available for sale investment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debt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extinguishment of related party debt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Loss on conversion of promissory notes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Miscellaneous other expense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Non-operating (Expense) Income</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(3,929)</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9,011</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(12,940)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(143.6)</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benefit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Loss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(429,684)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(26,481)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1,522.6</w:t>
            </w:r>
            <w:r>
              <w:rPr>
                <w:color w:val="000000"/>
              </w:rPr>
              <w:t>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Less: net loss attributable to</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(174,128)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(11,762)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1,380.4 </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Loss Attributable to Innventure, Inc. Stockholders / Innventure LLC Unitholders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(255,556)</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(14,719)</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(240,837)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1,636.2</w:t>
            </w:r>
            <w:r>
              <w:rPr>
                <w:color w:val="000000"/>
              </w:rPr>
              <w:t>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Other comprehensive income (loss), net of taxes:</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Unrealized gain (loss) on available for sale debt securities - related party</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(2,373)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(82.7)</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realized gain on conversion of available for sale investments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nm*</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other comprehensive income (loss), net of taxes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(1,917)</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(2,373)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(19.2)</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comprehensive loss, net of taxes</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(431,601)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(28,854)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(402,747)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1,395.8</w:t>
            </w: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Less: comprehensive loss attributable to</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(174,128)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(11,762)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1,380.4 </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Net Comprehensive Loss Attributable to Innventure, Inc. Stockholders / Innventure LLC Unitholders</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(257,473)</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(17,092)</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(240,381)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1,406.4</w:t>
            </w:r>
            <w:r>
              <w:rPr>
                <w:color w:val="000000"/>
              </w:rPr>
              <w:t>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w:t>
            </w:r>
          </w:p>
        </w:tc>
      </w:tr>
    </w:tbl>
    <w:p>
      <w:pPr>
        <w:pStyle w:val="TextBody"/>
        <w:bidi w:val="0"/>
        <w:spacing w:lineRule="auto" w:line="288" w:before="0" w:after="180"/>
        <w:jc w:val="both"/>
        <w:rPr/>
      </w:pPr>
      <w:r>
        <w:rPr>
          <w:rFonts w:ascii="Times New Roman;serif" w:hAnsi="Times New Roman;serif"/>
          <w:b w:val="false"/>
          <w:i/>
          <w:color w:val="000000"/>
          <w:sz w:val="14"/>
        </w:rPr>
        <w:t>*</w:t>
      </w:r>
      <w:r>
        <w:rPr>
          <w:rFonts w:ascii="Times New Roman;serif" w:hAnsi="Times New Roman;serif"/>
          <w:b w:val="false"/>
          <w:i/>
          <w:color w:val="000000"/>
          <w:sz w:val="14"/>
        </w:rPr>
        <w:t>not meaningful</w:t>
      </w: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was $1,234 for the nine months ended September 30, 2025 (Successor) and $764 for the nine months ended September 30, 2024 (Predecessor), an increase of $470, or 61.5%. The increase was driven by an increase of $667 of product sales in the Technology segment, offset by a decrease of $197 of management fee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sales was $7,192 for the nine months ended September 30, 2025 (Successor) and $777 for the nine months ended September 30, 2024 (Predecessor), an increase of $6,415, or 825.6%. The increase relates to the generation of revenue at the Technology segment resulting in an increase in costs related to supplies and materials amounting to $798, an increase in amortization of intangible assets of $3,660 and an increase in employee costs of $1,642.</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$55,172 for the nine months ended September 30, 2025 (Successor) and $25,323 for the nine months ended September 30, 2024 (Predecessor), an increase of $29,849, or 117.9%. The increase in expenditure was attributed to increased stock-based compensation costs of $21,916, increased intangible asset amortization of $3,563 and increased professional and legal fees of $4,430.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Goodwill impairment expense was $346,557 for the nine months ended September 30, 2025 (Successor) and $— for the nine months ended September 30, 2024 (Predecessor), an increase of $346,557. The increase was due to sustained decreases in the Company’s publicly quoted share price and market capitalization, which were sensitive to the general downward volatility experienced in the stock market during late February 2025 through April 2025. For the three months ended September 30, 2025 (Successor), there was no goodwill impairment charge.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was $6,818 for the nine months ended September 30, 2025 (Successor) and $4,178 for the nine months ended September 30, 2024 (Predecessor), an increase of $2,640, or 63.2%. The increase was due to increased employee costs of $1,772 and an increase in advertising and marketing-related events and expenses primarily associated with the commercialization phase of the Technology segment of $745.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$18,472 for the nine months ended September 30, 2025 (Successor) and $5,978 for the nine months ended September 30, 2024 (Predecessor), an increase of $12,494 or 209.0%. The increase was due to an increase in amortization of intangible assets of $8,981, an increase in employee costs of $2,154 and an increase in development fees at Refinity of roughly $1,357.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net was $7,586 for the nine months ended September 30, 2025 (Successor) and $1,300 for the nine months ended September 30, 2024 (Predecessor), an increase of $6,286, or 483.5%. The increase was due to interest expense on the convertible debentures (collectively, the “Convertible Debentures”) issued to Yorkville pursuant to each of the securities purchase agreement, dated September 15, 2025 (“Securities Purchase Agreement”), and the securities purchase agreement, dated March 25, 2025, of $3,705, contractual interest expense for the term loan agreement entered into on October 22, 2024 by and among the Company and WTI Fund X, Inc. and WTI Fund XI, Inc. (collectively, “WTI Lenders”), which provides for a term loan facility in the aggregate principal amount of up to $50,000 (the “WTI Facility”) of $2,048, amortization of issuance costs on the WTI Facility of $1,457, partially offset by a net decrease in interest expense related to other debt instruments that have been paid down of $587 and by an increase in interest income of $389.</w:t>
      </w: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gain on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 for the nine months ended September 30, 2025 (Successor) and $11,547 for the nine months ended September 30, 2024 (Predecessor), a decrease of $11,547 or 100.0%. The decrease was due to the gain on investment in PureCycle Technologies, Inc. (“PCT”) owned stock via Class PCTA units during the nine months ended September 30, 2024 (Predecessor), which is no longer consolidated in the Company’s condensed consolidated financial statements as a result of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on investments – due to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 due to related parties was $— for the nine months ended September 30, 2025 (Successor) and $468 for the nine months ended September 30, 2024 (Predecessor), a decrease of $468 or 100.0%. The decrease was due to an increase in the fair value of the liability of PCT stock owed to other parties for the nine months ended September 30, 2024 (Predecessor). The Class PCTA associated liabilities are no longer consolidated in the Company’s condensed consolidated financial statements as a result of the Business Combination.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financial liabilities decreased by $19,496 for the nine months ended September 30, 2025 (Successor) and increased by $478 for the nine months ended September 30, 2024 (Predecessor), an increase to income of $19,974, or 4,178.7%. The increase to income was primarily due to decreases in fair value for warrants of $14,371 and earnout liabilities of $8,419 and was offset by a net increase in the fair value of the embedded derivative liabilities of $2,816.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loss was $10,282 for the nine months ended September 30, 2025 (Successor) and the equity method investment income was $893 for the nine months ended September 30, 2024 (Predecessor), a change of $11,175, or 1,251.4%. The loss during the nine months ended September 30, 2025 (Successor) is related to losses from the Company’s equity method investment in AeroFlexx of $10,233. The income during the nine months ended September 30, 2024 (Predecessor) was due to allocated income from the Innventus ESG Fund I, L.P. (the “ESG Fund”) of $1,742 offset by losses from the Company’s equity method investment in AeroFlexx of $849.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Realized gain on conversion of available for sale investment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Realized gain on conversion of available for sale investment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was $3,462 for the nine months ended September 30, 2025 (Successor) and $— for the nine months ended September 30, 2024 (Predecessor), an increase of $3,462. The increase was due to the modification of the WTI Facility in connection with the issuance of the first tranche of Convertible Debentures to Yorkville, which was accounted for as an extinguishment. There was no gain or loss on extinguishment of debt for the nine months ended September 30, 2024 (Predecessor).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extinguishment of related party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extinguishment of related party debt was $3,538 for the nine months ended September 30, 2025 (Successor) and $— for the nine months ended September 30, 2024 (Predecessor), an increase of $3,538. The increase was due to the extinguishment of the related party loans by additional issuances of the Company’s series C preferred stock, $0.0001 par value per share (“Series C Preferred Stock”) during the nine months ended September 30, 2025 (Successor). There was no gain or loss on extinguishment of related party debt for the nine months ended September 30, 2024 (Predecessor).</w:t>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on conversion of promissory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on conversion of promissory notes was $— for the nine months ended September 30, 2025 (Successor) and $1,119 for the nine months ended September 30, 2024 (Predecessor), a decrease of $1,119 or 100.0%. This was due to the automatic conversion of promissory notes during the nine months ended September 30, 2024 (Predecessor) into equity instruments which was treated as an extinguishment thereby generating a loss. There was no equivalent transaction for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Unrealized gain (loss) on available for sale debt securities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Unrealized loss on available for sale debt securities - related party was $410 for the nine months ended September 30, 2025 (Successor) and $2,373 for the nine months ended September 30, 2024 (Predecessor), a decrease of $1,963 or 82.7%. The decrease was due to the fair value adjustment to the AeroFlexx investment in debt securities which are classified as available for sale.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Reclassification of realized gain on conversion of available for sale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Reclassification of realized gain on conversion of available for sale investments was $1,507 for the nine months ended September 30, 2025 (Successor) and $— for the nine months ended September 30, 2024 (Predecessor), an increase of $1,507. The increase was due to the partial conversion of the AeroFlexx investment in debt securities resulting in a realized gain during the nine months ended September 30, 2025 (Successor).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$174,128 for the nine months ended September 30, 2025 (Successor) and $11,762 for the nine months ended September 30, 2024 (Predecessor), an increase of $162,366, or 1,380.4%. This was due to the increase in the Technology segment net loss as a result of goodwill impairment during the nine months ended September 30, 2025 (Successor) as compared to the nine months ended September 30, 2024 (Predecessor).</w:t>
      </w: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September 30, 2025 and September 30, 2024: </w:t>
      </w:r>
    </w:p>
    <w:tbl>
      <w:tblPr>
        <w:tblW w:w="10205" w:type="dxa"/>
        <w:jc w:val="left"/>
        <w:tblInd w:w="0" w:type="dxa"/>
        <w:tblLayout w:type="fixed"/>
        <w:tblCellMar>
          <w:top w:w="28" w:type="dxa"/>
          <w:left w:w="28" w:type="dxa"/>
          <w:bottom w:w="28" w:type="dxa"/>
          <w:right w:w="28" w:type="dxa"/>
        </w:tblCellMar>
      </w:tblPr>
      <w:tblGrid>
        <w:gridCol w:w="1383"/>
        <w:gridCol w:w="954"/>
        <w:gridCol w:w="966"/>
        <w:gridCol w:w="321"/>
        <w:gridCol w:w="1142"/>
        <w:gridCol w:w="178"/>
        <w:gridCol w:w="109"/>
        <w:gridCol w:w="109"/>
        <w:gridCol w:w="109"/>
        <w:gridCol w:w="109"/>
        <w:gridCol w:w="109"/>
        <w:gridCol w:w="109"/>
        <w:gridCol w:w="373"/>
        <w:gridCol w:w="1088"/>
        <w:gridCol w:w="209"/>
        <w:gridCol w:w="109"/>
        <w:gridCol w:w="109"/>
        <w:gridCol w:w="109"/>
        <w:gridCol w:w="196"/>
        <w:gridCol w:w="678"/>
        <w:gridCol w:w="109"/>
        <w:gridCol w:w="109"/>
        <w:gridCol w:w="109"/>
        <w:gridCol w:w="109"/>
        <w:gridCol w:w="360"/>
        <w:gridCol w:w="362"/>
        <w:gridCol w:w="578"/>
      </w:tblGrid>
      <w:tr>
        <w:trPr/>
        <w:tc>
          <w:tcPr>
            <w:tcW w:w="13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29,739</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13,991</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112.6</w:t>
            </w:r>
            <w:r>
              <w:rPr>
                <w:color w:val="000000"/>
              </w:rPr>
              <w:t>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(29,205)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(13,674)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113.6</w:t>
            </w: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Non-operating (Expense) and Income</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investments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 due to related parties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liabilities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(loss) income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(1,569.7)</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other expense</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Non-operating (Expense) Income</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(9,133)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6,033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(251.4)</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(34,735)</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(7,641)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354.6</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Innventure, Inc. Stockholders / Innventure LLC Unitholders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(28,332)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(2,211)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1,181.4</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taxes:</w:t>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available for sale debt securities - related party</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taxes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(2,373)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(111.8)</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 net of taxes</w:t>
            </w:r>
          </w:p>
        </w:tc>
        <w:tc>
          <w:tcPr>
            <w:tcW w:w="1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(34,454)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(10,014)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244.1</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w:t>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Comprehensive Loss Attributable to Innventure, Inc. Stockholders / Innventure LLC Unitholders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(28,051)</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(4,584)</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511.9</w:t>
            </w:r>
            <w:r>
              <w:rPr>
                <w:color w:val="000000"/>
              </w:rPr>
              <w:t>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180"/>
        <w:jc w:val="both"/>
        <w:rPr/>
      </w:pPr>
      <w:r>
        <w:rPr>
          <w:rFonts w:ascii="Times New Roman;serif" w:hAnsi="Times New Roman;serif"/>
          <w:b w:val="false"/>
          <w:i/>
          <w:color w:val="000000"/>
          <w:sz w:val="16"/>
        </w:rPr>
        <w:t>*</w:t>
      </w:r>
      <w:r>
        <w:rPr>
          <w:rFonts w:ascii="Times New Roman;serif" w:hAnsi="Times New Roman;serif"/>
          <w:b w:val="false"/>
          <w:i/>
          <w:color w:val="000000"/>
          <w:sz w:val="16"/>
        </w:rPr>
        <w:t>not meaningful</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was $534 for the three months ended September 30, 2025 (Successor) and $317 for the three months ended September 30, 2024 (Predecessor), an increase of $217 or 68.5%. The increase was driven by an increase of $412 of product sales in the Technology segment, offset by a decrease of $196 of management fee income.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sales was $4,147 for the three months ended September 30, 2025 (Successor) and $777 for the three months ended September 30, 2024 (Predecessor), an increase of $3,370 or 433.7%. The increase relates to the generation of revenue at the Technology segment resulting in an increase in costs related to material costs and supplies amounting to $509, an increase in amortization of intangible assets of $2,047 and an increase of employee costs of $655.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$16,927 for the three months ended September 30, 2025 (Successor) and $9,052 for the three months ended September 30, 2024 (Predecessor), an increase of $7,875, or 87.0%. The increase was due to increased stock-based compensation costs of $7,592 and amortization expense resulting from the intangibles acquired in the Business Combination of $661.</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was $2,514 for the three months ended September 30, 2025 (Successor) and $1,629 for the three months ended September 30, 2024 (Predecessor), an increase of $885, or 54.3%. The increase was due to increased employee costs of $590 and a $236 increase in advertising and marketing-related events and expenses primarily associated with the commercialization phase of the Technology segment.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$6,151 for the three months ended September 30, 2025 (Successor) and $2,533 for the three months ended September 30, 2024 (Predecessor), an increase of $3,618, or 142.8%. The increase was due to an increase of $2,693 of amortization of intangible assets and an increase in employee costs of $900.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net was $3,401 for the three months ended September 30, 2025 (Successor) and $852 for the three months ended September 30, 2024 (Predecessor), an increase of $2,549, or 299.2%. The increase was due to interest expense on the Convertible Debentures of $2,004, an increase in contractual interest expense on the WTI Facility of $690, amortization of issuance costs on the WTI Facility of $601, partially offset by a net decrease in interest expense related to other debt instruments that have been paid down of $956.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gain on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gain on investments was $— for the three months ended September 30, 2025 (Successor) and net gain on investments was $7,148 for the three months ended September 30, 2024 (Predecessor), a decrease of $7,148 or 100.0%. The decrease was due to the gain on investment in PCT owned stock via Class PCTA units during the three months ended September 30, 2024 (Predecessor), which is no longer consolidated in the Company’s condensed consolidated financial statements as a result of Business Combination.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on investments – due to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loss on investments – due to related parties was $— for the three months ended September 30, 2025 (Successor) and $308 for the three months ended September 30, 2024 (Predecessor), a decrease of $308 or 100.0%. The decrease was due to a decrease in the fair value of the liability of PCT stock owed to other parties for the three months ended September 30, 2024 (Predecessor). The Class PCTA associated liabilities are no longer consolidated in the Company’s condensed consolidated financial statements as a result of the Business Combination. </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 in fair value of financial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liabilities increased by $4,109 for the three months ended September 30, 2025 (Successor) and was $— for the three months ended September 30, 2024 (Predecessor), an overall decrease to income of $4,109. The decrease to income was primarily due to an increase in fair value of the earnout liabilities of $1,090 and a net increase in the fair value of the embedded derivative liabilities of $3,272, offset by a decrease in the fair value of the warrant liabilities of $254.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Equity method investment (loss)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loss was $1,602 for the three months ended September 30, 2025 (Successor) and equity method investment income was $109 for the three months ended September 30, 2024 (Predecessor), a decrease of $1,711, or 1,569.7%. The loss during the three months ended September 30, 2025 (Successor) is related to losses from the Company’s equity method investment in AeroFlexx of $1,621. The income during the three months ended September 30, 2024 (Predecessor) was due to allocated income from the ESG Fund of $400, offset by losses from the Company’s equity method investment in AeroFlexx of $290.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Unrealized gain (loss) on available for sale debt securities - related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Unrealized gain on available for sale debt securities - related party was $281 for the three months ended September 30, 2025 (Successor) and unrealized loss on available for sale debt securities - related party amounted to $2,373 for the three months ended September 30, 2024 (Predecessor), a change of $2,654, or 111.8%. The change was due to the fair value adjustment to the AeroFlexx investment in debt securities which are classified as available for sale.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Loss attributable to Non-controlling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Loss attributable to non-controlling interests was $6,403 for the three months ended September 30, 2025 (Successor) and $5,430 for the three months ended September 30, 2024 (Predecessor), an increase of $973, or 17.9%. This increase was due to the increase in the Technology segment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 </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from Net Loss to EBITDA and Adjusted EBITDA for the specified periods:</w:t>
      </w:r>
    </w:p>
    <w:tbl>
      <w:tblPr>
        <w:tblW w:w="10205" w:type="dxa"/>
        <w:jc w:val="left"/>
        <w:tblInd w:w="0" w:type="dxa"/>
        <w:tblLayout w:type="fixed"/>
        <w:tblCellMar>
          <w:top w:w="28" w:type="dxa"/>
          <w:left w:w="28" w:type="dxa"/>
          <w:bottom w:w="28" w:type="dxa"/>
          <w:right w:w="28" w:type="dxa"/>
        </w:tblCellMar>
      </w:tblPr>
      <w:tblGrid>
        <w:gridCol w:w="1146"/>
        <w:gridCol w:w="756"/>
        <w:gridCol w:w="770"/>
        <w:gridCol w:w="273"/>
        <w:gridCol w:w="1003"/>
        <w:gridCol w:w="140"/>
        <w:gridCol w:w="109"/>
        <w:gridCol w:w="109"/>
        <w:gridCol w:w="109"/>
        <w:gridCol w:w="109"/>
        <w:gridCol w:w="109"/>
        <w:gridCol w:w="109"/>
        <w:gridCol w:w="328"/>
        <w:gridCol w:w="982"/>
        <w:gridCol w:w="170"/>
        <w:gridCol w:w="109"/>
        <w:gridCol w:w="109"/>
        <w:gridCol w:w="109"/>
        <w:gridCol w:w="259"/>
        <w:gridCol w:w="1076"/>
        <w:gridCol w:w="133"/>
        <w:gridCol w:w="109"/>
        <w:gridCol w:w="109"/>
        <w:gridCol w:w="109"/>
        <w:gridCol w:w="109"/>
        <w:gridCol w:w="109"/>
        <w:gridCol w:w="109"/>
        <w:gridCol w:w="291"/>
        <w:gridCol w:w="1019"/>
        <w:gridCol w:w="224"/>
      </w:tblGrid>
      <w:tr>
        <w:trPr/>
        <w:tc>
          <w:tcPr>
            <w:tcW w:w="1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b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br/>
              <w:t>(Predecessor)</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(29,298)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(6,712)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(412,499)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(25,035)</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related costs</w:t>
            </w:r>
            <w:r>
              <w:rPr>
                <w:rFonts w:ascii="Times New Roman;serif" w:hAnsi="Times New Roman;serif"/>
                <w:b w:val="false"/>
                <w:color w:val="000000"/>
                <w:sz w:val="13"/>
              </w:rPr>
              <w:t>(2)</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financial liabilities</w:t>
            </w:r>
            <w:r>
              <w:rPr>
                <w:rFonts w:ascii="Times New Roman;serif" w:hAnsi="Times New Roman;serif"/>
                <w:b w:val="false"/>
                <w:color w:val="000000"/>
                <w:sz w:val="13"/>
              </w:rPr>
              <w:t>(3)</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(4)</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(5)</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(6)</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extinguishment of related party debt</w:t>
            </w:r>
            <w:r>
              <w:rPr>
                <w:rFonts w:ascii="Times New Roman;serif" w:hAnsi="Times New Roman;serif"/>
                <w:b w:val="false"/>
                <w:color w:val="000000"/>
                <w:sz w:val="13"/>
              </w:rPr>
              <w:t>(7)</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conversion of promissory notes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(17,464)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(2,972)</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(55,466)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(12,968)</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Interest Expense, net, includes interest incurred on our various borrowing facilities and the amortization of debt issuance costs.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Transaction and other related costs – For the three and nine months ended September 30, 2024 (Predecessor), this is comprised of consulting, legal, and other professional fees related to the Business Combination.</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(3) Change in fair value of financial liabilities – For the three and nine months ended September 30, 2025 (Successor), the change in fair value of financial liabilities primarily consists of the change in fair value of the warrant liability, the earnout liability and the embedded derivatives in various instruments. For the three and nine months ended September 30, 2024 (Predecessor), this is comprised entirely of the change in fair value of the embedded derivative associated with the convertible notes.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(4) Stock based compensation – For the three and nine months ended September 30,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share-based payment employee incentive plans in existence at subsidiaries. Additional Stock Options were granted in February 2025 and additional Restricted Stock Units were granted in June 2025 and August 2025 which are included in the stock-based compensation caption for their respective periods. For the three and nine months ended September 30, 2024 (Predecessor), stock-based compensation was comprised wholly of share-based payment employee incentive plans in existence at Innventure LLC and other subsidiaries.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(5) Goodwill impairment - For the nine months ended September 30, 2025 (Successor), the Company recognized goodwill impairment due to sustained decreases in the Company’s publicly quoted share price and market capitalization, which were, at least in part, sensitive to the general downward volatility experienced in the stock market from late February 2025 through April 2025. The publicly quoted share price stabilized some in May 2025 and June 2025. For the three months ended September 30, 2025 (Successor), there was not a triggering event that occurred, resulting in no additional goodwill impairment charge.There was no similar goodwill impairment charge for the three and nine months ended September 30, 2024 (Predecessor).</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(6) Loss on extinguishment of debt - For the three and nine months ended September 30, 2025 (Successor), the Company modified the WTI Facility, and such modification was accounted for as a debt extinguishment while no debt was repaid. There was no loss on extinguishment of debt for the three and nine months ended September 30, 2024 (Predecessor).</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(7) Loss on extinguishment of related party debt - For the three and nine months ended September 30, 2025 (Successor), the Company extinguished certain related party debts by issuing Series C Preferred Stock. There was no loss on extinguishment of related party debt for the three and nine months ended September 30, 2024 (Predecessor).</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Liquidity and Capital Resources (in thousands, except as noted)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assessing liquidity, we monitor and analyze cash on hand and operating expenditure commitments. Our material cash requirements are from working capital requirements and operating expense obligations.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components of our liquidity as of September 30, 2025 and December 31, 2024:</w:t>
      </w:r>
    </w:p>
    <w:tbl>
      <w:tblPr>
        <w:tblW w:w="6130" w:type="dxa"/>
        <w:jc w:val="left"/>
        <w:tblInd w:w="0" w:type="dxa"/>
        <w:tblLayout w:type="fixed"/>
        <w:tblCellMar>
          <w:top w:w="28" w:type="dxa"/>
          <w:left w:w="28" w:type="dxa"/>
          <w:bottom w:w="28" w:type="dxa"/>
          <w:right w:w="28" w:type="dxa"/>
        </w:tblCellMar>
      </w:tblPr>
      <w:tblGrid>
        <w:gridCol w:w="820"/>
        <w:gridCol w:w="720"/>
        <w:gridCol w:w="724"/>
        <w:gridCol w:w="397"/>
        <w:gridCol w:w="1165"/>
        <w:gridCol w:w="207"/>
        <w:gridCol w:w="109"/>
        <w:gridCol w:w="109"/>
        <w:gridCol w:w="109"/>
        <w:gridCol w:w="344"/>
        <w:gridCol w:w="1175"/>
        <w:gridCol w:w="25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(50,227)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long-term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As of September 30, 2025, we had limited cash on hand, and over the next 12 months, we anticipate that Innventure and its Operating Companies will require at least $50,000 to meet our collective operating and strategic needs, with an additional $25,000 required to support growth across our Operating Companies in accordance with our current business plan. We expect to meet these needs through a combination of cash on hand, operating cash flows, strategic investments, the Standby Equity Purchase Agreement (the “SEPA”) with Yorkville (maximum remaining availability of approximately $67,000 as of September 30, 2025, subject to the satisfaction of certain conditions in the SEPA and the Purchase Agreements, as described below, which impose additional limitations and conditions upon our ability to access the SEPA) and additional financings completed by us and our Operating Companies. Summarized below are equity and debt financing activities made during the nine months ended September 30, 2025 (Successor) and thereafter:</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equity financing activities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Company entered into the SEPA with Yorkville in October 2023, which provides the Company the right, but not the obligation, to sell to Yorkville up to $75,000 in the Company’s common stock, par value $0.0001 per share (“Common Stock”) from time to time through November 2027 (of which approximately $67,000 in Common Stock remains available for issuance under the SEPA), subject to the satisfaction of certain conditions in the SEPA and the Purchase Agreements, which impose additional limitations and conditions upon the Company’s ability to access the SEPA. During the nine months ended September 30, 2025 (Successor), the Company issued 997,573 shares of Common Stock pursuant to the SEPA in payment of $4,937 of principal and $247 of payment premiums for the Convertible Debentures. In addition to the Common Stock issuances pursuant to the SEPA made in repayment towards the Convertible Debentures, the Company sold 73,993 shares of Common Stock under the SEPA, raising $931 in cash proceeds.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Accelsius raised a total of $7,120 through the issuance of Accelsius Series A Preferred units during the nine months ended September 30, 2025 (Successor).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2,885,848 shares of Series C Preferred Stock on March 24, 2025 for a total amount of $28,858, with the consideration received in the form of cash, services, and related party debt cancellation.</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raised $25,000 on October 2, 2025 through the issuance of 685,163 Series B-1 units to JCI. $7,337 of debt converted to equity in the form of 251,452 Series B-2 units and 125,725 B-2 Warrants in conjunction with the issuance of Series B-1 units by Accelsius.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raised $9,751 on October 3, 2025 through a private placement by issuing 1,625,235 shares of Common Stock at $6.00 per share and Series A warrants to purchase 1,625,235 shares of Common Stock.</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 debt financing activities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issued $30,000 in Convertible Debentures in April and May 2025, split between two tranches. The Company received $18,000 and $9,000 in cash proceeds for the first and second tranche, respectively. In connection with the issuance of the Convertible Debentures, the Company issued two warrants (the “2025 WTI Warrants”) to purchase, at a price of $0.01 per share (subject to certain limitations and adjustment), up to an aggregate total of 495,074 shares of Common Stock (subject to future adjustments to the number and type of shares pursuant to the 2025 WTI Warrants), to WTI Fund X, LLC and WTI Fund XI, LLC, exercisable through March 31, 2035.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unsecured convertible notes (“Related Party Term Convertible Notes”) with certain investors deemed to be Related Parties (as defined in the Company’s Related Party Transactions Policy) for a total principal amount of $4,250 in June 2025. The Related Party Term Convertible Notes are convertible into Series A Units of Accelsius and have a maturity date of December 31,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Accelsius entered into an unsecured Convertible Promissory Note (“CPN”) with a related party lender in June 2025 that is drawable in three tranches with 15% interest and a $35 loan fee. As of September 30, 2025, $2,000 was drawn down by Accelsius. On October 8, 2025, the Company repaid the CPN in full due to its related party lender, amounting to $2,000 in principal, $74 in interest, and $35 for the loan fee.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issued unsecured convertible notes with various other parties for a total principal amount of $7,750 in June and July of 2025 that are convertible into Series A Units of Accelsius starting January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Accelsius entered into unsecured convertible promissory notes totaling $9,150 in principal between August 12, 2025 and September 19, 2025, with $7,300 in cash proceeds received by September 30,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entered into the Securities Purchase Agreement with Yorkville on September 15, 2025 to issue the New Convertible Debentures. Of the $15,000 authorized, one tranche totaling $10,000 was issued before September 30, 2025 totaling $9,000 in cash proceeds. On November 12, 2025, the Company issued the second tranche of the New Convertible Debentures for $5,000, totaling $4,500 in cash proceeds. In addition, as provided by the Securities Purchase Agreement, for so long as any amounts remain outstanding under the Convertible Debentures, unless otherwise agreed by Yorkville: (A) the Company shall not submit an advance notice in writing to Yorkville under the SEPA (each, an “Advance,” and notice of such request, an “Advance Notice”) prior to January 15, 2026 (the date that is four months from September 15, 2025); (B) thereafter, the Company may submit an Advance Notice provided that an Amortization Event (as defined in the Convertible Debentures) has not occurred, or has occurred but is not continuing, and certain other conditions have been satisfied under the Convertible Debentures; and (C) notwithstanding the limitations set forth in (A) and (B) above, if an Amortization Event has occurred and is continuing, the Company may submit an Advance Notice provided that (1) the Company requests an Option 2 Pricing Period (as defined in the SEPA) in such Advance Notice and (2) all of the proceeds from such Advance Notice shall be used to satisfy payments due or coming due pursuant to the Convertible Debentures.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Pursuant to the Fifth Amendment to Loan and Security Agreement between Innventure LLC and Accelsius, on September 18, 2025 the Company elected to convert $550 of accrued interest outstanding into 45,159 Series A Units of Accelsius.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convertible notes are subordinated to the WTI Facility and other debt of the Company owed to the WTI Lenders, and the holders of the convertible notes have agreed not to demand repayment while senior obligations remain outstanding.</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associated with operating, investing and financing activities for the nine months ended September 30, 2025 (Successor) and nine months ended September 30, 2024 (Predecessor) are summarized as follows:</w:t>
      </w:r>
    </w:p>
    <w:tbl>
      <w:tblPr>
        <w:tblW w:w="10205" w:type="dxa"/>
        <w:jc w:val="left"/>
        <w:tblInd w:w="0" w:type="dxa"/>
        <w:tblLayout w:type="fixed"/>
        <w:tblCellMar>
          <w:top w:w="28" w:type="dxa"/>
          <w:left w:w="28" w:type="dxa"/>
          <w:bottom w:w="28" w:type="dxa"/>
          <w:right w:w="28" w:type="dxa"/>
        </w:tblCellMar>
      </w:tblPr>
      <w:tblGrid>
        <w:gridCol w:w="1105"/>
        <w:gridCol w:w="912"/>
        <w:gridCol w:w="916"/>
        <w:gridCol w:w="404"/>
        <w:gridCol w:w="1464"/>
        <w:gridCol w:w="225"/>
        <w:gridCol w:w="109"/>
        <w:gridCol w:w="109"/>
        <w:gridCol w:w="109"/>
        <w:gridCol w:w="109"/>
        <w:gridCol w:w="109"/>
        <w:gridCol w:w="109"/>
        <w:gridCol w:w="404"/>
        <w:gridCol w:w="1464"/>
        <w:gridCol w:w="225"/>
        <w:gridCol w:w="109"/>
        <w:gridCol w:w="109"/>
        <w:gridCol w:w="109"/>
        <w:gridCol w:w="196"/>
        <w:gridCol w:w="695"/>
        <w:gridCol w:w="109"/>
        <w:gridCol w:w="278"/>
        <w:gridCol w:w="278"/>
        <w:gridCol w:w="549"/>
      </w:tblGrid>
      <w:tr>
        <w:trPr/>
        <w:tc>
          <w:tcPr>
            <w:tcW w:w="11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(56,328)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(18,647)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Increase in Cash, Cash Equivalents and Restricted Cash</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2,942</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13,722</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(10,780)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(78.6)</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operating activities were $56,328 for the nine months ended September 30, 2025 (Successor), as compared to $18,647 for the nine months ended September 30, 2024 (Predecessor), an increase of $37,681, or 202.1%. The increase is primarily related to an increase in the Company’s operating expenses.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Used in by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were $4,079 for the nine months ended September 30, 2025 (Successor), as compared to $5,822 for the nine months ended September 30, 2024 (Predecessor), a decrease of $1,743 or 29.9%. The decrease is primarily related to lower investments in debt securities and advances to our related parties, partially offset by reduced proceeds from sales of investments.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Cash Provided by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$63,349 for the nine months ended September 30, 2025 (Successor), as compared to $38,191 for the nine months ended September 30, 2024 (Predecessor), an increase of $25,158 or 65.9%. The increase is primarily related to proceeds from the issuance of additional debt financing.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Indebtedness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5. Borrowings to our condensed consolidated financial statements for the three and nine months ended September 30, 2025 (Successor) and three and nine months ended September 30, 2024 (Predecessor) included in Item 1. of this Form 10-Q for a discussion of our indebtedness.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including payments due by period, as of September 30, 2025:</w:t>
      </w:r>
    </w:p>
    <w:tbl>
      <w:tblPr>
        <w:tblW w:w="10205" w:type="dxa"/>
        <w:jc w:val="left"/>
        <w:tblInd w:w="0" w:type="dxa"/>
        <w:tblLayout w:type="fixed"/>
        <w:tblCellMar>
          <w:top w:w="28" w:type="dxa"/>
          <w:left w:w="28" w:type="dxa"/>
          <w:bottom w:w="28" w:type="dxa"/>
          <w:right w:w="28" w:type="dxa"/>
        </w:tblCellMar>
      </w:tblPr>
      <w:tblGrid>
        <w:gridCol w:w="785"/>
        <w:gridCol w:w="615"/>
        <w:gridCol w:w="618"/>
        <w:gridCol w:w="341"/>
        <w:gridCol w:w="1022"/>
        <w:gridCol w:w="176"/>
        <w:gridCol w:w="109"/>
        <w:gridCol w:w="109"/>
        <w:gridCol w:w="109"/>
        <w:gridCol w:w="211"/>
        <w:gridCol w:w="73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57"/>
      </w:tblGrid>
      <w:tr>
        <w:trPr/>
        <w:tc>
          <w:tcPr>
            <w:tcW w:w="78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(remaining 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future installments payable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3,134</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88,537</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recurring losses from operations and negative cash flows from operating activities. In addition, we continue to have an ongoing need to raise significant additional cash from outside sources to sustain our operations and fund our growth plans.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assessment of going concern considerations in accordance with Financial Accounting Standard Board’s Accounting Standards Update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or otherwise generate sufficient revenues from our Operating Companies to support our cost structure within the normal operating cycle of a twelve (12) month period, we may have to implement additional cost reduction measures or adjust the timing or scope of certain operations at Innventure or certain Innventure Companies, in part or in full, to help manage liquidity. If we raise additional funds through the issuance of additional debt or equity securities (at either the Innventure or Operating Company level),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assuming that we will continue as a going concern and, accordingly, do not include any adjustments that might result from the outcome of this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that evaluation, the Chief Executive Officer and the Chief Financial Officer have concluded that the Company's disclosure controls and procedures were not effective at a reasonable level of assurance as of September 30, 2025, because of the material weaknesses in our internal control over financial reporting. </w:t>
      </w:r>
    </w:p>
    <w:p>
      <w:pPr>
        <w:pStyle w:val="TextBody"/>
        <w:bidi w:val="0"/>
        <w:spacing w:before="0" w:after="0"/>
        <w:jc w:val="both"/>
        <w:rPr/>
      </w:pPr>
      <w:r>
        <w:rPr/>
      </w:r>
    </w:p>
    <w:p>
      <w:pPr>
        <w:pStyle w:val="TextBody"/>
        <w:bidi w:val="0"/>
        <w:spacing w:lineRule="auto" w:line="256"/>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identified were as follows: </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Innventure did not maintain effectively designed and implemented controls over the costing and existence of inventory as of September 30, 2024, including controls over the calculation of such inventory on the weighted average basis;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Innventure did not maintain evidence of control procedures over the periodic reconciliation of significant accounts. This included lack of segregation of duties and lack of review.</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and (c) segregation of duties.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in the process of establishing and is refining its internal procedures and controls to address the material weaknesses previously disclosed.</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Rule 12b-2 under the Exchange Act, for this reporting period and are not required to provide the information required under this item.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Sales of Unregistered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the Securities Purchase Agreement with Yorkville in connection with the issuance and sale by the Company of the New Convertible Debentures issuable in an aggregate principal amount of up to $15,000,000, which New Convertible Debentures are convertible into Common Stock and include embedded derivatives. Pursuant to the terms of the Securities Purchase Agreement, Yorkville purchased and the Company issued, $10,000,000 in aggregate principal amount of New Convertible Debentures on September 15,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SEPA, during the three months ended September 30, 2025, the Company issued an aggregate of 523,748 shares of Common Stock to Yorkville for aggregate gross proceeds of $2,732.</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Issuer Repurchases of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none of our directors or officers (as defined in Rule 16a-1(f) under the Exchange Act) adopted, modified or terminated a Rule 10b5-1 trading arrangement or a “non-Rule 10b5-1 trading arrangement” (as defined in Item 408 of Regulation S-K).</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1"/>
        <w:gridCol w:w="317"/>
        <w:gridCol w:w="318"/>
        <w:gridCol w:w="109"/>
        <w:gridCol w:w="109"/>
        <w:gridCol w:w="109"/>
        <w:gridCol w:w="2663"/>
        <w:gridCol w:w="2565"/>
        <w:gridCol w:w="3654"/>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"https://www.sec.gov/Archives/edgar/data/2001557/000114036124040480/ny20012992x29_s4a.htm" \l "tANNEXA"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Business Combination Agreement, dated as of October 24, 2023, by and among Learn SPAC Holdco, Inc., Learn CW Investment Corporation, LCW Merger Sub, Inc., Innventure LLC and Innventure Merger Sub, LLC (incorporated by reference to Annex A to Innventure, Inc.’s Registration Statement on Form S-4 filed with the SEC on September 6, 2024). </w:t>
            </w:r>
            <w:r>
              <w:rPr>
                <w:rStyle w:val="InternetLink"/>
                <w:sz w:val="20"/>
                <w:u w:val="single"/>
                <w:b w:val="false"/>
                <w:rFonts w:ascii="Times New Roman;serif" w:hAnsi="Times New Roman;serif"/>
                <w:color w:val="0000FF"/>
              </w:rPr>
              <w:fldChar w:fldCharType="end"/>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of Innventure, Inc., filed with the Secretary of State of Delaware on October 2, 2024 (incorporated by reference to Exhibit 3.1 to Innventure Inc.’s Current Report on Form 8-K filed with the SEC on October 9, 2024). </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 xml:space="preserve">By-laws of Innventure, Inc. (incorporated by reference to Exhibit 3.2 to Innventure Inc.’s Current Report on Form 8-K filed with the SEC on October 9, 2024). </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B Preferred Stock, dated October 2, 2024, of Innventure, Inc. (incorporated by reference to Exhibit 3.3 to Innventure, Inc.’s Quarterly Report on Form 10-Q filed with the SEC on May 15,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Designation of Series C Preferred Stock, dated March 24, 2025, of Innventure, Inc. (incorporated by reference to Exhibit 3.1 to Innventure Inc.’s Current Report on Form 8-K filed with the SEC on March 25,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w:t>
            </w:r>
            <w:hyperlink r:id="rId6">
              <w:r>
                <w:rPr>
                  <w:rStyle w:val="InternetLink"/>
                  <w:color w:val="0000FF"/>
                  <w:u w:val="single"/>
                </w:rPr>
                <w:t xml:space="preserve"> </w:t>
              </w:r>
            </w:hyperlink>
            <w:hyperlink r:id="rId7">
              <w:r>
                <w:rPr>
                  <w:rStyle w:val="InternetLink"/>
                  <w:rFonts w:ascii="Times New Roman;serif" w:hAnsi="Times New Roman;serif"/>
                  <w:b w:val="false"/>
                  <w:color w:val="0000FF"/>
                  <w:sz w:val="20"/>
                  <w:u w:val="single"/>
                </w:rPr>
                <w:t xml:space="preserve">Convertible Debenture, issued to YA II PN, Ltd., dated </w:t>
              </w:r>
            </w:hyperlink>
            <w:hyperlink r:id="rId8">
              <w:r>
                <w:rPr>
                  <w:rStyle w:val="InternetLink"/>
                  <w:rFonts w:ascii="Times New Roman;serif" w:hAnsi="Times New Roman;serif"/>
                  <w:b w:val="false"/>
                  <w:color w:val="000080"/>
                  <w:sz w:val="20"/>
                  <w:u w:val="single"/>
                </w:rPr>
                <w:t>September 15, 2025</w:t>
              </w:r>
            </w:hyperlink>
            <w:hyperlink r:id="rId9">
              <w:r>
                <w:rPr>
                  <w:rStyle w:val="InternetLink"/>
                  <w:rFonts w:ascii="Times New Roman;serif" w:hAnsi="Times New Roman;serif"/>
                  <w:b w:val="false"/>
                  <w:color w:val="000080"/>
                  <w:sz w:val="20"/>
                  <w:u w:val="single"/>
                </w:rPr>
                <w:t xml:space="preserve"> (incorporated by reference to Exhibit 4.1 to Innventure, Inc.’s Current Report on Form 8-K </w:t>
              </w:r>
            </w:hyperlink>
            <w:hyperlink r:id="rId10">
              <w:r>
                <w:rPr>
                  <w:rStyle w:val="InternetLink"/>
                  <w:rFonts w:ascii="Times New Roman;serif" w:hAnsi="Times New Roman;serif"/>
                  <w:b w:val="false"/>
                  <w:color w:val="000080"/>
                  <w:sz w:val="20"/>
                  <w:u w:val="single"/>
                </w:rPr>
                <w:t>filed with the SEC on</w:t>
              </w:r>
            </w:hyperlink>
            <w:hyperlink r:id="rId11">
              <w:r>
                <w:rPr>
                  <w:rStyle w:val="InternetLink"/>
                  <w:rFonts w:ascii="Times New Roman;serif" w:hAnsi="Times New Roman;serif"/>
                  <w:b w:val="false"/>
                  <w:color w:val="000080"/>
                  <w:sz w:val="20"/>
                  <w:u w:val="single"/>
                </w:rPr>
                <w:t xml:space="preserve"> September 16</w:t>
              </w:r>
            </w:hyperlink>
            <w:hyperlink r:id="rId12">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Securities Purchase Agreement, by and between Innventure, Inc. and YA II PN, Ltd., dated September 15, 2025</w:t>
            </w:r>
            <w:hyperlink r:id="rId13">
              <w:r>
                <w:rPr>
                  <w:rStyle w:val="InternetLink"/>
                  <w:color w:val="0000FF"/>
                  <w:u w:val="single"/>
                </w:rPr>
                <w:t xml:space="preserve"> </w:t>
              </w:r>
            </w:hyperlink>
            <w:hyperlink r:id="rId14">
              <w:r>
                <w:rPr>
                  <w:rStyle w:val="InternetLink"/>
                  <w:rFonts w:ascii="Times New Roman;serif" w:hAnsi="Times New Roman;serif"/>
                  <w:b w:val="false"/>
                  <w:color w:val="0000FF"/>
                  <w:sz w:val="20"/>
                  <w:u w:val="single"/>
                </w:rPr>
                <w:t xml:space="preserve">(incorporated by reference to Exhibit 10.1 to Innventure, Inc.’s Current Report on Form 8-K </w:t>
              </w:r>
            </w:hyperlink>
            <w:hyperlink r:id="rId15">
              <w:r>
                <w:rPr>
                  <w:rStyle w:val="InternetLink"/>
                  <w:rFonts w:ascii="Times New Roman;serif" w:hAnsi="Times New Roman;serif"/>
                  <w:b w:val="false"/>
                  <w:color w:val="000080"/>
                  <w:sz w:val="20"/>
                  <w:u w:val="single"/>
                </w:rPr>
                <w:t>filed with the SEC on</w:t>
              </w:r>
            </w:hyperlink>
            <w:hyperlink r:id="rId16">
              <w:r>
                <w:rPr>
                  <w:rStyle w:val="InternetLink"/>
                  <w:rFonts w:ascii="Times New Roman;serif" w:hAnsi="Times New Roman;serif"/>
                  <w:b w:val="false"/>
                  <w:color w:val="000080"/>
                  <w:sz w:val="20"/>
                  <w:u w:val="single"/>
                </w:rPr>
                <w:t xml:space="preserve"> </w:t>
              </w:r>
            </w:hyperlink>
            <w:hyperlink r:id="rId17">
              <w:r>
                <w:rPr>
                  <w:rStyle w:val="InternetLink"/>
                  <w:rFonts w:ascii="Times New Roman;serif" w:hAnsi="Times New Roman;serif"/>
                  <w:b w:val="false"/>
                  <w:color w:val="000080"/>
                  <w:sz w:val="20"/>
                  <w:u w:val="single"/>
                </w:rPr>
                <w:t>September 16</w:t>
              </w:r>
            </w:hyperlink>
            <w:hyperlink r:id="rId18">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Global Guaranty</w:t>
            </w:r>
            <w:hyperlink r:id="rId19">
              <w:r>
                <w:rPr>
                  <w:rStyle w:val="InternetLink"/>
                  <w:color w:val="0000FF"/>
                  <w:u w:val="single"/>
                </w:rPr>
                <w:t xml:space="preserve"> </w:t>
              </w:r>
            </w:hyperlink>
            <w:hyperlink r:id="rId20">
              <w:r>
                <w:rPr>
                  <w:rStyle w:val="InternetLink"/>
                  <w:rFonts w:ascii="Times New Roman;serif" w:hAnsi="Times New Roman;serif"/>
                  <w:b w:val="false"/>
                  <w:color w:val="0000FF"/>
                  <w:sz w:val="20"/>
                  <w:u w:val="single"/>
                </w:rPr>
                <w:t>Agreement</w:t>
              </w:r>
            </w:hyperlink>
            <w:hyperlink r:id="rId21">
              <w:r>
                <w:rPr>
                  <w:rStyle w:val="InternetLink"/>
                  <w:rFonts w:ascii="Times New Roman;serif" w:hAnsi="Times New Roman;serif"/>
                  <w:b w:val="false"/>
                  <w:color w:val="000080"/>
                  <w:sz w:val="20"/>
                  <w:u w:val="single"/>
                </w:rPr>
                <w:t xml:space="preserve"> by Innventure LLC</w:t>
              </w:r>
            </w:hyperlink>
            <w:hyperlink r:id="rId22">
              <w:r>
                <w:rPr>
                  <w:rStyle w:val="InternetLink"/>
                  <w:rFonts w:ascii="Times New Roman;serif" w:hAnsi="Times New Roman;serif"/>
                  <w:b w:val="false"/>
                  <w:color w:val="000080"/>
                  <w:sz w:val="20"/>
                  <w:u w:val="single"/>
                </w:rPr>
                <w:t xml:space="preserve">, dated </w:t>
              </w:r>
            </w:hyperlink>
            <w:hyperlink r:id="rId23">
              <w:r>
                <w:rPr>
                  <w:rStyle w:val="InternetLink"/>
                  <w:rFonts w:ascii="Times New Roman;serif" w:hAnsi="Times New Roman;serif"/>
                  <w:b w:val="false"/>
                  <w:color w:val="000080"/>
                  <w:sz w:val="20"/>
                  <w:u w:val="single"/>
                </w:rPr>
                <w:t>September 15</w:t>
              </w:r>
            </w:hyperlink>
            <w:hyperlink r:id="rId24">
              <w:r>
                <w:rPr>
                  <w:rStyle w:val="InternetLink"/>
                  <w:rFonts w:ascii="Times New Roman;serif" w:hAnsi="Times New Roman;serif"/>
                  <w:b w:val="false"/>
                  <w:color w:val="000080"/>
                  <w:sz w:val="20"/>
                  <w:u w:val="single"/>
                </w:rPr>
                <w:t>, 2025</w:t>
              </w:r>
            </w:hyperlink>
            <w:hyperlink r:id="rId25">
              <w:r>
                <w:rPr>
                  <w:rStyle w:val="InternetLink"/>
                  <w:rFonts w:ascii="Times New Roman;serif" w:hAnsi="Times New Roman;serif"/>
                  <w:b w:val="false"/>
                  <w:color w:val="000080"/>
                  <w:sz w:val="20"/>
                  <w:u w:val="single"/>
                </w:rPr>
                <w:t xml:space="preserve"> (incorporated by reference to Exhibit 10.2 to Innventure, Inc.’s Current Report on Form 8-K </w:t>
              </w:r>
            </w:hyperlink>
            <w:hyperlink r:id="rId26">
              <w:r>
                <w:rPr>
                  <w:rStyle w:val="InternetLink"/>
                  <w:rFonts w:ascii="Times New Roman;serif" w:hAnsi="Times New Roman;serif"/>
                  <w:b w:val="false"/>
                  <w:color w:val="000080"/>
                  <w:sz w:val="20"/>
                  <w:u w:val="single"/>
                </w:rPr>
                <w:t>filed with the SEC on</w:t>
              </w:r>
            </w:hyperlink>
            <w:hyperlink r:id="rId27">
              <w:r>
                <w:rPr>
                  <w:rStyle w:val="InternetLink"/>
                  <w:rFonts w:ascii="Times New Roman;serif" w:hAnsi="Times New Roman;serif"/>
                  <w:b w:val="false"/>
                  <w:color w:val="000080"/>
                  <w:sz w:val="20"/>
                  <w:u w:val="single"/>
                </w:rPr>
                <w:t xml:space="preserve"> </w:t>
              </w:r>
            </w:hyperlink>
            <w:hyperlink r:id="rId28">
              <w:r>
                <w:rPr>
                  <w:rStyle w:val="InternetLink"/>
                  <w:rFonts w:ascii="Times New Roman;serif" w:hAnsi="Times New Roman;serif"/>
                  <w:b w:val="false"/>
                  <w:color w:val="000080"/>
                  <w:sz w:val="20"/>
                  <w:u w:val="single"/>
                </w:rPr>
                <w:t>September 16</w:t>
              </w:r>
            </w:hyperlink>
            <w:hyperlink r:id="rId29">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Registration Rights Agreement, dated September 15, 2025, between Innventure, Inc. and YA II PN, Ltd.</w:t>
            </w:r>
            <w:hyperlink r:id="rId30">
              <w:r>
                <w:rPr>
                  <w:rStyle w:val="InternetLink"/>
                  <w:color w:val="0000FF"/>
                  <w:u w:val="single"/>
                </w:rPr>
                <w:t xml:space="preserve"> </w:t>
              </w:r>
            </w:hyperlink>
            <w:hyperlink r:id="rId31">
              <w:r>
                <w:rPr>
                  <w:rStyle w:val="InternetLink"/>
                  <w:rFonts w:ascii="Times New Roman;serif" w:hAnsi="Times New Roman;serif"/>
                  <w:b w:val="false"/>
                  <w:color w:val="0000FF"/>
                  <w:sz w:val="20"/>
                  <w:u w:val="single"/>
                </w:rPr>
                <w:t>(incorporated by reference to Exhibit 10.</w:t>
              </w:r>
            </w:hyperlink>
            <w:hyperlink r:id="rId32">
              <w:r>
                <w:rPr>
                  <w:rStyle w:val="InternetLink"/>
                  <w:rFonts w:ascii="Times New Roman;serif" w:hAnsi="Times New Roman;serif"/>
                  <w:b w:val="false"/>
                  <w:color w:val="000080"/>
                  <w:sz w:val="20"/>
                  <w:u w:val="single"/>
                </w:rPr>
                <w:t>3</w:t>
              </w:r>
            </w:hyperlink>
            <w:hyperlink r:id="rId33">
              <w:r>
                <w:rPr>
                  <w:rStyle w:val="InternetLink"/>
                  <w:rFonts w:ascii="Times New Roman;serif" w:hAnsi="Times New Roman;serif"/>
                  <w:b w:val="false"/>
                  <w:color w:val="000080"/>
                  <w:sz w:val="20"/>
                  <w:u w:val="single"/>
                </w:rPr>
                <w:t xml:space="preserve"> to Innventure, Inc.’s Current Report on Form 8-K </w:t>
              </w:r>
            </w:hyperlink>
            <w:hyperlink r:id="rId34">
              <w:r>
                <w:rPr>
                  <w:rStyle w:val="InternetLink"/>
                  <w:rFonts w:ascii="Times New Roman;serif" w:hAnsi="Times New Roman;serif"/>
                  <w:b w:val="false"/>
                  <w:color w:val="000080"/>
                  <w:sz w:val="20"/>
                  <w:u w:val="single"/>
                </w:rPr>
                <w:t>filed with th</w:t>
              </w:r>
            </w:hyperlink>
            <w:hyperlink r:id="rId35">
              <w:r>
                <w:rPr>
                  <w:rStyle w:val="InternetLink"/>
                  <w:rFonts w:ascii="Times New Roman;serif" w:hAnsi="Times New Roman;serif"/>
                  <w:b w:val="false"/>
                  <w:color w:val="000080"/>
                  <w:sz w:val="20"/>
                  <w:u w:val="single"/>
                </w:rPr>
                <w:t>e SEC on September 16, 20</w:t>
              </w:r>
            </w:hyperlink>
            <w:hyperlink r:id="rId36">
              <w:r>
                <w:rPr>
                  <w:rStyle w:val="InternetLink"/>
                  <w:rFonts w:ascii="Times New Roman;serif" w:hAnsi="Times New Roman;serif"/>
                  <w:b w:val="false"/>
                  <w:color w:val="000080"/>
                  <w:sz w:val="20"/>
                  <w:u w:val="single"/>
                </w:rPr>
                <w:t>25</w:t>
              </w:r>
            </w:hyperlink>
            <w:hyperlink r:id="rId37">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80"/>
                  <w:sz w:val="20"/>
                  <w:u w:val="single"/>
                </w:rPr>
                <w:t>Amendment to Convertible Debentures,</w:t>
              </w:r>
            </w:hyperlink>
            <w:hyperlink r:id="rId39">
              <w:r>
                <w:rPr>
                  <w:rStyle w:val="InternetLink"/>
                  <w:rFonts w:ascii="Times New Roman;serif" w:hAnsi="Times New Roman;serif"/>
                  <w:b w:val="false"/>
                  <w:color w:val="000080"/>
                  <w:sz w:val="20"/>
                  <w:u w:val="single"/>
                </w:rPr>
                <w:t xml:space="preserve"> </w:t>
              </w:r>
            </w:hyperlink>
            <w:hyperlink r:id="rId40">
              <w:r>
                <w:rPr>
                  <w:rStyle w:val="InternetLink"/>
                  <w:rFonts w:ascii="Times New Roman;serif" w:hAnsi="Times New Roman;serif"/>
                  <w:b w:val="false"/>
                  <w:color w:val="000080"/>
                  <w:sz w:val="20"/>
                  <w:u w:val="single"/>
                </w:rPr>
                <w:t>by and between Innventure, Inc. and YA II PN, Ltd.</w:t>
              </w:r>
            </w:hyperlink>
            <w:hyperlink r:id="rId41">
              <w:r>
                <w:rPr>
                  <w:rStyle w:val="InternetLink"/>
                  <w:rFonts w:ascii="Times New Roman;serif" w:hAnsi="Times New Roman;serif"/>
                  <w:b w:val="false"/>
                  <w:color w:val="000080"/>
                  <w:sz w:val="20"/>
                  <w:u w:val="single"/>
                </w:rPr>
                <w:t xml:space="preserve">, dated September 15, 2025 </w:t>
              </w:r>
            </w:hyperlink>
            <w:hyperlink r:id="rId42">
              <w:r>
                <w:rPr>
                  <w:rStyle w:val="InternetLink"/>
                  <w:rFonts w:ascii="Times New Roman;serif" w:hAnsi="Times New Roman;serif"/>
                  <w:b w:val="false"/>
                  <w:color w:val="000080"/>
                  <w:sz w:val="20"/>
                  <w:u w:val="single"/>
                </w:rPr>
                <w:t>(incorporated by reference to Exhibit 10.</w:t>
              </w:r>
            </w:hyperlink>
            <w:hyperlink r:id="rId43">
              <w:r>
                <w:rPr>
                  <w:rStyle w:val="InternetLink"/>
                  <w:rFonts w:ascii="Times New Roman;serif" w:hAnsi="Times New Roman;serif"/>
                  <w:b w:val="false"/>
                  <w:color w:val="000080"/>
                  <w:sz w:val="20"/>
                  <w:u w:val="single"/>
                </w:rPr>
                <w:t>4</w:t>
              </w:r>
            </w:hyperlink>
            <w:hyperlink r:id="rId44">
              <w:r>
                <w:rPr>
                  <w:rStyle w:val="InternetLink"/>
                  <w:rFonts w:ascii="Times New Roman;serif" w:hAnsi="Times New Roman;serif"/>
                  <w:b w:val="false"/>
                  <w:color w:val="000080"/>
                  <w:sz w:val="20"/>
                  <w:u w:val="single"/>
                </w:rPr>
                <w:t xml:space="preserve"> to Innventure, Inc.’s Current Report on Form 8-K </w:t>
              </w:r>
            </w:hyperlink>
            <w:hyperlink r:id="rId45">
              <w:r>
                <w:rPr>
                  <w:rStyle w:val="InternetLink"/>
                  <w:rFonts w:ascii="Times New Roman;serif" w:hAnsi="Times New Roman;serif"/>
                  <w:b w:val="false"/>
                  <w:color w:val="000080"/>
                  <w:sz w:val="20"/>
                  <w:u w:val="single"/>
                </w:rPr>
                <w:t xml:space="preserve">filed with the SEC on </w:t>
              </w:r>
            </w:hyperlink>
            <w:hyperlink r:id="rId46">
              <w:r>
                <w:rPr>
                  <w:rStyle w:val="InternetLink"/>
                  <w:rFonts w:ascii="Times New Roman;serif" w:hAnsi="Times New Roman;serif"/>
                  <w:b w:val="false"/>
                  <w:color w:val="000080"/>
                  <w:sz w:val="20"/>
                  <w:u w:val="single"/>
                </w:rPr>
                <w:t>September 1</w:t>
              </w:r>
            </w:hyperlink>
            <w:hyperlink r:id="rId47">
              <w:r>
                <w:rPr>
                  <w:rStyle w:val="InternetLink"/>
                  <w:rFonts w:ascii="Times New Roman;serif" w:hAnsi="Times New Roman;serif"/>
                  <w:b w:val="false"/>
                  <w:color w:val="000080"/>
                  <w:sz w:val="20"/>
                  <w:u w:val="single"/>
                </w:rPr>
                <w:t>6</w:t>
              </w:r>
            </w:hyperlink>
            <w:hyperlink r:id="rId48">
              <w:r>
                <w:rPr>
                  <w:rStyle w:val="InternetLink"/>
                  <w:rFonts w:ascii="Times New Roman;serif" w:hAnsi="Times New Roman;serif"/>
                  <w:b w:val="false"/>
                  <w:color w:val="000080"/>
                  <w:sz w:val="20"/>
                  <w:u w:val="single"/>
                </w:rPr>
                <w:t>,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 xml:space="preserve">Form of Term Convertible Note (incorporated by reference to Exhibit 10.1 to Innventure, Inc.’s Current Report on Form 8-K </w:t>
              </w:r>
            </w:hyperlink>
            <w:hyperlink r:id="rId50">
              <w:r>
                <w:rPr>
                  <w:rStyle w:val="InternetLink"/>
                  <w:rFonts w:ascii="Times New Roman;serif" w:hAnsi="Times New Roman;serif"/>
                  <w:b w:val="false"/>
                  <w:color w:val="000080"/>
                  <w:sz w:val="20"/>
                  <w:u w:val="single"/>
                </w:rPr>
                <w:t>filed with the SEC on</w:t>
              </w:r>
            </w:hyperlink>
            <w:hyperlink r:id="rId51">
              <w:r>
                <w:rPr>
                  <w:rStyle w:val="InternetLink"/>
                  <w:rFonts w:ascii="Times New Roman;serif" w:hAnsi="Times New Roman;serif"/>
                  <w:b w:val="false"/>
                  <w:color w:val="000080"/>
                  <w:sz w:val="20"/>
                  <w:u w:val="single"/>
                </w:rPr>
                <w:t xml:space="preserve"> July 1,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20"/>
                  <w:u w:val="single"/>
                </w:rPr>
                <w:t xml:space="preserve">Form of Bridge Convertible Note (incorporated by reference to Exhibit 10.3 to Innventure, Inc.’s Current Report on Form 8-K </w:t>
              </w:r>
            </w:hyperlink>
            <w:hyperlink r:id="rId53">
              <w:r>
                <w:rPr>
                  <w:rStyle w:val="InternetLink"/>
                  <w:rFonts w:ascii="Times New Roman;serif" w:hAnsi="Times New Roman;serif"/>
                  <w:b w:val="false"/>
                  <w:color w:val="000080"/>
                  <w:sz w:val="20"/>
                  <w:u w:val="single"/>
                </w:rPr>
                <w:t>filed with the SEC on</w:t>
              </w:r>
            </w:hyperlink>
            <w:hyperlink r:id="rId54">
              <w:r>
                <w:rPr>
                  <w:rStyle w:val="InternetLink"/>
                  <w:rFonts w:ascii="Times New Roman;serif" w:hAnsi="Times New Roman;serif"/>
                  <w:b w:val="false"/>
                  <w:color w:val="000080"/>
                  <w:sz w:val="20"/>
                  <w:u w:val="single"/>
                </w:rPr>
                <w:t xml:space="preserve"> July 1, 2025).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u w:val="single"/>
                </w:rPr>
                <w:t xml:space="preserve">Rule 13a-14(a) Certification by Gregory W. Haskell, Chief Executive Officer, for the quarter ended </w:t>
              </w:r>
            </w:hyperlink>
            <w:hyperlink r:id="rId56">
              <w:r>
                <w:rPr>
                  <w:rStyle w:val="InternetLink"/>
                  <w:rFonts w:ascii="Times New Roman;serif" w:hAnsi="Times New Roman;serif"/>
                  <w:b w:val="false"/>
                  <w:color w:val="000080"/>
                  <w:sz w:val="20"/>
                  <w:u w:val="single"/>
                </w:rPr>
                <w:t>September</w:t>
              </w:r>
            </w:hyperlink>
            <w:hyperlink r:id="rId57">
              <w:r>
                <w:rPr>
                  <w:rStyle w:val="InternetLink"/>
                  <w:rFonts w:ascii="Times New Roman;serif" w:hAnsi="Times New Roman;serif"/>
                  <w:b w:val="false"/>
                  <w:color w:val="000080"/>
                  <w:sz w:val="20"/>
                  <w:u w:val="single"/>
                </w:rPr>
                <w:t xml:space="preserve"> 30, 2025</w:t>
              </w:r>
            </w:hyperlink>
            <w:hyperlink r:id="rId58">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80"/>
                  <w:sz w:val="20"/>
                  <w:u w:val="single"/>
                </w:rPr>
                <w:t xml:space="preserve">Rule 13a-14(a) Certification by David Yablunosky, Chief Financial Officer, for the quarter ended </w:t>
              </w:r>
            </w:hyperlink>
            <w:hyperlink r:id="rId60">
              <w:r>
                <w:rPr>
                  <w:rStyle w:val="InternetLink"/>
                  <w:rFonts w:ascii="Times New Roman;serif" w:hAnsi="Times New Roman;serif"/>
                  <w:b w:val="false"/>
                  <w:color w:val="000080"/>
                  <w:sz w:val="20"/>
                  <w:u w:val="single"/>
                </w:rPr>
                <w:t>September</w:t>
              </w:r>
            </w:hyperlink>
            <w:hyperlink r:id="rId61">
              <w:r>
                <w:rPr>
                  <w:rStyle w:val="InternetLink"/>
                  <w:rFonts w:ascii="Times New Roman;serif" w:hAnsi="Times New Roman;serif"/>
                  <w:b w:val="false"/>
                  <w:color w:val="000080"/>
                  <w:sz w:val="20"/>
                  <w:u w:val="single"/>
                </w:rPr>
                <w:t xml:space="preserve"> 30, 2025</w:t>
              </w:r>
            </w:hyperlink>
            <w:hyperlink r:id="rId62">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u w:val="single"/>
                </w:rPr>
                <w:t xml:space="preserve">Section 1350 Certification by Gregory W. Haskell, Chief Executive Officer, for the quarter ended </w:t>
              </w:r>
            </w:hyperlink>
            <w:hyperlink r:id="rId64">
              <w:r>
                <w:rPr>
                  <w:rStyle w:val="InternetLink"/>
                  <w:rFonts w:ascii="Times New Roman;serif" w:hAnsi="Times New Roman;serif"/>
                  <w:b w:val="false"/>
                  <w:color w:val="000080"/>
                  <w:sz w:val="20"/>
                  <w:u w:val="single"/>
                </w:rPr>
                <w:t>September</w:t>
              </w:r>
            </w:hyperlink>
            <w:hyperlink r:id="rId65">
              <w:r>
                <w:rPr>
                  <w:rStyle w:val="InternetLink"/>
                  <w:rFonts w:ascii="Times New Roman;serif" w:hAnsi="Times New Roman;serif"/>
                  <w:b w:val="false"/>
                  <w:color w:val="000080"/>
                  <w:sz w:val="20"/>
                  <w:u w:val="single"/>
                </w:rPr>
                <w:t xml:space="preserve"> 30, 2025</w:t>
              </w:r>
            </w:hyperlink>
            <w:hyperlink r:id="rId66">
              <w:r>
                <w:rPr>
                  <w:rStyle w:val="InternetLink"/>
                  <w:rFonts w:ascii="Times New Roman;serif" w:hAnsi="Times New Roman;serif"/>
                  <w:b w:val="false"/>
                  <w:color w:val="000080"/>
                  <w:sz w:val="20"/>
                  <w:u w:val="single"/>
                </w:rPr>
                <w:t>.</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80"/>
                  <w:sz w:val="20"/>
                  <w:u w:val="single"/>
                </w:rPr>
                <w:t xml:space="preserve">Section 1350 Certification by David Yablunosky, Chief Financial Officer, for the quarter ended </w:t>
              </w:r>
            </w:hyperlink>
            <w:hyperlink r:id="rId68">
              <w:r>
                <w:rPr>
                  <w:rStyle w:val="InternetLink"/>
                  <w:rFonts w:ascii="Times New Roman;serif" w:hAnsi="Times New Roman;serif"/>
                  <w:b w:val="false"/>
                  <w:color w:val="000080"/>
                  <w:sz w:val="20"/>
                  <w:u w:val="single"/>
                </w:rPr>
                <w:t>September</w:t>
              </w:r>
            </w:hyperlink>
            <w:hyperlink r:id="rId69">
              <w:r>
                <w:rPr>
                  <w:rStyle w:val="InternetLink"/>
                  <w:rFonts w:ascii="Times New Roman;serif" w:hAnsi="Times New Roman;serif"/>
                  <w:b w:val="false"/>
                  <w:color w:val="000080"/>
                  <w:sz w:val="20"/>
                  <w:u w:val="single"/>
                </w:rPr>
                <w:t xml:space="preserve"> 30, 202</w:t>
              </w:r>
            </w:hyperlink>
            <w:hyperlink r:id="rId70">
              <w:r>
                <w:rPr>
                  <w:rStyle w:val="InternetLink"/>
                  <w:rFonts w:ascii="Times New Roman;serif" w:hAnsi="Times New Roman;serif"/>
                  <w:b w:val="false"/>
                  <w:color w:val="000080"/>
                  <w:sz w:val="20"/>
                  <w:u w:val="single"/>
                </w:rPr>
                <w:t>5.</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2809"/>
        <w:gridCol w:w="2570"/>
        <w:gridCol w:w="3635"/>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Innventure, Inc.’s Quarterly Report on Form 10-Q for the quarter ended September 30, 2025, formatted in Inline XBRL (eXtensible Business Reporting Language): (i) Condensed Consolidated Balance Sheets as of September 30, 2025 and December 31, 2024; (ii) Condensed Consolidated Statements of Operations and Comprehensive Income (Loss) for the three and nine months ended September 30, 2025 (Successor), and for the three and nine months ended September 30, 2024 (Predecessor); (iii) Condensed Consolidated Statements of Changes in Unitholders’ Deficit for the period December 31, 2023 through the three and nine months ended September 30, 2024 (Predecessor); (iv) Condensed Consolidated Statements of Changes in Mezzanine and Stockholders’ Equity (Deficit) for the period December 31, 2024 through the three and nine months ended September 30, 2025 (Successor); (v) Condensed Consolidated Statements of Cash Flows for the nine months ended September 30, 2025 (Successor), and the nine months ended September 30, 2024 (Predecessor); and (vi) Notes to Condensed Consolidated Financial Statements.</w:t>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p>
      <w:pPr>
        <w:pStyle w:val="TextBody"/>
        <w:bidi w:val="0"/>
        <w:spacing w:before="0" w:after="2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601(b)(2) of Regulation S-K. The registrant agrees to furnish supplementally a copy of any omitted schedule or exhibit to the SEC upon request.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Certain identified information has been excluded pursuant to Rule 601(b)(10) of Regulation S-K because it is both (i) not material and (ii) is the type of information that the registrant treats as private or confidential.</w:t>
      </w:r>
    </w:p>
    <w:p>
      <w:pPr>
        <w:pStyle w:val="TextBody"/>
        <w:bidi w:val="0"/>
        <w:spacing w:before="0" w:after="180"/>
        <w:jc w:val="left"/>
        <w:rPr/>
      </w:pPr>
      <w:r>
        <w:rPr/>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218" w:type="dxa"/>
        <w:jc w:val="left"/>
        <w:tblInd w:w="0" w:type="dxa"/>
        <w:tblLayout w:type="fixed"/>
        <w:tblCellMar>
          <w:top w:w="28" w:type="dxa"/>
          <w:left w:w="28" w:type="dxa"/>
          <w:bottom w:w="28" w:type="dxa"/>
          <w:right w:w="28" w:type="dxa"/>
        </w:tblCellMar>
      </w:tblPr>
      <w:tblGrid>
        <w:gridCol w:w="797"/>
        <w:gridCol w:w="702"/>
        <w:gridCol w:w="706"/>
        <w:gridCol w:w="298"/>
        <w:gridCol w:w="298"/>
        <w:gridCol w:w="298"/>
        <w:gridCol w:w="909"/>
        <w:gridCol w:w="909"/>
        <w:gridCol w:w="130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Gregory W. Haskell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Haskell</w:t>
            </w:r>
          </w:p>
        </w:tc>
      </w:tr>
      <w:tr>
        <w:trPr/>
        <w:tc>
          <w:tcPr>
            <w:tcW w:w="22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13, 2025</w:t>
            </w:r>
          </w:p>
        </w:tc>
        <w:tc>
          <w:tcPr>
            <w:tcW w:w="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Director</w:t>
            </w:r>
          </w:p>
        </w:tc>
      </w:tr>
    </w:tbl>
    <w:p>
      <w:pPr>
        <w:pStyle w:val="TextBody"/>
        <w:bidi w:val="0"/>
        <w:spacing w:before="0" w:after="6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November 12,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120"/>
        <w:jc w:val="left"/>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 xml:space="preserve">Entry into a Material Definitive Agreement.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Issuance of Fourth Convertible Debenture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the Current Report on Form 8-K filed by Innventure, Inc., a Delaware corporation (the “Company”), with the Securities and Exchange Commission (the “SEC”) on September 16, 2025, the Company entered into a securities purchase agreement (the “Purchase Agreement”) with YA II PN, Ltd. (“Yorkville”), for the issuance and sale by the Company of convertible debentures (the “Convertible Debentures”) issuable in an aggregate principal amount of up to $15,000,000, which Convertible Debentures are convertible into shares of the Company’s common stock, par value $0.0001 per share (the “Common Stock”) (as converted, the “Conversion Shares”). On September 15, 2025, the Company issued a Convertible Debenture to Yorkville with a principal amount of $10,000,000, resulting in gross proceeds to the Company of approximately $7,000,000, representing an original issue discount of 10% and including a concurrent $2,000,000 payment to Yorkville (as described previously).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12, 2025, the Company issued a Convertible Debenture to Yorkville with a principal amount of $5,000,000 (the “Fourth Convertible Debenture”). The Fourth Convertible Debenture will bear interest at an annual rate of 5.0%, unless an event of default occurs and remains uncured, upon which the Fourth Convertible Debenture will bear interest at an annual rate of 18.0%. The Fourth Convertible Debenture will mature on September 15, 2026 (the “Maturity Date”). The Fourth Convertible Debenture resulted in gross proceeds to the Company of approximately $4,500,000 (including the original issue discount of 10%). With respect to the Fourth Convertible Debenture, the Company will not be required to make monthly cash payments unless an Amortization Event (as defined below) has occurred and then the Company will make monthly cash payments each month until the earlier of (i) the entire outstanding amount under the Fourth Convertible Debenture has been repaid or (ii) the Amortization Event ceases, as provided in the Fourth Convertible Debenture. An “Amortization Event” means (i) the daily volume-weighted average price (“VWAP”) of the Company’s Common Stock is lower than the Floor Price (as defined below) for any five of seven consecutive trading days, (ii) the Company has issued in excess of 99% of the Common Stock available under the Exchange Cap (as defined below) or (iii) Yorkville is unable to use the Company’s registration statement on Form S-1 filed with the SEC on October 23, 2025, which registered the resale of at least 12 million Conversion Shares, for a period of 20 consecutive trading days. The monthly cash payments will be in an amount equal to 10% of the original principal amount (or the outstanding principal amount of the Fourth Convertible Debenture if lower than such amount), plus a payment premium of 5% and all accrued and unpaid interest as of the date of such payment. Such Amortization Event payments will commence 15 days following the Amortization Event.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Fourth Convertible Debenture is convertible at the option of the holder into Common Stock equal to the applicable Conversion Amount (as defined below) divided by the Conversion Price (as defined below). The conversion price for the Fourth Convertible Debenture will be the lower of (i) $7.00 per share of Common Stock (the “Fixed Price”), or (ii) 95% of the lowest daily VWAP of the Common Stock during the five consecutive trading days immediately preceding conversion date or other date of determination (the “Variable Price” and the applicable purchase price, the “Conversion Price”), but which Variable Price shall not be lower than the Floor Price then in effect. The Floor Price is $1.16, the price equal to 20% of the Minimum Price of the Common Stock (as calculated pursuant to the rules of the Nasdaq Stock Market). Any portion of the Fourth Convertible Debenture may be converted at any time and from time to time, subject to the Exchange Cap. The Conversion Amount with respect to any requested conversion will equal the principal amount requested to be converted plus all accrued and unpaid interest on the Fourth Convertible Debenture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shall not issue any Common Stock upon conversion of the Fourth Convertible Debenture held by Yorkville if the issuance of such Common Stock underlying the Fourth Convertible Debenture would exceed the aggregate number of Common Stock that the Company may issue upon conversion of the Fourth Convertible Debenture in compliance with the Company’s obligations under the rules or regulations of Nasdaq Stock Market (the “Exchange Cap”). The Exchange Cap will not apply if the Company obtains the approval of its stockholders as required by the applicable rules of the Nasdaq Stock Market for issuances of Common Stock in excess of such amount.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VWAP of the Common Stock is less than the Fixed Price, then the Fourth Convertible Debenture provides the Company, subject to certain conditions, with an optional redemption right pursuant to which the Company, upon 10 trading days’ prior written notice to Yorkville, may redeem in cash, in whole or in part, all amounts outstanding under the Fourth Convertible Debenture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pStyle w:val="TextBody"/>
        <w:bidi w:val="0"/>
        <w:spacing w:before="0" w:after="2"/>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Fourth Convertible Debenture does not purport to be complete and is qualified in its entirety by reference to the full text of such document, which is filed herewith as Exhibit 4.1 and is incorporated herein by reference.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Item 1.01 is incorporated herein by reference.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1.01 is incorporated herein by reference. The issuance of the Fourth Convertible Debenture was, and the Conversion Shares issuable upon conversion of the Fourth Convertible Debenture will be, exempt from registration pursuant to Section 4(a)(2) of the Securities Act. Yorkville represented to the Company that it is an “accredited investor” as defined in Rule 501 of the Securities Act and that each of the Fourth Convertible Debenture and the Conversion Shares will be acquired for investment purposes and not with a view to, or for sale in connection with, any distribution thereof.</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Exhibits and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8353" w:type="dxa"/>
        <w:jc w:val="left"/>
        <w:tblInd w:w="0" w:type="dxa"/>
        <w:tblLayout w:type="fixed"/>
        <w:tblCellMar>
          <w:top w:w="28" w:type="dxa"/>
          <w:left w:w="28" w:type="dxa"/>
          <w:bottom w:w="28" w:type="dxa"/>
          <w:right w:w="28" w:type="dxa"/>
        </w:tblCellMar>
      </w:tblPr>
      <w:tblGrid>
        <w:gridCol w:w="538"/>
        <w:gridCol w:w="472"/>
        <w:gridCol w:w="474"/>
        <w:gridCol w:w="2007"/>
        <w:gridCol w:w="2007"/>
        <w:gridCol w:w="28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68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pPr>
            <w:r>
              <w:rPr>
                <w:rFonts w:ascii="Times New Roman;serif" w:hAnsi="Times New Roman;serif"/>
                <w:b w:val="false"/>
                <w:color w:val="000000"/>
                <w:sz w:val="20"/>
              </w:rPr>
              <w:t>4.1</w:t>
            </w:r>
            <w:r>
              <w:rPr>
                <w:rFonts w:ascii="Cambria;sans-serif" w:hAnsi="Cambria;sans-serif"/>
                <w:b w:val="false"/>
                <w:color w:val="000000"/>
                <w:sz w:val="16"/>
              </w:rPr>
              <w:t>^</w:t>
            </w:r>
          </w:p>
        </w:tc>
        <w:tc>
          <w:tcPr>
            <w:tcW w:w="686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71">
              <w:r>
                <w:rPr>
                  <w:rStyle w:val="InternetLink"/>
                  <w:rFonts w:ascii="Times New Roman;serif" w:hAnsi="Times New Roman;serif"/>
                  <w:b w:val="false"/>
                  <w:color w:val="000080"/>
                  <w:sz w:val="20"/>
                </w:rPr>
                <w:t>Fourth</w:t>
              </w:r>
            </w:hyperlink>
            <w:hyperlink r:id="rId72">
              <w:r>
                <w:rPr>
                  <w:rStyle w:val="InternetLink"/>
                  <w:rFonts w:ascii="Times New Roman;serif" w:hAnsi="Times New Roman;serif"/>
                  <w:b w:val="false"/>
                  <w:color w:val="000080"/>
                  <w:sz w:val="20"/>
                </w:rPr>
                <w:t xml:space="preserve"> Convertible Debenture, issued to YA II PN, Ltd., dated </w:t>
              </w:r>
            </w:hyperlink>
            <w:hyperlink r:id="rId73">
              <w:r>
                <w:rPr>
                  <w:rStyle w:val="InternetLink"/>
                  <w:rFonts w:ascii="Times New Roman;serif" w:hAnsi="Times New Roman;serif"/>
                  <w:b w:val="false"/>
                  <w:color w:val="000080"/>
                  <w:sz w:val="20"/>
                </w:rPr>
                <w:t>November 12</w:t>
              </w:r>
            </w:hyperlink>
            <w:hyperlink r:id="rId74">
              <w:r>
                <w:rPr>
                  <w:rStyle w:val="InternetLink"/>
                  <w:rFonts w:ascii="Times New Roman;serif" w:hAnsi="Times New Roman;serif"/>
                  <w:b w:val="false"/>
                  <w:color w:val="000080"/>
                  <w:sz w:val="20"/>
                </w:rPr>
                <w:t xml:space="preserve">, 2025. </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8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68" w:before="0" w:after="0"/>
        <w:jc w:val="left"/>
        <w:rPr/>
      </w:pPr>
      <w:r>
        <w:rPr>
          <w:rFonts w:ascii="Cambria;sans-serif" w:hAnsi="Cambria;sans-serif"/>
          <w:b w:val="false"/>
          <w:color w:val="000000"/>
          <w:sz w:val="16"/>
        </w:rPr>
        <w:t>^    </w:t>
      </w: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606"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355"/>
        <w:gridCol w:w="355"/>
        <w:gridCol w:w="355"/>
        <w:gridCol w:w="587"/>
        <w:gridCol w:w="587"/>
        <w:gridCol w:w="83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14036124043179/ef20036737_ex3-1.htm" TargetMode="External"/><Relationship Id="rId3" Type="http://schemas.openxmlformats.org/officeDocument/2006/relationships/hyperlink" Target="https://www.sec.gov/Archives/edgar/data/2001557/000114036124043179/ef20036737_ex3-2.htm" TargetMode="External"/><Relationship Id="rId4" Type="http://schemas.openxmlformats.org/officeDocument/2006/relationships/hyperlink" Target="https://www.sec.gov/Archives/edgar/data/2001557/000162828025025892/inv-ex33innventureseriesbp.htm" TargetMode="External"/><Relationship Id="rId5" Type="http://schemas.openxmlformats.org/officeDocument/2006/relationships/hyperlink" Target="https://www.sec.gov/Archives/edgar/data/2001557/000114036125010165/ef20045914_ex3-1.htm" TargetMode="External"/><Relationship Id="rId6" Type="http://schemas.openxmlformats.org/officeDocument/2006/relationships/hyperlink" Target="https://www.sec.gov/Archives/edgar/data/2001557/000200155725000007/exhibit41-thirdconvertible.htm" TargetMode="External"/><Relationship Id="rId7" Type="http://schemas.openxmlformats.org/officeDocument/2006/relationships/hyperlink" Target="https://www.sec.gov/Archives/edgar/data/2001557/000200155725000007/exhibit41-thirdconvertible.htm" TargetMode="External"/><Relationship Id="rId8" Type="http://schemas.openxmlformats.org/officeDocument/2006/relationships/hyperlink" Target="https://www.sec.gov/Archives/edgar/data/2001557/000200155725000007/exhibit41-thirdconvertible.htm" TargetMode="External"/><Relationship Id="rId9" Type="http://schemas.openxmlformats.org/officeDocument/2006/relationships/hyperlink" Target="https://www.sec.gov/Archives/edgar/data/2001557/000200155725000007/exhibit41-thirdconvertible.htm" TargetMode="External"/><Relationship Id="rId10" Type="http://schemas.openxmlformats.org/officeDocument/2006/relationships/hyperlink" Target="https://www.sec.gov/Archives/edgar/data/2001557/000200155725000007/exhibit41-thirdconvertible.htm" TargetMode="External"/><Relationship Id="rId11" Type="http://schemas.openxmlformats.org/officeDocument/2006/relationships/hyperlink" Target="https://www.sec.gov/Archives/edgar/data/2001557/000200155725000007/exhibit41-thirdconvertible.htm" TargetMode="External"/><Relationship Id="rId12" Type="http://schemas.openxmlformats.org/officeDocument/2006/relationships/hyperlink" Target="https://www.sec.gov/Archives/edgar/data/2001557/000200155725000007/exhibit41-thirdconvertible.htm" TargetMode="External"/><Relationship Id="rId13" Type="http://schemas.openxmlformats.org/officeDocument/2006/relationships/hyperlink" Target="https://www.sec.gov/Archives/edgar/data/2001557/000200155725000007/exhibit101-securitiespurch.htm" TargetMode="External"/><Relationship Id="rId14" Type="http://schemas.openxmlformats.org/officeDocument/2006/relationships/hyperlink" Target="https://www.sec.gov/Archives/edgar/data/2001557/000200155725000007/exhibit101-securitiespurch.htm" TargetMode="External"/><Relationship Id="rId15" Type="http://schemas.openxmlformats.org/officeDocument/2006/relationships/hyperlink" Target="https://www.sec.gov/Archives/edgar/data/2001557/000200155725000007/exhibit101-securitiespurch.htm" TargetMode="External"/><Relationship Id="rId16" Type="http://schemas.openxmlformats.org/officeDocument/2006/relationships/hyperlink" Target="https://www.sec.gov/Archives/edgar/data/2001557/000200155725000007/exhibit101-securitiespurch.htm" TargetMode="External"/><Relationship Id="rId17" Type="http://schemas.openxmlformats.org/officeDocument/2006/relationships/hyperlink" Target="https://www.sec.gov/Archives/edgar/data/2001557/000200155725000007/exhibit101-securitiespurch.htm" TargetMode="External"/><Relationship Id="rId18" Type="http://schemas.openxmlformats.org/officeDocument/2006/relationships/hyperlink" Target="https://www.sec.gov/Archives/edgar/data/2001557/000200155725000007/exhibit101-securitiespurch.htm" TargetMode="External"/><Relationship Id="rId19" Type="http://schemas.openxmlformats.org/officeDocument/2006/relationships/hyperlink" Target="https://www.sec.gov/Archives/edgar/data/2001557/000200155725000007/exhibit102-globalguarantya.htm" TargetMode="External"/><Relationship Id="rId20" Type="http://schemas.openxmlformats.org/officeDocument/2006/relationships/hyperlink" Target="https://www.sec.gov/Archives/edgar/data/2001557/000200155725000007/exhibit102-globalguarantya.htm" TargetMode="External"/><Relationship Id="rId21" Type="http://schemas.openxmlformats.org/officeDocument/2006/relationships/hyperlink" Target="https://www.sec.gov/Archives/edgar/data/2001557/000200155725000007/exhibit102-globalguarantya.htm" TargetMode="External"/><Relationship Id="rId22" Type="http://schemas.openxmlformats.org/officeDocument/2006/relationships/hyperlink" Target="https://www.sec.gov/Archives/edgar/data/2001557/000200155725000007/exhibit102-globalguarantya.htm" TargetMode="External"/><Relationship Id="rId23" Type="http://schemas.openxmlformats.org/officeDocument/2006/relationships/hyperlink" Target="https://www.sec.gov/Archives/edgar/data/2001557/000200155725000007/exhibit102-globalguarantya.htm" TargetMode="External"/><Relationship Id="rId24" Type="http://schemas.openxmlformats.org/officeDocument/2006/relationships/hyperlink" Target="https://www.sec.gov/Archives/edgar/data/2001557/000200155725000007/exhibit102-globalguarantya.htm" TargetMode="External"/><Relationship Id="rId25" Type="http://schemas.openxmlformats.org/officeDocument/2006/relationships/hyperlink" Target="https://www.sec.gov/Archives/edgar/data/2001557/000200155725000007/exhibit102-globalguarantya.htm" TargetMode="External"/><Relationship Id="rId26" Type="http://schemas.openxmlformats.org/officeDocument/2006/relationships/hyperlink" Target="https://www.sec.gov/Archives/edgar/data/2001557/000200155725000007/exhibit102-globalguarantya.htm" TargetMode="External"/><Relationship Id="rId27" Type="http://schemas.openxmlformats.org/officeDocument/2006/relationships/hyperlink" Target="https://www.sec.gov/Archives/edgar/data/2001557/000200155725000007/exhibit102-globalguarantya.htm" TargetMode="External"/><Relationship Id="rId28" Type="http://schemas.openxmlformats.org/officeDocument/2006/relationships/hyperlink" Target="https://www.sec.gov/Archives/edgar/data/2001557/000200155725000007/exhibit102-globalguarantya.htm" TargetMode="External"/><Relationship Id="rId29" Type="http://schemas.openxmlformats.org/officeDocument/2006/relationships/hyperlink" Target="https://www.sec.gov/Archives/edgar/data/2001557/000200155725000007/exhibit102-globalguarantya.htm" TargetMode="External"/><Relationship Id="rId30" Type="http://schemas.openxmlformats.org/officeDocument/2006/relationships/hyperlink" Target="https://www.sec.gov/Archives/edgar/data/2001557/000200155725000007/exhibit103-registrationrig.htm" TargetMode="External"/><Relationship Id="rId31" Type="http://schemas.openxmlformats.org/officeDocument/2006/relationships/hyperlink" Target="https://www.sec.gov/Archives/edgar/data/2001557/000200155725000007/exhibit103-registrationrig.htm" TargetMode="External"/><Relationship Id="rId32" Type="http://schemas.openxmlformats.org/officeDocument/2006/relationships/hyperlink" Target="https://www.sec.gov/Archives/edgar/data/2001557/000200155725000007/exhibit103-registrationrig.htm" TargetMode="External"/><Relationship Id="rId33" Type="http://schemas.openxmlformats.org/officeDocument/2006/relationships/hyperlink" Target="https://www.sec.gov/Archives/edgar/data/2001557/000200155725000007/exhibit103-registrationrig.htm" TargetMode="External"/><Relationship Id="rId34" Type="http://schemas.openxmlformats.org/officeDocument/2006/relationships/hyperlink" Target="https://www.sec.gov/Archives/edgar/data/2001557/000200155725000007/exhibit103-registrationrig.htm" TargetMode="External"/><Relationship Id="rId35" Type="http://schemas.openxmlformats.org/officeDocument/2006/relationships/hyperlink" Target="https://www.sec.gov/Archives/edgar/data/2001557/000200155725000007/exhibit103-registrationrig.htm" TargetMode="External"/><Relationship Id="rId36" Type="http://schemas.openxmlformats.org/officeDocument/2006/relationships/hyperlink" Target="https://www.sec.gov/Archives/edgar/data/2001557/000200155725000007/exhibit103-registrationrig.htm" TargetMode="External"/><Relationship Id="rId37" Type="http://schemas.openxmlformats.org/officeDocument/2006/relationships/hyperlink" Target="https://www.sec.gov/Archives/edgar/data/2001557/000200155725000007/exhibit103-registrationrig.htm" TargetMode="External"/><Relationship Id="rId38" Type="http://schemas.openxmlformats.org/officeDocument/2006/relationships/hyperlink" Target="https://www.sec.gov/Archives/edgar/data/2001557/000200155725000007/exhibit104-amendmenttoconv.htm" TargetMode="External"/><Relationship Id="rId39" Type="http://schemas.openxmlformats.org/officeDocument/2006/relationships/hyperlink" Target="https://www.sec.gov/Archives/edgar/data/2001557/000200155725000007/exhibit104-amendmenttoconv.htm" TargetMode="External"/><Relationship Id="rId40" Type="http://schemas.openxmlformats.org/officeDocument/2006/relationships/hyperlink" Target="https://www.sec.gov/Archives/edgar/data/2001557/000200155725000007/exhibit104-amendmenttoconv.htm" TargetMode="External"/><Relationship Id="rId41" Type="http://schemas.openxmlformats.org/officeDocument/2006/relationships/hyperlink" Target="https://www.sec.gov/Archives/edgar/data/2001557/000200155725000007/exhibit104-amendmenttoconv.htm" TargetMode="External"/><Relationship Id="rId42" Type="http://schemas.openxmlformats.org/officeDocument/2006/relationships/hyperlink" Target="https://www.sec.gov/Archives/edgar/data/2001557/000200155725000007/exhibit104-amendmenttoconv.htm" TargetMode="External"/><Relationship Id="rId43" Type="http://schemas.openxmlformats.org/officeDocument/2006/relationships/hyperlink" Target="https://www.sec.gov/Archives/edgar/data/2001557/000200155725000007/exhibit104-amendmenttoconv.htm" TargetMode="External"/><Relationship Id="rId44" Type="http://schemas.openxmlformats.org/officeDocument/2006/relationships/hyperlink" Target="https://www.sec.gov/Archives/edgar/data/2001557/000200155725000007/exhibit104-amendmenttoconv.htm" TargetMode="External"/><Relationship Id="rId45" Type="http://schemas.openxmlformats.org/officeDocument/2006/relationships/hyperlink" Target="https://www.sec.gov/Archives/edgar/data/2001557/000200155725000007/exhibit104-amendmenttoconv.htm" TargetMode="External"/><Relationship Id="rId46" Type="http://schemas.openxmlformats.org/officeDocument/2006/relationships/hyperlink" Target="https://www.sec.gov/Archives/edgar/data/2001557/000200155725000007/exhibit104-amendmenttoconv.htm" TargetMode="External"/><Relationship Id="rId47" Type="http://schemas.openxmlformats.org/officeDocument/2006/relationships/hyperlink" Target="https://www.sec.gov/Archives/edgar/data/2001557/000200155725000007/exhibit104-amendmenttoconv.htm" TargetMode="External"/><Relationship Id="rId48" Type="http://schemas.openxmlformats.org/officeDocument/2006/relationships/hyperlink" Target="https://www.sec.gov/Archives/edgar/data/2001557/000200155725000007/exhibit104-amendmenttoconv.htm" TargetMode="External"/><Relationship Id="rId49" Type="http://schemas.openxmlformats.org/officeDocument/2006/relationships/hyperlink" Target="https://www.sec.gov/Archives/edgar/data/2001557/000162828025033614/exhibit101.htm" TargetMode="External"/><Relationship Id="rId50" Type="http://schemas.openxmlformats.org/officeDocument/2006/relationships/hyperlink" Target="https://www.sec.gov/Archives/edgar/data/2001557/000162828025033614/exhibit101.htm" TargetMode="External"/><Relationship Id="rId51" Type="http://schemas.openxmlformats.org/officeDocument/2006/relationships/hyperlink" Target="https://www.sec.gov/Archives/edgar/data/2001557/000162828025033614/exhibit101.htm" TargetMode="External"/><Relationship Id="rId52" Type="http://schemas.openxmlformats.org/officeDocument/2006/relationships/hyperlink" Target="https://www.sec.gov/Archives/edgar/data/2001557/000162828025033614/exhibit103.htm" TargetMode="External"/><Relationship Id="rId53" Type="http://schemas.openxmlformats.org/officeDocument/2006/relationships/hyperlink" Target="https://www.sec.gov/Archives/edgar/data/2001557/000162828025033614/exhibit103.htm" TargetMode="External"/><Relationship Id="rId54" Type="http://schemas.openxmlformats.org/officeDocument/2006/relationships/hyperlink" Target="https://www.sec.gov/Archives/edgar/data/2001557/000162828025033614/exhibit103.htm" TargetMode="External"/><Relationship Id="rId55" Type="http://schemas.openxmlformats.org/officeDocument/2006/relationships/hyperlink" Target="https://www.sec.gov/Archives/edgar/data/2001557/000162828025052035/inv-exhibit311to2025q310xq.htm" TargetMode="External"/><Relationship Id="rId56" Type="http://schemas.openxmlformats.org/officeDocument/2006/relationships/hyperlink" Target="https://www.sec.gov/Archives/edgar/data/2001557/000162828025052035/inv-exhibit311to2025q310xq.htm" TargetMode="External"/><Relationship Id="rId57" Type="http://schemas.openxmlformats.org/officeDocument/2006/relationships/hyperlink" Target="https://www.sec.gov/Archives/edgar/data/2001557/000162828025052035/inv-exhibit311to2025q310xq.htm" TargetMode="External"/><Relationship Id="rId58" Type="http://schemas.openxmlformats.org/officeDocument/2006/relationships/hyperlink" Target="https://www.sec.gov/Archives/edgar/data/2001557/000162828025052035/inv-exhibit311to2025q310xq.htm" TargetMode="External"/><Relationship Id="rId59" Type="http://schemas.openxmlformats.org/officeDocument/2006/relationships/hyperlink" Target="https://www.sec.gov/Archives/edgar/data/2001557/000162828025052035/inv-exhibit312to2025q310xq.htm" TargetMode="External"/><Relationship Id="rId60" Type="http://schemas.openxmlformats.org/officeDocument/2006/relationships/hyperlink" Target="https://www.sec.gov/Archives/edgar/data/2001557/000162828025052035/inv-exhibit312to2025q310xq.htm" TargetMode="External"/><Relationship Id="rId61" Type="http://schemas.openxmlformats.org/officeDocument/2006/relationships/hyperlink" Target="https://www.sec.gov/Archives/edgar/data/2001557/000162828025052035/inv-exhibit312to2025q310xq.htm" TargetMode="External"/><Relationship Id="rId62" Type="http://schemas.openxmlformats.org/officeDocument/2006/relationships/hyperlink" Target="https://www.sec.gov/Archives/edgar/data/2001557/000162828025052035/inv-exhibit312to2025q310xq.htm" TargetMode="External"/><Relationship Id="rId63" Type="http://schemas.openxmlformats.org/officeDocument/2006/relationships/hyperlink" Target="https://www.sec.gov/Archives/edgar/data/2001557/000162828025052035/inv-exhibit321to2025q310xq.htm" TargetMode="External"/><Relationship Id="rId64" Type="http://schemas.openxmlformats.org/officeDocument/2006/relationships/hyperlink" Target="https://www.sec.gov/Archives/edgar/data/2001557/000162828025052035/inv-exhibit321to2025q310xq.htm" TargetMode="External"/><Relationship Id="rId65" Type="http://schemas.openxmlformats.org/officeDocument/2006/relationships/hyperlink" Target="https://www.sec.gov/Archives/edgar/data/2001557/000162828025052035/inv-exhibit321to2025q310xq.htm" TargetMode="External"/><Relationship Id="rId66" Type="http://schemas.openxmlformats.org/officeDocument/2006/relationships/hyperlink" Target="https://www.sec.gov/Archives/edgar/data/2001557/000162828025052035/inv-exhibit321to2025q310xq.htm" TargetMode="External"/><Relationship Id="rId67" Type="http://schemas.openxmlformats.org/officeDocument/2006/relationships/hyperlink" Target="https://www.sec.gov/Archives/edgar/data/2001557/000162828025052035/inv-exhibit322to2025q310xq.htm" TargetMode="External"/><Relationship Id="rId68" Type="http://schemas.openxmlformats.org/officeDocument/2006/relationships/hyperlink" Target="https://www.sec.gov/Archives/edgar/data/2001557/000162828025052035/inv-exhibit322to2025q310xq.htm" TargetMode="External"/><Relationship Id="rId69" Type="http://schemas.openxmlformats.org/officeDocument/2006/relationships/hyperlink" Target="https://www.sec.gov/Archives/edgar/data/2001557/000162828025052035/inv-exhibit322to2025q310xq.htm" TargetMode="External"/><Relationship Id="rId70" Type="http://schemas.openxmlformats.org/officeDocument/2006/relationships/hyperlink" Target="https://www.sec.gov/Archives/edgar/data/2001557/000162828025052035/inv-exhibit322to2025q310xq.htm" TargetMode="External"/><Relationship Id="rId71" Type="http://schemas.openxmlformats.org/officeDocument/2006/relationships/hyperlink" Target="https://www.sec.gov/Archives/edgar/data/2001557/000162828025051586/inv-ex41to8xkfourthconvert.htm" TargetMode="External"/><Relationship Id="rId72" Type="http://schemas.openxmlformats.org/officeDocument/2006/relationships/hyperlink" Target="https://www.sec.gov/Archives/edgar/data/2001557/000162828025051586/inv-ex41to8xkfourthconvert.htm" TargetMode="External"/><Relationship Id="rId73" Type="http://schemas.openxmlformats.org/officeDocument/2006/relationships/hyperlink" Target="https://www.sec.gov/Archives/edgar/data/2001557/000162828025051586/inv-ex41to8xkfourthconvert.htm" TargetMode="External"/><Relationship Id="rId74" Type="http://schemas.openxmlformats.org/officeDocument/2006/relationships/hyperlink" Target="https://www.sec.gov/Archives/edgar/data/2001557/000162828025051586/inv-ex41to8xkfourthconvert.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28401</Words>
  <Characters>158290</Characters>
  <CharactersWithSpaces>185150</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