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0" w:right="479" w:bottom="104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Scott John Stewart</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00" w:type="dxa"/>
            <w:vAlign w:val="bottom"/>
            <w:tcBorders>
              <w:top w:val="single" w:sz="8" w:color="0000EE"/>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10/02/2024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Innventure,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INV</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045"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57"/>
        <w:spacing w:after="0" w:line="275" w:lineRule="auto"/>
        <w:rPr>
          <w:sz w:val="20"/>
          <w:szCs w:val="20"/>
          <w:color w:val="auto"/>
        </w:rPr>
      </w:pPr>
      <w:r>
        <w:rPr>
          <w:rFonts w:ascii="Times New Roman" w:cs="Times New Roman" w:eastAsia="Times New Roman" w:hAnsi="Times New Roman"/>
          <w:sz w:val="20"/>
          <w:szCs w:val="20"/>
          <w:color w:val="0000FF"/>
        </w:rPr>
        <w:t>6900 TAVISTOCK LAKES BLVD, SUITE 400</w:t>
      </w:r>
    </w:p>
    <w:p>
      <w:pPr>
        <w:spacing w:after="0" w:line="32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ORLANDO FL</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32827</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83"/>
        <w:spacing w:after="0"/>
        <w:rPr>
          <w:sz w:val="20"/>
          <w:szCs w:val="20"/>
          <w:color w:val="auto"/>
        </w:rPr>
      </w:pPr>
      <w:r>
        <w:rPr>
          <w:rFonts w:ascii="Times New Roman" w:cs="Times New Roman" w:eastAsia="Times New Roman" w:hAnsi="Times New Roman"/>
          <w:sz w:val="20"/>
          <w:szCs w:val="20"/>
          <w:color w:val="0000FF"/>
        </w:rPr>
        <w:t>Chief Strategy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045"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20"/>
                <w:szCs w:val="20"/>
                <w:color w:val="0000FF"/>
              </w:rPr>
              <w:t>1,531,795</w:t>
            </w:r>
            <w:r>
              <w:rPr>
                <w:rFonts w:ascii="Times New Roman" w:cs="Times New Roman" w:eastAsia="Times New Roman" w:hAnsi="Times New Roman"/>
                <w:sz w:val="25"/>
                <w:szCs w:val="25"/>
                <w:color w:val="008000"/>
                <w:vertAlign w:val="superscript"/>
              </w:rPr>
              <w:t>(1)(2)</w:t>
            </w:r>
          </w:p>
        </w:tc>
        <w:tc>
          <w:tcPr>
            <w:tcW w:w="94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jc w:val="center"/>
              <w:ind w:right="257"/>
              <w:spacing w:after="0"/>
              <w:rPr>
                <w:sz w:val="20"/>
                <w:szCs w:val="20"/>
                <w:color w:val="auto"/>
              </w:rPr>
            </w:pPr>
            <w:r>
              <w:rPr>
                <w:rFonts w:ascii="Times New Roman" w:cs="Times New Roman" w:eastAsia="Times New Roman" w:hAnsi="Times New Roman"/>
                <w:sz w:val="20"/>
                <w:szCs w:val="20"/>
                <w:color w:val="0000FF"/>
              </w:rPr>
              <w:t>56,202</w:t>
            </w:r>
            <w:r>
              <w:rPr>
                <w:rFonts w:ascii="Times New Roman" w:cs="Times New Roman" w:eastAsia="Times New Roman" w:hAnsi="Times New Roman"/>
                <w:sz w:val="25"/>
                <w:szCs w:val="25"/>
                <w:color w:val="008000"/>
                <w:vertAlign w:val="superscript"/>
              </w:rPr>
              <w:t>(1)(2)</w:t>
            </w:r>
          </w:p>
        </w:tc>
        <w:tc>
          <w:tcPr>
            <w:tcW w:w="94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20"/>
                <w:szCs w:val="20"/>
                <w:color w:val="0000FF"/>
              </w:rPr>
              <w:t>I</w:t>
            </w:r>
          </w:p>
        </w:tc>
        <w:tc>
          <w:tcPr>
            <w:tcW w:w="186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(3)</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40" w:type="dxa"/>
            <w:vAlign w:val="bottom"/>
            <w:gridSpan w:val="2"/>
          </w:tcPr>
          <w:p>
            <w:pPr>
              <w:ind w:left="2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40" w:type="dxa"/>
            <w:vAlign w:val="bottom"/>
            <w:gridSpan w:val="2"/>
          </w:tcPr>
          <w:p>
            <w:pPr>
              <w:ind w:left="2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20" w:type="dxa"/>
            <w:vAlign w:val="bottom"/>
          </w:tcPr>
          <w:p>
            <w:pPr>
              <w:spacing w:after="0"/>
              <w:rPr>
                <w:sz w:val="14"/>
                <w:szCs w:val="14"/>
                <w:color w:val="auto"/>
              </w:rPr>
            </w:pPr>
          </w:p>
        </w:tc>
        <w:tc>
          <w:tcPr>
            <w:tcW w:w="940" w:type="dxa"/>
            <w:vAlign w:val="bottom"/>
            <w:gridSpan w:val="2"/>
          </w:tcPr>
          <w:p>
            <w:pPr>
              <w:ind w:left="2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2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460" w:firstLine="5"/>
        <w:spacing w:after="0" w:line="237"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Received in connection with the business combination (the "Business Combination") in accordance with the terms of the business combination agreement (as amended and supplemented or otherwise modified), dated as of October 24, 2023, by and among Learn CW Investment Corporation, a Cayman Islands exempted company ("Learn CW"), Innventure LLC, a Delaware limited liability company ("Innventure"), Learn SPAC HoldCo, Inc., a Delaware corporation and direct, wholly-owned subsidiary of Learn CW ("Holdco"), LCW Merger Sub, Inc., a Delaware corporation and direct, wholly-owned subsidiary of Holdco, and Innventure Merger Sub, LLC, a Delaware limited liability company and direct, wholly-owned subsidiary of Holdco, which closed on October 2, 2024 (the "Closing Date").</w:t>
      </w:r>
    </w:p>
    <w:p>
      <w:pPr>
        <w:spacing w:after="0" w:line="33" w:lineRule="exact"/>
        <w:rPr>
          <w:rFonts w:ascii="Times New Roman" w:cs="Times New Roman" w:eastAsia="Times New Roman" w:hAnsi="Times New Roman"/>
          <w:sz w:val="15"/>
          <w:szCs w:val="15"/>
          <w:color w:val="008000"/>
        </w:rPr>
      </w:pPr>
    </w:p>
    <w:p>
      <w:pPr>
        <w:ind w:left="40" w:right="4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At the Closing Date, the Reporting Person acquired these shares in exchange for the ownership interests of Innventure held immediately prior to the closing of the Business Combination, which were automatically converted into a number of shares of the Issuer's common stock, par value $0.0001 per share ("Common Stock").</w:t>
      </w:r>
    </w:p>
    <w:p>
      <w:pPr>
        <w:spacing w:after="0" w:line="17" w:lineRule="exact"/>
        <w:rPr>
          <w:rFonts w:ascii="Times New Roman" w:cs="Times New Roman" w:eastAsia="Times New Roman" w:hAnsi="Times New Roman"/>
          <w:sz w:val="15"/>
          <w:szCs w:val="15"/>
          <w:color w:val="008000"/>
        </w:rPr>
      </w:pPr>
    </w:p>
    <w:p>
      <w:pPr>
        <w:ind w:left="40" w:right="12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of Common Stock are held directly by Innventure1 LLC ("Innventure1"). The Reporting Person is a member of the board of directors of Innventure1 and, as such, shares voting and investment power over the securities held by Innventure1. The Reporting Person disclaims beneficial ownership of the shares reported herein except to the extent of his pecuniary interest therein, if any, and the inclusion of these shares in this report shall not be deemed an admission that the Reporting Person is a beneficial owner of the securities reported in this filing for purposes of Section 16 of the Securities Exchange Act of 1934.</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 The Issuer has been renamed "Innventure, Inc."</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Suzanne Niemeyer,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10/02/2024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20" w:type="dxa"/>
            <w:vAlign w:val="bottom"/>
            <w:tcBorders>
              <w:top w:val="single" w:sz="8" w:color="auto"/>
              <w:bottom w:val="single" w:sz="8" w:color="auto"/>
            </w:tcBorders>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Attorney-In-Fact</w:t>
            </w:r>
          </w:p>
        </w:tc>
        <w:tc>
          <w:tcPr>
            <w:tcW w:w="420" w:type="dxa"/>
            <w:vAlign w:val="bottom"/>
            <w:tcBorders>
              <w:top w:val="single" w:sz="8" w:color="auto"/>
              <w:bottom w:val="single" w:sz="8" w:color="auto"/>
            </w:tcBorders>
            <w:vMerge w:val="restart"/>
          </w:tcPr>
          <w:p>
            <w:pPr>
              <w:spacing w:after="0"/>
              <w:rPr>
                <w:sz w:val="8"/>
                <w:szCs w:val="8"/>
                <w:color w:val="auto"/>
              </w:rPr>
            </w:pPr>
          </w:p>
        </w:tc>
        <w:tc>
          <w:tcPr>
            <w:tcW w:w="4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20" w:type="dxa"/>
            <w:vAlign w:val="bottom"/>
            <w:tcBorders>
              <w:bottom w:val="single" w:sz="8" w:color="auto"/>
            </w:tcBorders>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045"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0" w:lineRule="exact"/>
        <w:rPr>
          <w:sz w:val="20"/>
          <w:szCs w:val="20"/>
          <w:color w:val="auto"/>
        </w:rPr>
      </w:pPr>
    </w:p>
    <w:p>
      <w:pPr>
        <w:ind w:right="560" w:firstLine="7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KNOW ALL MEN BY THESE PRESENTS, </w:t>
      </w:r>
      <w:r>
        <w:rPr>
          <w:rFonts w:ascii="Times New Roman" w:cs="Times New Roman" w:eastAsia="Times New Roman" w:hAnsi="Times New Roman"/>
          <w:sz w:val="20"/>
          <w:szCs w:val="20"/>
          <w:color w:val="auto"/>
        </w:rPr>
        <w:t>that the undersigned, hereby constitutes and appoints each of Suzanne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Niemeyer and David Yablunosky, signing singly and with full power of substitution and resubstitution, the undersigned’s true and lawful attorney-in-fact to:</w:t>
      </w:r>
    </w:p>
    <w:p>
      <w:pPr>
        <w:spacing w:after="0" w:line="194" w:lineRule="exact"/>
        <w:rPr>
          <w:sz w:val="20"/>
          <w:szCs w:val="20"/>
          <w:color w:val="auto"/>
        </w:rPr>
      </w:pPr>
    </w:p>
    <w:p>
      <w:pPr>
        <w:ind w:right="340" w:firstLine="720"/>
        <w:spacing w:after="0" w:line="279" w:lineRule="auto"/>
        <w:tabs>
          <w:tab w:leader="none" w:pos="1454"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executive officer or director of Innventure, Inc. (the “Company”), any and all reports (including any amendment thereto) of the undersigned required or considered advisable under Section 13 or Section 16 of the Securities Exchange Act of 1934 (the “Exchange Act”) and the rules and regulations thereunder, with respect to the equity securities of the Company, including Forms 3, 4 and 5 and Schedule 13D or 13G; and;</w:t>
      </w:r>
    </w:p>
    <w:p>
      <w:pPr>
        <w:spacing w:after="0" w:line="184" w:lineRule="exact"/>
        <w:rPr>
          <w:rFonts w:ascii="Times New Roman" w:cs="Times New Roman" w:eastAsia="Times New Roman" w:hAnsi="Times New Roman"/>
          <w:sz w:val="19"/>
          <w:szCs w:val="19"/>
          <w:color w:val="auto"/>
        </w:rPr>
      </w:pPr>
    </w:p>
    <w:p>
      <w:pPr>
        <w:ind w:right="20" w:firstLine="720"/>
        <w:spacing w:after="0" w:line="266" w:lineRule="auto"/>
        <w:tabs>
          <w:tab w:leader="none" w:pos="145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Schedule 13D or 13G, including any amendments thereto, and timely file such form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ind w:right="80" w:firstLine="720"/>
        <w:spacing w:after="0" w:line="261" w:lineRule="auto"/>
        <w:tabs>
          <w:tab w:leader="none" w:pos="145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210" w:lineRule="exact"/>
        <w:rPr>
          <w:sz w:val="20"/>
          <w:szCs w:val="20"/>
          <w:color w:val="auto"/>
        </w:rPr>
      </w:pPr>
    </w:p>
    <w:p>
      <w:pPr>
        <w:ind w:right="200"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or 5 and Schedule 13D or 13G with respect to the undersigned’s holdings of and transactions in securities issued by the Company, unless earlier revoked by the undersigned in a signed writing delivered to the foregoing attorneys-in-fact.</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caused this Power of Attorney to be executed as of this 23rd day of July,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w:t>
      </w:r>
    </w:p>
    <w:p>
      <w:pPr>
        <w:spacing w:after="0" w:line="2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By: /s/ John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28575</wp:posOffset>
            </wp:positionV>
            <wp:extent cx="325882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258820" cy="19050"/>
                    </a:xfrm>
                    <a:prstGeom prst="rect">
                      <a:avLst/>
                    </a:prstGeom>
                    <a:noFill/>
                  </pic:spPr>
                </pic:pic>
              </a:graphicData>
            </a:graphic>
          </wp:anchor>
        </w:drawing>
      </w:r>
    </w:p>
    <w:p>
      <w:pPr>
        <w:spacing w:after="0" w:line="35"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Name: Dr. John Scott</w:t>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Title: Chief Strategy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28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452844" TargetMode="External"/><Relationship Id="rId11"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2024-10-02T18:31:42Z</dcterms:created>
  <dcterms:modified xsi:type="dcterms:W3CDTF">2024-10-02T18:31:42Z</dcterms:modified>
</cp:coreProperties>
</file>