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22860"/>
                    </a:xfrm>
                    <a:prstGeom prst="rect">
                      <a:avLst/>
                    </a:prstGeom>
                    <a:noFill/>
                  </pic:spPr>
                </pic:pic>
              </a:graphicData>
            </a:graphic>
          </wp:anchor>
        </w:drawing>
        <w:t>Filed pursuant to Rule 424(b)(3)</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Registration No. 333-282971</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Prospectus Supplement No. 10</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Prospectus dated November 12, 2024)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INNVENTURE, INC.</w:t>
      </w:r>
    </w:p>
    <w:p>
      <w:pPr>
        <w:spacing w:after="0" w:line="154"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prospectus supplement updates, amends and supplements the prospectus dated November 12, 2024 (the “Prospectus”), which forms a part of our Registration Statement on Form S-1 (Registration No. 333-282971) and is being filed to update, amend and supplement the information included in the Prospectus with information contained in our Current Report on Form 8-K, which was filed with the Securities and Exchange Commission (the “SEC”) on March 7, 2025 (the “Current Report”). Accordingly, we have attached the Current Report to this prospectus supplement. Capitalized terms used in this prospectus supplement and not otherwise defined herein have the meanings specified in the Prospectus.</w:t>
      </w:r>
    </w:p>
    <w:p>
      <w:pPr>
        <w:spacing w:after="0" w:line="122"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Shares of our common stock, par value $0.0001 per share (our “Common Stock”), are listed on The Nasdaq Stock Market, LLC under the symbol “INV.” On March 6, 2025, the closing price of our Common Stock was $7.93 per share.</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Investing in our securities involves risks that are described in the “Risk Factors” section of the Prospectus.</w:t>
      </w:r>
    </w:p>
    <w:p>
      <w:pPr>
        <w:spacing w:after="0" w:line="150"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date of this prospectus supplement is March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96" w:right="2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128905</wp:posOffset>
            </wp:positionV>
            <wp:extent cx="717804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208915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133350</wp:posOffset>
            </wp:positionV>
            <wp:extent cx="21488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139065</wp:posOffset>
            </wp:positionV>
            <wp:extent cx="21488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Pursuant to Section 13 OR 15(d) of The Securities Exchange Act of 1934</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March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144780</wp:posOffset>
            </wp:positionV>
            <wp:extent cx="21488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134620</wp:posOffset>
            </wp:positionV>
            <wp:extent cx="21488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ectPr>
          <w:pgSz w:w="11900" w:h="16838" w:orient="portrait"/>
          <w:cols w:equalWidth="0" w:num="1">
            <w:col w:w="11300"/>
          </w:cols>
          <w:pgMar w:left="300" w:top="373" w:right="2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DelawareDelaware</w:t>
      </w:r>
    </w:p>
    <w:p>
      <w:pPr>
        <w:spacing w:after="0" w:line="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2"/>
          <w:szCs w:val="12"/>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b w:val="1"/>
          <w:bCs w:val="1"/>
          <w:color w:val="auto"/>
        </w:rPr>
        <w:t>001-42303</w:t>
      </w:r>
    </w:p>
    <w:p>
      <w:pPr>
        <w:spacing w:after="0" w:line="21" w:lineRule="exact"/>
        <w:rPr>
          <w:sz w:val="20"/>
          <w:szCs w:val="20"/>
          <w:color w:val="auto"/>
        </w:rPr>
      </w:pPr>
    </w:p>
    <w:p>
      <w:pPr>
        <w:jc w:val="center"/>
        <w:ind w:right="1560"/>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2"/>
          <w:szCs w:val="12"/>
          <w:b w:val="1"/>
          <w:bCs w:val="1"/>
          <w:color w:val="auto"/>
        </w:rPr>
        <w:t>93-4440048</w:t>
      </w:r>
    </w:p>
    <w:p>
      <w:pPr>
        <w:spacing w:after="0" w:line="2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35" w:lineRule="exact"/>
        <w:rPr>
          <w:sz w:val="20"/>
          <w:szCs w:val="20"/>
          <w:color w:val="auto"/>
        </w:rPr>
      </w:pPr>
    </w:p>
    <w:p>
      <w:pPr>
        <w:sectPr>
          <w:pgSz w:w="11900" w:h="16838" w:orient="portrait"/>
          <w:cols w:equalWidth="0" w:num="3">
            <w:col w:w="4260" w:space="720"/>
            <w:col w:w="2900" w:space="720"/>
            <w:col w:w="2700"/>
          </w:cols>
          <w:pgMar w:left="300" w:top="373" w:right="29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1"/>
          <w:szCs w:val="11"/>
          <w:b w:val="1"/>
          <w:bCs w:val="1"/>
          <w:color w:val="auto"/>
        </w:rPr>
        <w:t>6900 Tavistock Lakes Blvd, Suite 400</w:t>
      </w:r>
    </w:p>
    <w:p>
      <w:pPr>
        <w:spacing w:after="0" w:line="32"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Orlando, Florida</w:t>
      </w:r>
    </w:p>
    <w:p>
      <w:pPr>
        <w:spacing w:after="0" w:line="6"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32827</w:t>
      </w:r>
    </w:p>
    <w:p>
      <w:pPr>
        <w:spacing w:after="0" w:line="21" w:lineRule="exact"/>
        <w:rPr>
          <w:sz w:val="20"/>
          <w:szCs w:val="20"/>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0"/>
          <w:szCs w:val="20"/>
          <w:color w:val="auto"/>
        </w:rPr>
      </w:pPr>
    </w:p>
    <w:p>
      <w:pPr>
        <w:sectPr>
          <w:pgSz w:w="11900" w:h="16838" w:orient="portrait"/>
          <w:cols w:equalWidth="0" w:num="2">
            <w:col w:w="7540" w:space="720"/>
            <w:col w:w="3040"/>
          </w:cols>
          <w:pgMar w:left="300" w:top="373" w:right="299" w:bottom="1440" w:gutter="0" w:footer="0" w:header="0"/>
          <w:type w:val="continuous"/>
        </w:sectPr>
      </w:pPr>
    </w:p>
    <w:p>
      <w:pPr>
        <w:spacing w:after="0" w:line="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(321) 209-6787</w:t>
      </w:r>
    </w:p>
    <w:p>
      <w:pPr>
        <w:spacing w:after="0" w:line="150" w:lineRule="exact"/>
        <w:rPr>
          <w:sz w:val="20"/>
          <w:szCs w:val="20"/>
          <w:color w:val="auto"/>
        </w:rPr>
      </w:pPr>
    </w:p>
    <w:p>
      <w:pPr>
        <w:sectPr>
          <w:pgSz w:w="11900" w:h="16838" w:orient="portrait"/>
          <w:cols w:equalWidth="0" w:num="2">
            <w:col w:w="6480" w:space="60"/>
            <w:col w:w="4760"/>
          </w:cols>
          <w:pgMar w:left="300" w:top="373" w:right="2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137160</wp:posOffset>
            </wp:positionV>
            <wp:extent cx="21488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8840" cy="11430"/>
                    </a:xfrm>
                    <a:prstGeom prst="rect">
                      <a:avLst/>
                    </a:prstGeom>
                    <a:noFill/>
                  </pic:spPr>
                </pic:pic>
              </a:graphicData>
            </a:graphic>
          </wp:anchor>
        </w:drawing>
      </w:r>
    </w:p>
    <w:p>
      <w:pPr>
        <w:sectPr>
          <w:pgSz w:w="11900" w:h="16838" w:orient="portrait"/>
          <w:cols w:equalWidth="0" w:num="1">
            <w:col w:w="11300"/>
          </w:cols>
          <w:pgMar w:left="300" w:top="373" w:right="29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62" w:lineRule="exact"/>
        <w:rPr>
          <w:sz w:val="20"/>
          <w:szCs w:val="20"/>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00" w:hanging="275"/>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ectPr>
          <w:pgSz w:w="11900" w:h="16838" w:orient="portrait"/>
          <w:cols w:equalWidth="0" w:num="1">
            <w:col w:w="11300"/>
          </w:cols>
          <w:pgMar w:left="300" w:top="373" w:right="299" w:bottom="1440" w:gutter="0" w:footer="0" w:header="0"/>
          <w:type w:val="continuous"/>
        </w:sectPr>
      </w:pPr>
    </w:p>
    <w:p>
      <w:pPr>
        <w:spacing w:after="0" w:line="15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17"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1"/>
          <w:szCs w:val="11"/>
          <w:color w:val="auto"/>
        </w:rPr>
        <w:t>Common Stock, par value $0.0001 per share</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2"/>
          <w:szCs w:val="12"/>
          <w:color w:val="auto"/>
        </w:rPr>
        <w:t>Trading Symbol(s)</w:t>
      </w:r>
    </w:p>
    <w:p>
      <w:pPr>
        <w:spacing w:after="0" w:line="1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2"/>
          <w:szCs w:val="12"/>
          <w:color w:val="auto"/>
        </w:rPr>
        <w:t>INV</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color w:val="auto"/>
        </w:rPr>
        <w:t>Name of each exchange on which registered</w:t>
      </w:r>
    </w:p>
    <w:p>
      <w:pPr>
        <w:spacing w:after="0" w:line="2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The Nasdaq Stock Market, LLC</w:t>
      </w:r>
    </w:p>
    <w:p>
      <w:pPr>
        <w:spacing w:after="0" w:line="139" w:lineRule="exact"/>
        <w:rPr>
          <w:sz w:val="20"/>
          <w:szCs w:val="20"/>
          <w:color w:val="auto"/>
        </w:rPr>
      </w:pPr>
    </w:p>
    <w:p>
      <w:pPr>
        <w:sectPr>
          <w:pgSz w:w="11900" w:h="16838" w:orient="portrait"/>
          <w:cols w:equalWidth="0" w:num="3">
            <w:col w:w="4720" w:space="720"/>
            <w:col w:w="1860" w:space="720"/>
            <w:col w:w="3280"/>
          </w:cols>
          <w:pgMar w:left="300" w:top="373" w:right="299" w:bottom="1440" w:gutter="0" w:footer="0" w:header="0"/>
          <w:type w:val="continuous"/>
        </w:sect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0"/>
          <w:szCs w:val="20"/>
          <w:color w:val="auto"/>
        </w:rPr>
      </w:pPr>
    </w:p>
    <w:p>
      <w:pPr>
        <w:ind w:left="9840"/>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0"/>
          <w:szCs w:val="20"/>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183515</wp:posOffset>
            </wp:positionV>
            <wp:extent cx="717804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73" w:right="2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540" w:firstLine="432"/>
        <w:spacing w:after="0" w:line="279" w:lineRule="auto"/>
        <w:rPr>
          <w:sz w:val="20"/>
          <w:szCs w:val="20"/>
          <w:color w:val="auto"/>
        </w:rPr>
      </w:pPr>
      <w:r>
        <w:rPr>
          <w:rFonts w:ascii="Times New Roman" w:cs="Times New Roman" w:eastAsia="Times New Roman" w:hAnsi="Times New Roman"/>
          <w:sz w:val="12"/>
          <w:szCs w:val="12"/>
          <w:color w:val="auto"/>
        </w:rPr>
        <w:t>On March 7, 2025, Innventure, Inc. (the “Company”) made available an updated corporate presentation that may be used by the Company in discussions with certain of its securityholders and other persons. The slide presentation is attached hereto as Exhibit 99.1 and is incorporated herein by reference.</w:t>
      </w:r>
    </w:p>
    <w:p>
      <w:pPr>
        <w:spacing w:after="0" w:line="111" w:lineRule="exact"/>
        <w:rPr>
          <w:sz w:val="20"/>
          <w:szCs w:val="20"/>
          <w:color w:val="auto"/>
        </w:rPr>
      </w:pPr>
    </w:p>
    <w:p>
      <w:pPr>
        <w:ind w:right="120"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the exhibits attached hereto,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240" w:type="dxa"/>
            <w:vAlign w:val="bottom"/>
            <w:gridSpan w:val="3"/>
          </w:tcPr>
          <w:p>
            <w:pPr>
              <w:ind w:left="940"/>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060" w:type="dxa"/>
            <w:vAlign w:val="bottom"/>
          </w:tcPr>
          <w:p>
            <w:pPr>
              <w:ind w:left="42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128"/>
        </w:trPr>
        <w:tc>
          <w:tcPr>
            <w:tcW w:w="1240" w:type="dxa"/>
            <w:vAlign w:val="bottom"/>
          </w:tcPr>
          <w:p>
            <w:pPr>
              <w:spacing w:after="0"/>
              <w:rPr>
                <w:sz w:val="11"/>
                <w:szCs w:val="11"/>
                <w:color w:val="auto"/>
              </w:rPr>
            </w:pPr>
          </w:p>
        </w:tc>
        <w:tc>
          <w:tcPr>
            <w:tcW w:w="220" w:type="dxa"/>
            <w:vAlign w:val="bottom"/>
            <w:tcBorders>
              <w:bottom w:val="single" w:sz="8" w:color="0000EE"/>
            </w:tcBorders>
          </w:tcPr>
          <w:p>
            <w:pPr>
              <w:jc w:val="center"/>
              <w:spacing w:after="0" w:line="128"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780" w:type="dxa"/>
            <w:vAlign w:val="bottom"/>
          </w:tcPr>
          <w:p>
            <w:pPr>
              <w:spacing w:after="0"/>
              <w:rPr>
                <w:sz w:val="11"/>
                <w:szCs w:val="11"/>
                <w:color w:val="auto"/>
              </w:rPr>
            </w:pPr>
          </w:p>
        </w:tc>
        <w:tc>
          <w:tcPr>
            <w:tcW w:w="9060" w:type="dxa"/>
            <w:vAlign w:val="bottom"/>
          </w:tcPr>
          <w:p>
            <w:pPr>
              <w:ind w:left="480"/>
              <w:spacing w:after="0" w:line="128" w:lineRule="exact"/>
              <w:rPr>
                <w:sz w:val="20"/>
                <w:szCs w:val="20"/>
                <w:color w:val="auto"/>
              </w:rPr>
            </w:pPr>
            <w:r>
              <w:rPr>
                <w:rFonts w:ascii="Times New Roman" w:cs="Times New Roman" w:eastAsia="Times New Roman" w:hAnsi="Times New Roman"/>
                <w:sz w:val="12"/>
                <w:szCs w:val="12"/>
                <w:color w:val="auto"/>
              </w:rPr>
              <w:t>Innventure, Inc. presentation to investors</w:t>
            </w:r>
          </w:p>
        </w:tc>
      </w:tr>
      <w:tr>
        <w:trPr>
          <w:trHeight w:val="151"/>
        </w:trPr>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780" w:type="dxa"/>
            <w:vAlign w:val="bottom"/>
          </w:tcPr>
          <w:p>
            <w:pPr>
              <w:spacing w:after="0"/>
              <w:rPr>
                <w:sz w:val="13"/>
                <w:szCs w:val="13"/>
                <w:color w:val="auto"/>
              </w:rPr>
            </w:pPr>
          </w:p>
        </w:tc>
        <w:tc>
          <w:tcPr>
            <w:tcW w:w="90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261"/>
        </w:trPr>
        <w:tc>
          <w:tcPr>
            <w:tcW w:w="1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060" w:type="dxa"/>
            <w:vAlign w:val="bottom"/>
            <w:tcBorders>
              <w:bottom w:val="single" w:sz="8" w:color="auto"/>
            </w:tcBorders>
          </w:tcPr>
          <w:p>
            <w:pPr>
              <w:spacing w:after="0"/>
              <w:rPr>
                <w:sz w:val="22"/>
                <w:szCs w:val="22"/>
                <w:color w:val="auto"/>
              </w:rPr>
            </w:pPr>
          </w:p>
        </w:tc>
      </w:tr>
    </w:tbl>
    <w:p>
      <w:pPr>
        <w:sectPr>
          <w:pgSz w:w="11900" w:h="16838" w:orient="portrait"/>
          <w:cols w:equalWidth="0" w:num="1">
            <w:col w:w="11300"/>
          </w:cols>
          <w:pgMar w:left="300" w:top="125" w:right="299" w:bottom="1440" w:gutter="0" w:footer="0" w:header="0"/>
        </w:sectPr>
      </w:pPr>
    </w:p>
    <w:bookmarkStart w:id="3" w:name="page4"/>
    <w:bookmarkEnd w:id="3"/>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INNVENTURE, INC.</w:t>
      </w:r>
    </w:p>
    <w:p>
      <w:pPr>
        <w:spacing w:after="0" w:line="154" w:lineRule="exact"/>
        <w:rPr>
          <w:sz w:val="20"/>
          <w:szCs w:val="20"/>
          <w:color w:val="auto"/>
        </w:rPr>
      </w:pPr>
    </w:p>
    <w:p>
      <w:pPr>
        <w:spacing w:after="0"/>
        <w:tabs>
          <w:tab w:leader="none" w:pos="5640" w:val="left"/>
          <w:tab w:leader="none" w:pos="5960" w:val="left"/>
        </w:tabs>
        <w:rPr>
          <w:sz w:val="20"/>
          <w:szCs w:val="20"/>
          <w:color w:val="auto"/>
        </w:rPr>
      </w:pPr>
      <w:r>
        <w:rPr>
          <w:rFonts w:ascii="Times New Roman" w:cs="Times New Roman" w:eastAsia="Times New Roman" w:hAnsi="Times New Roman"/>
          <w:sz w:val="12"/>
          <w:szCs w:val="12"/>
          <w:color w:val="auto"/>
        </w:rPr>
        <w:t>Date: March 7, 2025</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16510</wp:posOffset>
            </wp:positionV>
            <wp:extent cx="337185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71850" cy="1143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David Yablunosky</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352425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128905</wp:posOffset>
            </wp:positionV>
            <wp:extent cx="717804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8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4303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0" w:num="1">
            <w:col w:w="10160"/>
          </w:cols>
          <w:pgMar w:left="1440" w:top="278"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91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09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303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03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19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91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976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97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633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633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2025-03-10T05:39:49Z</dcterms:created>
  <dcterms:modified xsi:type="dcterms:W3CDTF">2025-03-10T05:39:49Z</dcterms:modified>
</cp:coreProperties>
</file>