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3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18, 2024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Innventure, Inc.</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sectPr>
      </w:pPr>
    </w:p>
    <w:p>
      <w:pPr>
        <w:spacing w:after="0" w:line="24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001-42303</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93-4440048</w:t>
      </w:r>
    </w:p>
    <w:p>
      <w:pPr>
        <w:spacing w:after="0" w:line="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19" w:lineRule="exact"/>
        <w:rPr>
          <w:sz w:val="24"/>
          <w:szCs w:val="24"/>
          <w:color w:val="auto"/>
        </w:rPr>
      </w:pPr>
    </w:p>
    <w:p>
      <w:pPr>
        <w:sectPr>
          <w:pgSz w:w="11900" w:h="16838" w:orient="portrait"/>
          <w:cols w:equalWidth="0" w:num="3">
            <w:col w:w="4100" w:space="720"/>
            <w:col w:w="2640" w:space="720"/>
            <w:col w:w="3100"/>
          </w:cols>
          <w:pgMar w:left="300" w:top="1009" w:right="31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6900 Tavistock Lakes Blvd, Suite 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Orlando, Florida 32827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(321) 209-6787</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32"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1"/>
        </w:trPr>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5"/>
                <w:szCs w:val="15"/>
                <w:color w:val="auto"/>
              </w:rPr>
            </w:pPr>
          </w:p>
        </w:tc>
        <w:tc>
          <w:tcPr>
            <w:tcW w:w="27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24"/>
        </w:trPr>
        <w:tc>
          <w:tcPr>
            <w:tcW w:w="3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160" w:type="dxa"/>
            <w:vAlign w:val="bottom"/>
          </w:tcPr>
          <w:p>
            <w:pPr>
              <w:spacing w:after="0"/>
              <w:rPr>
                <w:sz w:val="19"/>
                <w:szCs w:val="19"/>
                <w:color w:val="auto"/>
              </w:rPr>
            </w:pPr>
          </w:p>
        </w:tc>
        <w:tc>
          <w:tcPr>
            <w:tcW w:w="28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INV</w:t>
            </w: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an emerging growth company as defined in Rule 12b-2 of the Exchange Act.</w:t>
      </w:r>
    </w:p>
    <w:p>
      <w:pPr>
        <w:spacing w:after="0" w:line="70" w:lineRule="exact"/>
        <w:rPr>
          <w:sz w:val="24"/>
          <w:szCs w:val="24"/>
          <w:color w:val="auto"/>
        </w:rPr>
      </w:pPr>
    </w:p>
    <w:p>
      <w:pPr>
        <w:spacing w:after="0" w:line="161" w:lineRule="exact"/>
        <w:tabs>
          <w:tab w:leader="none" w:pos="1780" w:val="left"/>
        </w:tabs>
        <w:rPr>
          <w:sz w:val="20"/>
          <w:szCs w:val="20"/>
          <w:color w:val="auto"/>
        </w:rPr>
      </w:pPr>
      <w:r>
        <w:rPr>
          <w:rFonts w:ascii="Times New Roman" w:cs="Times New Roman" w:eastAsia="Times New Roman" w:hAnsi="Times New Roman"/>
          <w:sz w:val="14"/>
          <w:szCs w:val="14"/>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 Regulation FD Disclosure</w:t>
      </w:r>
    </w:p>
    <w:p>
      <w:pPr>
        <w:spacing w:after="0" w:line="19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On December 18, 2024, Innventure, Inc. issued a press release, attached hereto as Exhibit 99.1 and incorporated herein by reference, announcing its plan to collaborate with The Dow Chemical Company on a waste-to-value platform and the launch of Refinity, a new majority-owned subsidiary, that intends to commercialize waste-to-value technologies.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r>
        <w:rPr>
          <w:rFonts w:ascii="Times New Roman" w:cs="Times New Roman" w:eastAsia="Times New Roman" w:hAnsi="Times New Roman"/>
          <w:sz w:val="14"/>
          <w:szCs w:val="14"/>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ectPr>
          <w:pgSz w:w="11900" w:h="16838" w:orient="portrait"/>
          <w:cols w:equalWidth="0" w:num="1">
            <w:col w:w="11280"/>
          </w:cols>
          <w:pgMar w:left="300" w:top="893" w:right="319" w:bottom="1440" w:gutter="0" w:footer="0" w:header="0"/>
        </w:sect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Exhibit Number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16"/>
          <w:szCs w:val="16"/>
          <w:b w:val="1"/>
          <w:bCs w:val="1"/>
          <w:color w:val="auto"/>
        </w:rPr>
        <w:t>Description of Exhibit</w:t>
      </w:r>
    </w:p>
    <w:p>
      <w:pPr>
        <w:spacing w:after="0" w:line="55" w:lineRule="exact"/>
        <w:rPr>
          <w:sz w:val="20"/>
          <w:szCs w:val="20"/>
          <w:color w:val="auto"/>
        </w:rPr>
      </w:pPr>
    </w:p>
    <w:p>
      <w:pPr>
        <w:sectPr>
          <w:pgSz w:w="11900" w:h="16838" w:orient="portrait"/>
          <w:cols w:equalWidth="0" w:num="2">
            <w:col w:w="4800" w:space="720"/>
            <w:col w:w="5760"/>
          </w:cols>
          <w:pgMar w:left="300" w:top="893" w:right="319" w:bottom="1440" w:gutter="0" w:footer="0" w:header="0"/>
          <w:type w:val="continuous"/>
        </w:sectPr>
      </w:pPr>
    </w:p>
    <w:p>
      <w:pPr>
        <w:ind w:left="640"/>
        <w:spacing w:after="0"/>
        <w:tabs>
          <w:tab w:leader="none" w:pos="15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color w:val="auto"/>
        </w:rPr>
        <w:t>Press Release by Innventure, Inc. dated December 18, 2024</w:t>
      </w:r>
    </w:p>
    <w:p>
      <w:pPr>
        <w:sectPr>
          <w:pgSz w:w="11900" w:h="16838" w:orient="portrait"/>
          <w:cols w:equalWidth="0" w:num="1">
            <w:col w:w="11280"/>
          </w:cols>
          <w:pgMar w:left="300" w:top="893" w:right="319" w:bottom="1440" w:gutter="0" w:footer="0" w:header="0"/>
          <w:type w:val="continuous"/>
        </w:sectPr>
      </w:pPr>
    </w:p>
    <w:p>
      <w:pPr>
        <w:spacing w:after="0" w:line="47" w:lineRule="exact"/>
        <w:rPr>
          <w:sz w:val="20"/>
          <w:szCs w:val="20"/>
          <w:color w:val="auto"/>
        </w:rPr>
      </w:pPr>
    </w:p>
    <w:p>
      <w:pPr>
        <w:ind w:left="1580" w:hanging="912"/>
        <w:spacing w:after="0"/>
        <w:tabs>
          <w:tab w:leader="none" w:pos="15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1143635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b w:val="1"/>
          <w:bCs w:val="1"/>
          <w:color w:val="auto"/>
        </w:rPr>
        <w:t>INNVENTURE, INC.</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40" w:type="dxa"/>
            <w:vAlign w:val="bottom"/>
          </w:tcPr>
          <w:p>
            <w:pPr>
              <w:spacing w:after="0"/>
              <w:rPr>
                <w:sz w:val="20"/>
                <w:szCs w:val="20"/>
                <w:color w:val="auto"/>
              </w:rPr>
            </w:pPr>
            <w:r>
              <w:rPr>
                <w:rFonts w:ascii="Calibri" w:cs="Calibri" w:eastAsia="Calibri" w:hAnsi="Calibri"/>
                <w:sz w:val="16"/>
                <w:szCs w:val="16"/>
                <w:color w:val="auto"/>
              </w:rPr>
              <w:t>Date: December 18, 2024</w:t>
            </w:r>
          </w:p>
        </w:tc>
        <w:tc>
          <w:tcPr>
            <w:tcW w:w="294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David Yablunosky</w:t>
            </w:r>
          </w:p>
        </w:tc>
        <w:tc>
          <w:tcPr>
            <w:tcW w:w="0" w:type="dxa"/>
            <w:vAlign w:val="bottom"/>
          </w:tcPr>
          <w:p>
            <w:pPr>
              <w:spacing w:after="0"/>
              <w:rPr>
                <w:sz w:val="1"/>
                <w:szCs w:val="1"/>
                <w:color w:val="auto"/>
              </w:rPr>
            </w:pPr>
          </w:p>
        </w:tc>
      </w:tr>
      <w:tr>
        <w:trPr>
          <w:trHeight w:val="32"/>
        </w:trPr>
        <w:tc>
          <w:tcPr>
            <w:tcW w:w="3840" w:type="dxa"/>
            <w:vAlign w:val="bottom"/>
          </w:tcPr>
          <w:p>
            <w:pPr>
              <w:spacing w:after="0"/>
              <w:rPr>
                <w:sz w:val="2"/>
                <w:szCs w:val="2"/>
                <w:color w:val="auto"/>
              </w:rPr>
            </w:pPr>
          </w:p>
        </w:tc>
        <w:tc>
          <w:tcPr>
            <w:tcW w:w="294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color w:val="auto"/>
              </w:rPr>
              <w:t>Name:</w:t>
            </w: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4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Yablunosky</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88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2024-12-18T08:13:22Z</dcterms:created>
  <dcterms:modified xsi:type="dcterms:W3CDTF">2024-12-18T08:13:22Z</dcterms:modified>
</cp:coreProperties>
</file>