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1657350</wp:posOffset>
                </wp:positionH>
                <wp:positionV relativeFrom="page">
                  <wp:posOffset>0</wp:posOffset>
                </wp:positionV>
                <wp:extent cx="5372100" cy="2131060"/>
                <wp:effectExtent l="0" t="0" r="0" b="0"/>
                <wp:wrapNone/>
                <wp:docPr id="1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131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67.8pt;mso-wrap-distance-left:0pt;mso-wrap-distance-right:0pt;mso-wrap-distance-top:0pt;mso-wrap-distance-bottom:0pt;margin-top:0pt;mso-position-vertical-relative:page;margin-left:130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5126990</wp:posOffset>
                </wp:positionH>
                <wp:positionV relativeFrom="page">
                  <wp:posOffset>-31115</wp:posOffset>
                </wp:positionV>
                <wp:extent cx="64135" cy="190500"/>
                <wp:effectExtent l="0" t="0" r="0" b="0"/>
                <wp:wrapNone/>
                <wp:docPr id="2" name="Frame3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3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  <w:t>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05pt;height:15pt;mso-wrap-distance-left:0pt;mso-wrap-distance-right:0pt;mso-wrap-distance-top:0pt;mso-wrap-distance-bottom:0pt;margin-top:-2.45pt;mso-position-vertical-relative:page;margin-left:403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  <w:t>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1200150</wp:posOffset>
                </wp:positionH>
                <wp:positionV relativeFrom="page">
                  <wp:posOffset>0</wp:posOffset>
                </wp:positionV>
                <wp:extent cx="5372100" cy="2375535"/>
                <wp:effectExtent l="0" t="0" r="0" b="0"/>
                <wp:wrapNone/>
                <wp:docPr id="3" name="Frame2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3755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7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87.05pt;mso-wrap-distance-left:0pt;mso-wrap-distance-right:0pt;mso-wrap-distance-top:0pt;mso-wrap-distance-bottom:0pt;margin-top:0pt;mso-position-vertical-relative:page;margin-left:94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7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403985"/>
                <wp:effectExtent l="0" t="0" r="0" b="0"/>
                <wp:wrapNone/>
                <wp:docPr id="4" name="Frame2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039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4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4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0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4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4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143760"/>
                <wp:effectExtent l="0" t="0" r="0" b="0"/>
                <wp:wrapNone/>
                <wp:docPr id="5" name="Frame2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1437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913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68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913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877185"/>
                <wp:effectExtent l="0" t="0" r="0" b="0"/>
                <wp:wrapNone/>
                <wp:docPr id="6" name="Frame2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771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26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877185"/>
                <wp:effectExtent l="0" t="0" r="0" b="0"/>
                <wp:wrapNone/>
                <wp:docPr id="7" name="Frame2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771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26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8" name="Frame2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9" name="Frame2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950085"/>
                <wp:effectExtent l="0" t="0" r="0" b="0"/>
                <wp:wrapNone/>
                <wp:docPr id="10" name="Frame2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9500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53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6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911985"/>
                <wp:effectExtent l="0" t="0" r="0" b="0"/>
                <wp:wrapNone/>
                <wp:docPr id="11" name="Frame1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9119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50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6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131060"/>
                <wp:effectExtent l="0" t="0" r="0" b="0"/>
                <wp:wrapNone/>
                <wp:docPr id="12" name="Frame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131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67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131060"/>
                <wp:effectExtent l="0" t="0" r="0" b="0"/>
                <wp:wrapNone/>
                <wp:docPr id="13" name="Frame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131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67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67450" cy="2131060"/>
                <wp:effectExtent l="0" t="0" r="0" b="0"/>
                <wp:wrapNone/>
                <wp:docPr id="14" name="Frame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2131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3.5pt;height:167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899285"/>
                <wp:effectExtent l="0" t="0" r="0" b="0"/>
                <wp:wrapNone/>
                <wp:docPr id="15" name="Frame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8992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02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2" w:type="dxa"/>
                                  <w:gridSpan w:val="18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49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02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2" w:type="dxa"/>
                            <w:gridSpan w:val="18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410335"/>
                <wp:effectExtent l="0" t="0" r="0" b="0"/>
                <wp:wrapNone/>
                <wp:docPr id="16" name="Frame3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1.0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6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1657350</wp:posOffset>
                </wp:positionH>
                <wp:positionV relativeFrom="page">
                  <wp:posOffset>0</wp:posOffset>
                </wp:positionV>
                <wp:extent cx="5372100" cy="2620010"/>
                <wp:effectExtent l="0" t="0" r="0" b="0"/>
                <wp:wrapNone/>
                <wp:docPr id="17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6200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206.3pt;mso-wrap-distance-left:0pt;mso-wrap-distance-right:0pt;mso-wrap-distance-top:0pt;mso-wrap-distance-bottom:0pt;margin-top:0pt;mso-position-vertical-relative:page;margin-left:130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8731885"/>
                <wp:effectExtent l="0" t="0" r="0" b="0"/>
                <wp:wrapNone/>
                <wp:docPr id="18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7318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87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0692130"/>
                <wp:effectExtent l="0" t="0" r="0" b="0"/>
                <wp:wrapNone/>
                <wp:docPr id="19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841.9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4171950</wp:posOffset>
                </wp:positionH>
                <wp:positionV relativeFrom="page">
                  <wp:posOffset>2714625</wp:posOffset>
                </wp:positionV>
                <wp:extent cx="1171575" cy="381635"/>
                <wp:effectExtent l="0" t="0" r="0" b="0"/>
                <wp:wrapNone/>
                <wp:docPr id="20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3816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171575" cy="381635"/>
                                  <wp:effectExtent l="0" t="0" r="0" b="0"/>
                                  <wp:docPr id="21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381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30.05pt;mso-wrap-distance-left:0pt;mso-wrap-distance-right:0pt;mso-wrap-distance-top:0pt;mso-wrap-distance-bottom:0pt;margin-top:213.7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171575" cy="381635"/>
                            <wp:effectExtent l="0" t="0" r="0" b="0"/>
                            <wp:docPr id="22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381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153160"/>
                <wp:effectExtent l="0" t="0" r="0" b="0"/>
                <wp:wrapNone/>
                <wp:docPr id="23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531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0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908685"/>
                <wp:effectExtent l="0" t="0" r="0" b="0"/>
                <wp:wrapNone/>
                <wp:docPr id="24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08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71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981200"/>
                <wp:effectExtent l="0" t="0" r="0" b="0"/>
                <wp:wrapNone/>
                <wp:docPr id="25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981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56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4143375</wp:posOffset>
                </wp:positionH>
                <wp:positionV relativeFrom="page">
                  <wp:posOffset>5537200</wp:posOffset>
                </wp:positionV>
                <wp:extent cx="990600" cy="306070"/>
                <wp:effectExtent l="0" t="0" r="0" b="0"/>
                <wp:wrapNone/>
                <wp:docPr id="26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060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990600" cy="306070"/>
                                  <wp:effectExtent l="0" t="0" r="0" b="0"/>
                                  <wp:docPr id="27" name="Image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Image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0600" cy="3060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24.1pt;mso-wrap-distance-left:0pt;mso-wrap-distance-right:0pt;mso-wrap-distance-top:0pt;mso-wrap-distance-bottom:0pt;margin-top:436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990600" cy="306070"/>
                            <wp:effectExtent l="0" t="0" r="0" b="0"/>
                            <wp:docPr id="28" name="Image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Image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0600" cy="3060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153160"/>
                <wp:effectExtent l="0" t="0" r="0" b="0"/>
                <wp:wrapNone/>
                <wp:docPr id="29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531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0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684530"/>
                <wp:effectExtent l="0" t="0" r="0" b="0"/>
                <wp:wrapNone/>
                <wp:docPr id="30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doub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53.9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doub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397635"/>
                <wp:effectExtent l="0" t="0" r="0" b="0"/>
                <wp:wrapNone/>
                <wp:docPr id="31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976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0.0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886585"/>
                <wp:effectExtent l="0" t="0" r="0" b="0"/>
                <wp:wrapNone/>
                <wp:docPr id="32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48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664210"/>
                <wp:effectExtent l="0" t="0" r="0" b="0"/>
                <wp:wrapNone/>
                <wp:docPr id="33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664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9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52.3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49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684530"/>
                <wp:effectExtent l="0" t="0" r="0" b="0"/>
                <wp:wrapNone/>
                <wp:docPr id="34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doub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53.9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doub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5077460"/>
                <wp:effectExtent l="0" t="0" r="0" b="0"/>
                <wp:wrapNone/>
                <wp:docPr id="35" name="Frame3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50774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399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6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742950</wp:posOffset>
                </wp:positionH>
                <wp:positionV relativeFrom="page">
                  <wp:posOffset>850900</wp:posOffset>
                </wp:positionV>
                <wp:extent cx="6286500" cy="8105140"/>
                <wp:effectExtent l="0" t="0" r="0" b="0"/>
                <wp:wrapNone/>
                <wp:docPr id="36" name="Frame3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1051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6286500" cy="8105140"/>
                                  <wp:effectExtent l="0" t="0" r="0" b="0"/>
                                  <wp:docPr id="37" name="Image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" name="Image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0" cy="81051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38.2pt;mso-wrap-distance-left:0pt;mso-wrap-distance-right:0pt;mso-wrap-distance-top:0pt;mso-wrap-distance-bottom:0pt;margin-top:67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6286500" cy="8105140"/>
                            <wp:effectExtent l="0" t="0" r="0" b="0"/>
                            <wp:docPr id="38" name="Image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Image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0" cy="81051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4200525</wp:posOffset>
                </wp:positionH>
                <wp:positionV relativeFrom="page">
                  <wp:posOffset>6108700</wp:posOffset>
                </wp:positionV>
                <wp:extent cx="1095375" cy="356870"/>
                <wp:effectExtent l="0" t="0" r="0" b="0"/>
                <wp:wrapNone/>
                <wp:docPr id="39" name="Frame3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3568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95375" cy="356870"/>
                                  <wp:effectExtent l="0" t="0" r="0" b="0"/>
                                  <wp:docPr id="40" name="Image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Image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5375" cy="3568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28.1pt;mso-wrap-distance-left:0pt;mso-wrap-distance-right:0pt;mso-wrap-distance-top:0pt;mso-wrap-distance-bottom:0pt;margin-top:481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95375" cy="356870"/>
                            <wp:effectExtent l="0" t="0" r="0" b="0"/>
                            <wp:docPr id="41" name="Image3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" name="Image3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5375" cy="3568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153160"/>
                <wp:effectExtent l="0" t="0" r="0" b="0"/>
                <wp:wrapNone/>
                <wp:docPr id="42" name="Frame3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531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0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742950</wp:posOffset>
                </wp:positionH>
                <wp:positionV relativeFrom="page">
                  <wp:posOffset>-21590</wp:posOffset>
                </wp:positionV>
                <wp:extent cx="67310" cy="133350"/>
                <wp:effectExtent l="0" t="0" r="0" b="0"/>
                <wp:wrapNone/>
                <wp:docPr id="43" name="Frame3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  <w:t>(3)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3pt;height:10.5pt;mso-wrap-distance-left:0pt;mso-wrap-distance-right:0pt;mso-wrap-distance-top:0pt;mso-wrap-distance-bottom:0pt;margin-top:-1.7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  <w:t>(3)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742950</wp:posOffset>
                </wp:positionH>
                <wp:positionV relativeFrom="page">
                  <wp:posOffset>-21590</wp:posOffset>
                </wp:positionV>
                <wp:extent cx="67310" cy="133350"/>
                <wp:effectExtent l="0" t="0" r="0" b="0"/>
                <wp:wrapNone/>
                <wp:docPr id="44" name="Frame3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3pt;height:10.5pt;mso-wrap-distance-left:0pt;mso-wrap-distance-right:0pt;mso-wrap-distance-top:0pt;mso-wrap-distance-bottom:0pt;margin-top:-1.7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742950</wp:posOffset>
                </wp:positionH>
                <wp:positionV relativeFrom="page">
                  <wp:posOffset>-21590</wp:posOffset>
                </wp:positionV>
                <wp:extent cx="67310" cy="133350"/>
                <wp:effectExtent l="0" t="0" r="0" b="0"/>
                <wp:wrapNone/>
                <wp:docPr id="45" name="Frame3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3pt;height:10.5pt;mso-wrap-distance-left:0pt;mso-wrap-distance-right:0pt;mso-wrap-distance-top:0pt;mso-wrap-distance-bottom:0pt;margin-top:-1.7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410335"/>
                <wp:effectExtent l="0" t="0" r="0" b="0"/>
                <wp:wrapNone/>
                <wp:docPr id="46" name="Frame3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23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1.0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823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47" name="Frame3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48" name="Frame3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(6)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(6)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49" name="Frame3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(5)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(5)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0" name="Frame3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(4)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(4)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1" name="Frame3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(3)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(3)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2" name="Frame3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3" name="Frame3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742950</wp:posOffset>
                </wp:positionH>
                <wp:positionV relativeFrom="page">
                  <wp:posOffset>571500</wp:posOffset>
                </wp:positionV>
                <wp:extent cx="6286500" cy="8135620"/>
                <wp:effectExtent l="0" t="0" r="0" b="0"/>
                <wp:wrapNone/>
                <wp:docPr id="54" name="Frame3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1356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6286500" cy="8135620"/>
                                  <wp:effectExtent l="0" t="0" r="0" b="0"/>
                                  <wp:docPr id="55" name="Image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" name="Image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0" cy="8135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40.6pt;mso-wrap-distance-left:0pt;mso-wrap-distance-right:0pt;mso-wrap-distance-top:0pt;mso-wrap-distance-bottom:0pt;margin-top:4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6286500" cy="8135620"/>
                            <wp:effectExtent l="0" t="0" r="0" b="0"/>
                            <wp:docPr id="56" name="Image5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" name="Image5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0" cy="8135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7" name="Frame3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8" name="Frame3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899285"/>
                <wp:effectExtent l="0" t="0" r="0" b="0"/>
                <wp:wrapNone/>
                <wp:docPr id="59" name="Frame3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8992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4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49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04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0" name="Frame3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(8)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(8)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1" name="Frame3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2" name="Frame3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(6)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(6)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3" name="Frame3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(5)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(5)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4" name="Frame3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(4)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(4)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5" name="Frame3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(3)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(3)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6" name="Frame3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7" name="Frame3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3867785"/>
                <wp:effectExtent l="0" t="0" r="0" b="0"/>
                <wp:wrapNone/>
                <wp:docPr id="68" name="Frame3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8677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02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72" w:type="dxa"/>
                                  <w:gridSpan w:val="8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gridSpan w:val="5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3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304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02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72" w:type="dxa"/>
                            <w:gridSpan w:val="8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90" w:type="dxa"/>
                            <w:gridSpan w:val="5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3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906905"/>
                <wp:effectExtent l="0" t="0" r="0" b="0"/>
                <wp:wrapNone/>
                <wp:docPr id="69" name="Frame3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90690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25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50.1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25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Filed pursuant to Rule 424(b)(3)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Registration No. 333-282971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Prospectus Supplement No. 1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(To Prospectus dated April 23, 2025)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36"/>
          <w:shd w:fill="E4E4E4" w:val="clear"/>
        </w:rPr>
        <w:t>INNVENTURE,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The date of this prospectus supplement is May 9, 2025.</w: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6855460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72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reference thereto, except to the extent that the information in this prospectus supplement updates or supersedes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reference thereto, except to the extent that the information in this prospectus supplement updates or supersedes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74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information contained in the Prospectus. Please keep this prospectus supplement with your Prospectus for future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information contained in the Prospectus. Please keep this prospectus supplement with your Prospectus for future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3555" cy="293370"/>
                <wp:effectExtent l="0" t="0" r="0" b="0"/>
                <wp:wrapNone/>
                <wp:docPr id="76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reference.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reference.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77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our common stock, par value $0.0001 per share (our “Common Stock”), are listed on The Nasdaq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our common stock, par value $0.0001 per share (our “Common Stock”), are listed on The Nasdaq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060" cy="146685"/>
                <wp:effectExtent l="0" t="0" r="0" b="0"/>
                <wp:wrapNone/>
                <wp:docPr id="79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0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Market, LLC under the symbol “INV.” On May 8, 2025, the closing price of our Common Stock was $4.14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Market, LLC under the symbol “INV.” On May 8, 2025, the closing price of our Common Stock was $4.14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80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conjunction with the Prospectus, which is to be delivered with this prospectus supplement, and is qualified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conjunction with the Prospectus, which is to be delivered with this prospectus supplement, and is qualified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99720" cy="293370"/>
                <wp:effectExtent l="0" t="0" r="0" b="0"/>
                <wp:wrapNone/>
                <wp:docPr id="81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31290" cy="146685"/>
                <wp:effectExtent l="0" t="0" r="0" b="0"/>
                <wp:wrapNone/>
                <wp:docPr id="82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29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Investing in our securities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7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Investing in our securities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2345690</wp:posOffset>
                </wp:positionH>
                <wp:positionV relativeFrom="line">
                  <wp:posOffset>635</wp:posOffset>
                </wp:positionV>
                <wp:extent cx="2301875" cy="293370"/>
                <wp:effectExtent l="0" t="0" r="0" b="0"/>
                <wp:wrapNone/>
                <wp:docPr id="83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8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involves risks that are described in the “Ri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1.25pt;height:23.1pt;mso-wrap-distance-left:0pt;mso-wrap-distance-right:0pt;mso-wrap-distance-top:0pt;mso-wrap-distance-bottom:0pt;margin-top:0pt;mso-position-vertical:top;mso-position-vertical-relative:text;margin-left:18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involves risks that are described in the “Ri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4646930</wp:posOffset>
                </wp:positionH>
                <wp:positionV relativeFrom="line">
                  <wp:posOffset>635</wp:posOffset>
                </wp:positionV>
                <wp:extent cx="2023110" cy="293370"/>
                <wp:effectExtent l="0" t="0" r="0" b="0"/>
                <wp:wrapNone/>
                <wp:docPr id="84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31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sk Factors” section of the Prospectus.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.3pt;height:23.1pt;mso-wrap-distance-left:0pt;mso-wrap-distance-right:0pt;mso-wrap-distance-top:0pt;mso-wrap-distance-bottom:0pt;margin-top:0pt;mso-position-vertical:top;mso-position-vertical-relative:text;margin-left:36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sk Factors” section of the Prospectus.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85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Neither the SEC nor any state securities commission has approved or disapproved of the securities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Neither the SEC nor any state securities commission has approved or disapproved of the securities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87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issued under the Prospectus or this prospectus supplement or determined if the Prospectus or this prospectus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issued under the Prospectus or this prospectus supplement or determined if the Prospectus or this prospectus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973320" cy="293370"/>
                <wp:effectExtent l="0" t="0" r="0" b="0"/>
                <wp:wrapNone/>
                <wp:docPr id="89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3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supplement is truthful or complete. Any representation to the contrary is a criminal offense.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supplement is truthful or complete. Any representation to the contrary is a criminal offense.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75260"/>
                <wp:effectExtent l="0" t="0" r="0" b="0"/>
                <wp:wrapNone/>
                <wp:docPr id="92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Prospectus”), which forms a part of the Post-Effective Amendment to the Registration Statement on Form S-1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Prospectus”), which forms a part of the Post-Effective Amendment to the Registration Statement on Form S-1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566035" cy="146685"/>
                <wp:effectExtent l="0" t="0" r="0" b="0"/>
                <wp:wrapNone/>
                <wp:docPr id="94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60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(Registration No. 333-282971) and is being filed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0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(Registration No. 333-282971) and is being filed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3480435</wp:posOffset>
                </wp:positionH>
                <wp:positionV relativeFrom="line">
                  <wp:posOffset>635</wp:posOffset>
                </wp:positionV>
                <wp:extent cx="3377565" cy="146685"/>
                <wp:effectExtent l="0" t="0" r="0" b="0"/>
                <wp:wrapNone/>
                <wp:docPr id="95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7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update, amend and supplement the information included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5.95pt;height:11.55pt;mso-wrap-distance-left:0pt;mso-wrap-distance-right:0pt;mso-wrap-distance-top:0pt;mso-wrap-distance-bottom:0pt;margin-top:0pt;mso-position-vertical:top;mso-position-vertical-relative:text;margin-left:274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update, amend and supplement the information included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6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341880" cy="146685"/>
                <wp:effectExtent l="0" t="0" r="0" b="0"/>
                <wp:wrapNone/>
                <wp:docPr id="97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18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Prospectus with information contained in our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4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Prospectus with information contained in our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3256280</wp:posOffset>
                </wp:positionH>
                <wp:positionV relativeFrom="line">
                  <wp:posOffset>635</wp:posOffset>
                </wp:positionV>
                <wp:extent cx="2307590" cy="146685"/>
                <wp:effectExtent l="0" t="0" r="0" b="0"/>
                <wp:wrapNone/>
                <wp:docPr id="98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759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Definitive Proxy Statement on Schedule 14A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1.7pt;height:11.55pt;mso-wrap-distance-left:0pt;mso-wrap-distance-right:0pt;mso-wrap-distance-top:0pt;mso-wrap-distance-bottom:0pt;margin-top:0pt;mso-position-vertical:top;mso-position-vertical-relative:text;margin-left:256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Definitive Proxy Statement on Schedule 14A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5563870</wp:posOffset>
                </wp:positionH>
                <wp:positionV relativeFrom="line">
                  <wp:posOffset>635</wp:posOffset>
                </wp:positionV>
                <wp:extent cx="1292225" cy="146685"/>
                <wp:effectExtent l="0" t="0" r="0" b="0"/>
                <wp:wrapNone/>
                <wp:docPr id="99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2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was filed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1.75pt;height:11.55pt;mso-wrap-distance-left:0pt;mso-wrap-distance-right:0pt;mso-wrap-distance-top:0pt;mso-wrap-distance-bottom:0pt;margin-top:0pt;mso-position-vertical:top;mso-position-vertical-relative:text;margin-left:438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was filed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00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prospectus supplement updates, amends and supplements the prospectus dated April 23, 2025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prospectus supplement updates, amends and supplements the prospectus dated April 23, 2025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01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 on May 9, 2025 (the “Definitive Proxy Statement”). Accordingly, we have attached the Definitive Proxy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 on May 9, 2025 (the “Definitive Proxy Statement”). Accordingly, we have attached the Definitive Proxy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2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135505" cy="146685"/>
                <wp:effectExtent l="0" t="0" r="0" b="0"/>
                <wp:wrapNone/>
                <wp:docPr id="103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55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 to this prospectus supplement.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8.1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 to this prospectus supplement.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3049905</wp:posOffset>
                </wp:positionH>
                <wp:positionV relativeFrom="line">
                  <wp:posOffset>635</wp:posOffset>
                </wp:positionV>
                <wp:extent cx="3807460" cy="146685"/>
                <wp:effectExtent l="0" t="0" r="0" b="0"/>
                <wp:wrapNone/>
                <wp:docPr id="104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74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Capitalized terms used in this prospectus supplement and not otherwise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9.8pt;height:11.55pt;mso-wrap-distance-left:0pt;mso-wrap-distance-right:0pt;mso-wrap-distance-top:0pt;mso-wrap-distance-bottom:0pt;margin-top:0pt;mso-position-vertical:top;mso-position-vertical-relative:text;margin-left:240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Capitalized terms used in this prospectus supplement and not otherwise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125470" cy="293370"/>
                <wp:effectExtent l="0" t="0" r="0" b="0"/>
                <wp:wrapNone/>
                <wp:docPr id="106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54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defined herein have the meanings specified in the Prospectus.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defined herein have the meanings specified in the Prospectus.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07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prospectus supplement is not complete without the Prospectus. This prospectus supplement should be read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prospectus supplement is not complete without the Prospectus. This prospectus supplement should be read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17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  <w:t>UNITED STATES</w:t>
      </w:r>
    </w:p>
    <w:p>
      <w:pPr>
        <w:pStyle w:val="TextBody"/>
        <w:bidi w:val="0"/>
        <w:spacing w:lineRule="atLeast" w:line="217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  <w:t>SECURITIES AND EXCHANGE COMMISSION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______________________________</w:t>
      </w:r>
    </w:p>
    <w:p>
      <w:pPr>
        <w:pStyle w:val="TextBody"/>
        <w:bidi w:val="0"/>
        <w:spacing w:lineRule="atLeast" w:line="217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  <w:t>SCHEDULE 14A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______________________________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(Rule 14a-101)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INFORMATION REQUIRED IN PROXY STATEMENT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SCHEDULE 14A INFORMATION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Proxy Statement Pursuant to Section 14(a) of the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Securities Exchange Act of 1934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______________________________</w:t>
      </w:r>
    </w:p>
    <w:p>
      <w:pPr>
        <w:pStyle w:val="TextBody"/>
        <w:bidi w:val="0"/>
        <w:spacing w:lineRule="atLeast" w:line="298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4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44"/>
          <w:u w:val="none"/>
          <w:effect w:val="none"/>
          <w:shd w:fill="E4E4E4" w:val="clear"/>
        </w:rPr>
        <w:t>INNVENTURE,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(Name of Registrant as Specified In Its Charter)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(Name of Person(s) Filing Proxy Statement, if other than the Registrant)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______________________________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MESSAGE FROM THE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NOTICE OF 2025 ANNUAL GENERAL MEETING</w: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9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1696720</wp:posOffset>
                </wp:positionH>
                <wp:positionV relativeFrom="line">
                  <wp:posOffset>635</wp:posOffset>
                </wp:positionV>
                <wp:extent cx="5332730" cy="146685"/>
                <wp:effectExtent l="0" t="0" r="0" b="0"/>
                <wp:wrapNone/>
                <wp:docPr id="110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27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ratification of the appointment of BDO USA, P.C. as our independent registered public 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9pt;height:11.55pt;mso-wrap-distance-left:0pt;mso-wrap-distance-right:0pt;mso-wrap-distance-top:0pt;mso-wrap-distance-bottom:0pt;margin-top:0pt;mso-position-vertical:top;mso-position-vertical-relative:text;margin-left:13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ratification of the appointment of BDO USA, P.C. as our independent registered public 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583180" cy="293370"/>
                <wp:effectExtent l="0" t="0" r="0" b="0"/>
                <wp:wrapNone/>
                <wp:docPr id="112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firm for the fiscal year ending December 31, 2025;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3.4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firm for the fiscal year ending December 31, 2025;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13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14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1696720</wp:posOffset>
                </wp:positionH>
                <wp:positionV relativeFrom="line">
                  <wp:posOffset>635</wp:posOffset>
                </wp:positionV>
                <wp:extent cx="5331460" cy="146685"/>
                <wp:effectExtent l="0" t="0" r="0" b="0"/>
                <wp:wrapNone/>
                <wp:docPr id="115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14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issuance of 20% or more of the Company’s issued and outstanding Common Stock (as defined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8pt;height:11.55pt;mso-wrap-distance-left:0pt;mso-wrap-distance-right:0pt;mso-wrap-distance-top:0pt;mso-wrap-distance-bottom:0pt;margin-top:0pt;mso-position-vertical:top;mso-position-vertical-relative:text;margin-left:13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issuance of 20% or more of the Company’s issued and outstanding Common Stock (as defined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117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below) as of October 2, 2024, pursuant to the Standby Equity Purchase Agreement (“SEPA”) with YA II PN,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below) as of October 2, 2024, pursuant to the Standby Equity Purchase Agreement (“SEPA”) with YA II PN,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243965" cy="293370"/>
                <wp:effectExtent l="0" t="0" r="0" b="0"/>
                <wp:wrapNone/>
                <wp:docPr id="119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9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LTD. (“Yorkville”);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9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LTD. (“Yorkville”);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20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21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1696720</wp:posOffset>
                </wp:positionH>
                <wp:positionV relativeFrom="line">
                  <wp:posOffset>635</wp:posOffset>
                </wp:positionV>
                <wp:extent cx="5331460" cy="146685"/>
                <wp:effectExtent l="0" t="0" r="0" b="0"/>
                <wp:wrapNone/>
                <wp:docPr id="122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14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issuance of 20% or more of the Company’s issued and outstanding Common Stock as of March 25,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8pt;height:11.55pt;mso-wrap-distance-left:0pt;mso-wrap-distance-right:0pt;mso-wrap-distance-top:0pt;mso-wrap-distance-bottom:0pt;margin-top:0pt;mso-position-vertical:top;mso-position-vertical-relative:text;margin-left:13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issuance of 20% or more of the Company’s issued and outstanding Common Stock as of March 25,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3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944745" cy="293370"/>
                <wp:effectExtent l="0" t="0" r="0" b="0"/>
                <wp:wrapNone/>
                <wp:docPr id="124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2025, pursuant to the Convertible Debentures (as defined in the Proxy Statement) with Yorkville.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9.3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2025, pursuant to the Convertible Debentures (as defined in the Proxy Statement) with Yorkville.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25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Please refer to the accompanying Proxy Statement for detailed information on each of the proposals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Please refer to the accompanying Proxy Statement for detailed information on each of the proposals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7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Meeting. On behalf of the Board of Directors, executives and all Innventure team members, we appreciate your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Meeting. On behalf of the Board of Directors, executives and all Innventure team members, we appreciate your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63700" cy="293370"/>
                <wp:effectExtent l="0" t="0" r="0" b="0"/>
                <wp:wrapNone/>
                <wp:docPr id="129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7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continued support of Innventure.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continued support of Innventure.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31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pleased to invite you to join us at the 2025 Annual Meeting of stockholders (the “Annual Meeting”)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pleased to invite you to join us at the 2025 Annual Meeting of stockholders (the “Annual Meeting”)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3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Innventure, Inc. (the “Company”, “we”, “our”, or “Innventure”) to be held on Wednesday, June 25th at 9:00 a.m. Eastern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Innventure, Inc. (the “Company”, “we”, “our”, or “Innventure”) to be held on Wednesday, June 25th at 9:00 a.m. Eastern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35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Time by means of a virtual conference.  We value your voice and believe it is important that your shares are represented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Time by means of a virtual conference.  We value your voice and believe it is important that your shares are represented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48020" cy="293370"/>
                <wp:effectExtent l="0" t="0" r="0" b="0"/>
                <wp:wrapNone/>
                <wp:docPr id="137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8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Annual Meeting.  We urge you to cast your vote as soon as possible by telephone, via the Internet or by mail.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2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Annual Meeting.  We urge you to cast your vote as soon as possible by telephone, via the Internet or by mail.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38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notice of the Annual Meeting (the “Notice of Availability” or “Notice”) and proxy statement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notice of the Annual Meeting (the “Notice of Availability” or “Notice”) and proxy statement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75260"/>
                <wp:effectExtent l="0" t="0" r="0" b="0"/>
                <wp:wrapNone/>
                <wp:docPr id="140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Proxy Statement” or “Proxy”) describe the various matters that will be voted on.  During the meeting, we will also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Proxy Statement” or “Proxy”) describe the various matters that will be voted on.  During the meeting, we will also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938655" cy="293370"/>
                <wp:effectExtent l="0" t="0" r="0" b="0"/>
                <wp:wrapNone/>
                <wp:docPr id="141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6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Dear Fellow Innventure Stockholders,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Dear Fellow Innventure Stockholders,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91560" cy="293370"/>
                <wp:effectExtent l="0" t="0" r="0" b="0"/>
                <wp:wrapNone/>
                <wp:docPr id="142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15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provide a corporate update and open the floor for you to ask questions.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2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provide a corporate update and open the floor for you to ask questions.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067300" cy="293370"/>
                <wp:effectExtent l="0" t="0" r="0" b="0"/>
                <wp:wrapNone/>
                <wp:docPr id="143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3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Company’s board of directors (the “Board of Directors” or “Board”) recommend that you vote: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Company’s board of directors (the “Board of Directors” or “Board”) recommend that you vote: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44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45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1696720</wp:posOffset>
                </wp:positionH>
                <wp:positionV relativeFrom="line">
                  <wp:posOffset>635</wp:posOffset>
                </wp:positionV>
                <wp:extent cx="5331460" cy="146685"/>
                <wp:effectExtent l="0" t="0" r="0" b="0"/>
                <wp:wrapNone/>
                <wp:docPr id="146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14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election of the three nominees to serve as Class I directors on our Board of Directors, each for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8pt;height:11.55pt;mso-wrap-distance-left:0pt;mso-wrap-distance-right:0pt;mso-wrap-distance-top:0pt;mso-wrap-distance-bottom:0pt;margin-top:0pt;mso-position-vertical:top;mso-position-vertical-relative:text;margin-left:13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election of the three nominees to serve as Class I directors on our Board of Directors, each for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474085" cy="293370"/>
                <wp:effectExtent l="0" t="0" r="0" b="0"/>
                <wp:wrapNone/>
                <wp:docPr id="148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40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three year term expiring at the 2028 annual meeting of stockholders;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3.5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three year term expiring at the 2028 annual meeting of stockholders;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4902835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8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50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At our Annual Meeting, our stockholders will be asked to:</w: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69870" cy="293370"/>
                <wp:effectExtent l="0" t="0" r="0" b="0"/>
                <wp:wrapNone/>
                <wp:docPr id="151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8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 Annual General Meeting of Stockholders Details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2025 Annual General Meeting of Stockholders Details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52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additional Annual Meeting details, please see “General Information About the Annual Meeting and Voting”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additional Annual Meeting details, please see “General Information About the Annual Meeting and Voting”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89025" cy="293370"/>
                <wp:effectExtent l="0" t="0" r="0" b="0"/>
                <wp:wrapNone/>
                <wp:docPr id="154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0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this Proxy Statement.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this Proxy Statement.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3230" cy="146685"/>
                <wp:effectExtent l="0" t="0" r="0" b="0"/>
                <wp:wrapNone/>
                <wp:docPr id="155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Voting: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Voting: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1643380</wp:posOffset>
                </wp:positionH>
                <wp:positionV relativeFrom="line">
                  <wp:posOffset>635</wp:posOffset>
                </wp:positionV>
                <wp:extent cx="5386070" cy="146685"/>
                <wp:effectExtent l="0" t="0" r="0" b="0"/>
                <wp:wrapNone/>
                <wp:docPr id="156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60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are invited to attend the live virtual meeting.  Even if you plan to attend, we encourage you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4.1pt;height:11.55pt;mso-wrap-distance-left:0pt;mso-wrap-distance-right:0pt;mso-wrap-distance-top:0pt;mso-wrap-distance-bottom:0pt;margin-top:0pt;mso-position-vertical:top;mso-position-vertical-relative:text;margin-left:12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are invited to attend the live virtual meeting.  Even if you plan to attend, we encourage you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20720" cy="293370"/>
                <wp:effectExtent l="0" t="0" r="0" b="0"/>
                <wp:wrapNone/>
                <wp:docPr id="158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07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vote in advance of the meeting.  You may cast your vote via: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3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vote in advance of the meeting.  You may cast your vote via: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307330" cy="293370"/>
                <wp:effectExtent l="0" t="0" r="0" b="0"/>
                <wp:wrapNone/>
                <wp:docPr id="159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73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Please see “How to Vote” below for specific instructions on how to vote through each of these channels.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7.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Please see “How to Vote” below for specific instructions on how to vote through each of these channels.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Investor Relations</w: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61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472440" cy="293370"/>
                <wp:effectExtent l="0" t="0" r="0" b="0"/>
                <wp:wrapNone/>
                <wp:docPr id="162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2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2129790</wp:posOffset>
                </wp:positionH>
                <wp:positionV relativeFrom="line">
                  <wp:posOffset>635</wp:posOffset>
                </wp:positionV>
                <wp:extent cx="4899025" cy="146685"/>
                <wp:effectExtent l="0" t="0" r="0" b="0"/>
                <wp:wrapNone/>
                <wp:docPr id="163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90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issuance of 20% or more of the Company’s issued and outstanding common stock as of March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75pt;height:11.55pt;mso-wrap-distance-left:0pt;mso-wrap-distance-right:0pt;mso-wrap-distance-top:0pt;mso-wrap-distance-bottom:0pt;margin-top:0pt;mso-position-vertical:top;mso-position-vertical-relative:text;margin-left:16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issuance of 20% or more of the Company’s issued and outstanding common stock as of March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28060" cy="293370"/>
                <wp:effectExtent l="0" t="0" r="0" b="0"/>
                <wp:wrapNone/>
                <wp:docPr id="165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25, 2025, pursuant to the Convertible Debentures with Yorkville;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7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25, 2025, pursuant to the Convertible Debentures with Yorkville;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66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25145" cy="146685"/>
                <wp:effectExtent l="0" t="0" r="0" b="0"/>
                <wp:wrapNone/>
                <wp:docPr id="167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1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Transact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35pt;height:11.5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Transact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2182495</wp:posOffset>
                </wp:positionH>
                <wp:positionV relativeFrom="line">
                  <wp:posOffset>635</wp:posOffset>
                </wp:positionV>
                <wp:extent cx="4845050" cy="146685"/>
                <wp:effectExtent l="0" t="0" r="0" b="0"/>
                <wp:wrapNone/>
                <wp:docPr id="168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50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other business that may properly come before the Annual Meeting or any adjournment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1.5pt;height:11.55pt;mso-wrap-distance-left:0pt;mso-wrap-distance-right:0pt;mso-wrap-distance-top:0pt;mso-wrap-distance-bottom:0pt;margin-top:0pt;mso-position-vertical:top;mso-position-vertical-relative:text;margin-left:17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other business that may properly come before the Annual Meeting or any adjournment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3535045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7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34745" cy="293370"/>
                <wp:effectExtent l="0" t="0" r="0" b="0"/>
                <wp:wrapNone/>
                <wp:docPr id="170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47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postponement thereof.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postponement thereof.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71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Important Notice Regarding the Availability of Proxy Materials for the Annual Meeting to be Held on June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Important Notice Regarding the Availability of Proxy Materials for the Annual Meeting to be Held on June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92760" cy="146685"/>
                <wp:effectExtent l="0" t="0" r="0" b="0"/>
                <wp:wrapNone/>
                <wp:docPr id="173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25, 2025: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25, 2025: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1235710</wp:posOffset>
                </wp:positionH>
                <wp:positionV relativeFrom="line">
                  <wp:posOffset>635</wp:posOffset>
                </wp:positionV>
                <wp:extent cx="5792470" cy="175260"/>
                <wp:effectExtent l="0" t="0" r="0" b="0"/>
                <wp:wrapNone/>
                <wp:docPr id="174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24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Annual Report on Form 10-K for the year ended December 31, 2024 (the “2024 Annual Report”),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6.1pt;height:13.8pt;mso-wrap-distance-left:0pt;mso-wrap-distance-right:0pt;mso-wrap-distance-top:0pt;mso-wrap-distance-bottom:0pt;margin-top:0pt;mso-position-vertical:top;mso-position-vertical-relative:text;margin-left:9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Annual Report on Form 10-K for the year ended December 31, 2024 (the “2024 Annual Report”),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98570" cy="293370"/>
                <wp:effectExtent l="0" t="0" r="0" b="0"/>
                <wp:wrapNone/>
                <wp:docPr id="176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5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 Proxy Statement are available free of charge at www.proxyvote.com.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9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2025 Proxy Statement are available free of charge at www.proxyvote.com.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4541520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57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1995805</wp:posOffset>
                </wp:positionH>
                <wp:positionV relativeFrom="line">
                  <wp:posOffset>635</wp:posOffset>
                </wp:positionV>
                <wp:extent cx="5033010" cy="146685"/>
                <wp:effectExtent l="0" t="0" r="0" b="0"/>
                <wp:wrapNone/>
                <wp:docPr id="178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30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appointment of BDO USA, P.C. as our independent registered public accounting firm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.3pt;height:11.55pt;mso-wrap-distance-left:0pt;mso-wrap-distance-right:0pt;mso-wrap-distance-top:0pt;mso-wrap-distance-bottom:0pt;margin-top:0pt;mso-position-vertical:top;mso-position-vertical-relative:text;margin-left:157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appointment of BDO USA, P.C. as our independent registered public accounting firm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74320" cy="293370"/>
                <wp:effectExtent l="0" t="0" r="0" b="0"/>
                <wp:wrapNone/>
                <wp:docPr id="179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6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1931670</wp:posOffset>
                </wp:positionH>
                <wp:positionV relativeFrom="line">
                  <wp:posOffset>635</wp:posOffset>
                </wp:positionV>
                <wp:extent cx="5097145" cy="146685"/>
                <wp:effectExtent l="0" t="0" r="0" b="0"/>
                <wp:wrapNone/>
                <wp:docPr id="180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71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three Class I directors, Gregory W. Haskell, Daniel J. Hennessy and Michael Amalfitano,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1.35pt;height:11.55pt;mso-wrap-distance-left:0pt;mso-wrap-distance-right:0pt;mso-wrap-distance-top:0pt;mso-wrap-distance-bottom:0pt;margin-top:0pt;mso-position-vertical:top;mso-position-vertical-relative:text;margin-left:1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three Class I directors, Gregory W. Haskell, Daniel J. Hennessy and Michael Amalfitano,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2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recommended by the Nominating and Corporate Governance Committee (“N&amp;CG Committee”), each being nominated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recommended by the Nominating and Corporate Governance Committee (“N&amp;CG Committee”), each being nominated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051935" cy="293370"/>
                <wp:effectExtent l="0" t="0" r="0" b="0"/>
                <wp:wrapNone/>
                <wp:docPr id="184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9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serve for a three-year term expiring at the 2028 annual meeting of stockholders;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9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serve for a three-year term expiring at the 2028 annual meeting of stockholders;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85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38455" cy="293370"/>
                <wp:effectExtent l="0" t="0" r="0" b="0"/>
                <wp:wrapNone/>
                <wp:docPr id="186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Ratify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65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Ratify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87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8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965960" cy="293370"/>
                <wp:effectExtent l="0" t="0" r="0" b="0"/>
                <wp:wrapNone/>
                <wp:docPr id="189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5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fiscal year ending December 31, 2025;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fiscal year ending December 31, 2025;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2708910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0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1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91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472440" cy="293370"/>
                <wp:effectExtent l="0" t="0" r="0" b="0"/>
                <wp:wrapNone/>
                <wp:docPr id="192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2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2129790</wp:posOffset>
                </wp:positionH>
                <wp:positionV relativeFrom="line">
                  <wp:posOffset>635</wp:posOffset>
                </wp:positionV>
                <wp:extent cx="4899660" cy="146685"/>
                <wp:effectExtent l="0" t="0" r="0" b="0"/>
                <wp:wrapNone/>
                <wp:docPr id="193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96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issuance of 20% or more of the Company’s issued and outstanding common stock as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8pt;height:11.55pt;mso-wrap-distance-left:0pt;mso-wrap-distance-right:0pt;mso-wrap-distance-top:0pt;mso-wrap-distance-bottom:0pt;margin-top:0pt;mso-position-vertical:top;mso-position-vertical-relative:text;margin-left:16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issuance of 20% or more of the Company’s issued and outstanding common stock as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4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92095" cy="293370"/>
                <wp:effectExtent l="0" t="0" r="0" b="0"/>
                <wp:wrapNone/>
                <wp:docPr id="195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0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October 2, 2024, pursuant to the SEPA with Yorkville;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9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October 2, 2024, pursuant to the SEPA with Yorkville;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Innventure,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6900 Tavistock Lakes Boulevard, Suite 400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Orlando, Florida 32827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investorrelations@innventure.com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  <w:t>-i-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TABLE OF CONTENTS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6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  <w:t>-ii-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TABLE OF CONTENTS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  <w:t>(continued)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</w: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6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Exchange Commission (the “SEC”), including the “Risk Factors” section of our Annual Report on Form 10-K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Exchange Commission (the “SEC”), including the “Risk Factors” section of our Annual Report on Form 10-K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156585" cy="293370"/>
                <wp:effectExtent l="0" t="0" r="0" b="0"/>
                <wp:wrapNone/>
                <wp:docPr id="197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5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occurrence of unanticipated events, except as required by law.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8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occurrence of unanticipated events, except as required by law.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9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Form 10-K for the fiscal year ended December 31, 2024, to reflect new events or circumstances, new information 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Form 10-K for the fiscal year ended December 31, 2024, to reflect new events or circumstances, new information 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1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undertake no obligation to update any forward-looking statements made in this Proxy Statement or in our Annual Report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undertake no obligation to update any forward-looking statements made in this Proxy Statement or in our Annual Report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2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3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intentions or plans discussed in our forward-looking statements without notice at any time and for any reason and we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intentions or plans discussed in our forward-looking statements without notice at any time and for any reason and we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5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statements due to several factors, including those disclosed in our other filings with the SEC. We may change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statements due to several factors, including those disclosed in our other filings with the SEC. We may change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7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fiscal year ended December 31, 2024. Actual events and results may differ materially from those anticipated by us in those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fiscal year ended December 31, 2024. Actual events and results may differ materially from those anticipated by us in those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555750" cy="146685"/>
                <wp:effectExtent l="0" t="0" r="0" b="0"/>
                <wp:wrapNone/>
                <wp:docPr id="209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Forward-looking statements.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Forward-looking statements.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1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These risks and uncertainties include, but are not limited to, the risks detailed in the Company’s filings with the Securities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These risks and uncertainties include, but are not limited to, the risks detailed in the Company’s filings with the Securities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3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statements are not guarantees of future results and are based on current expectations only and are subject to uncertainties.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statements are not guarantees of future results and are based on current expectations only and are subject to uncertainties.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5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amended (the “Exchange Act”), and are subject to the “safe harbor” protection thereunder. These forward-looking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amended (the “Exchange Act”), and are subject to the “safe harbor” protection thereunder. These forward-looking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7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statements under the Securities Act of 1933, as amended (the “Securities Act”), and the Securities Exchange Act of 1934,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statements under the Securities Act of 1933, as amended (the “Securities Act”), and the Securities Exchange Act of 1934,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9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this Proxy Statement identified by words such as “expects,” “believes,” “will” and similar expressions are forward-looking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this Proxy Statement identified by words such as “expects,” “believes,” “will” and similar expressions are forward-looking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2755900</wp:posOffset>
                </wp:positionH>
                <wp:positionV relativeFrom="line">
                  <wp:posOffset>635</wp:posOffset>
                </wp:positionV>
                <wp:extent cx="4273550" cy="146685"/>
                <wp:effectExtent l="0" t="0" r="0" b="0"/>
                <wp:wrapNone/>
                <wp:docPr id="221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35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Except for historical and factual information contained herein, matters set forth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6.5pt;height:11.55pt;mso-wrap-distance-left:0pt;mso-wrap-distance-right:0pt;mso-wrap-distance-top:0pt;mso-wrap-distance-bottom:0pt;margin-top:0pt;mso-position-vertical:top;mso-position-vertical-relative:text;margin-left:2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Except for historical and factual information contained herein, matters set forth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GENERAL INFORMATION ABOUT THE ANNUAL MEETING AND VOTING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</w: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31315" cy="293370"/>
                <wp:effectExtent l="0" t="0" r="0" b="0"/>
                <wp:wrapNone/>
                <wp:docPr id="222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13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outstanding and entitled to vote.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8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outstanding and entitled to vote.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3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(the “Record Date”) will be entitled to vote at the Annual Meeting. On this Record Date, there were (i) 53,487,294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(the “Record Date”) will be entitled to vote at the Annual Meeting. On this Record Date, there were (i) 53,487,294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5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common stock, par value $0.0001 per share (“Common Stock”), outstanding and entitled to vote; (ii) 239,159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common stock, par value $0.0001 per share (“Common Stock”), outstanding and entitled to vote; (ii) 239,159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7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Series B Preferred Stock, par value of $0.0001 per share (the “Series B Preferred Stock”), outstanding and entitled to vote;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Series B Preferred Stock, par value of $0.0001 per share (the “Series B Preferred Stock”), outstanding and entitled to vote;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9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(iii) 575,000 shares of Series C Preferred Stock, par value of $0.0001 per share (the “Series C Preferred Stock”),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(iii) 575,000 shares of Series C Preferred Stock, par value of $0.0001 per share (the “Series C Preferred Stock”),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2374265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8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233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share of Common Stock is entitled to one vote on each matter to be voted on at the Annual Meeting.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share of Common Stock is entitled to one vote on each matter to be voted on at the Annual Meeting.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235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 of our Series B Preferred Stock is entitled to 0.97 votes on each matter to be voted on at the Annual Meeting and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 of our Series B Preferred Stock is entitled to 0.97 votes on each matter to be voted on at the Annual Meeting and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7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 of our Series C Preferred Stock is entitled to 1.3 votes on each matter to be voted on at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 of our Series C Preferred Stock is entitled to 1.3 votes on each matter to be voted on at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652905" cy="293370"/>
                <wp:effectExtent l="0" t="0" r="0" b="0"/>
                <wp:wrapNone/>
                <wp:docPr id="239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9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of Proxy Materials.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1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of Proxy Materials.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3061335</wp:posOffset>
                </wp:positionH>
                <wp:positionV relativeFrom="line">
                  <wp:posOffset>635</wp:posOffset>
                </wp:positionV>
                <wp:extent cx="3967480" cy="146685"/>
                <wp:effectExtent l="0" t="0" r="0" b="0"/>
                <wp:wrapNone/>
                <wp:docPr id="240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74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At the Annual Meeting, our stockholders will consider and vote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4pt;height:11.55pt;mso-wrap-distance-left:0pt;mso-wrap-distance-right:0pt;mso-wrap-distance-top:0pt;mso-wrap-distance-bottom:0pt;margin-top:0pt;mso-position-vertical:top;mso-position-vertical-relative:text;margin-left:24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At the Annual Meeting, our stockholders will consider and vote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33450" cy="293370"/>
                <wp:effectExtent l="0" t="0" r="0" b="0"/>
                <wp:wrapNone/>
                <wp:docPr id="242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following matters: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following matters: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293370"/>
                <wp:effectExtent l="0" t="0" r="0" b="0"/>
                <wp:wrapNone/>
                <wp:docPr id="243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of the date of this Proxy Statement, we are not aware of any business to come before the meeting other than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of the date of this Proxy Statement, we are not aware of any business to come before the meeting other than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34465" cy="293370"/>
                <wp:effectExtent l="0" t="0" r="0" b="0"/>
                <wp:wrapNone/>
                <wp:docPr id="245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44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first four items noted above.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first four items noted above.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991360" cy="146685"/>
                <wp:effectExtent l="0" t="0" r="0" b="0"/>
                <wp:wrapNone/>
                <wp:docPr id="246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13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Board of Directors Recommendation.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Board of Directors Recommendation.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3191510</wp:posOffset>
                </wp:positionH>
                <wp:positionV relativeFrom="line">
                  <wp:posOffset>635</wp:posOffset>
                </wp:positionV>
                <wp:extent cx="3309620" cy="146685"/>
                <wp:effectExtent l="0" t="0" r="0" b="0"/>
                <wp:wrapNone/>
                <wp:docPr id="247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962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of Directors unanimously recommends that you vote: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0.6pt;height:11.55pt;mso-wrap-distance-left:0pt;mso-wrap-distance-right:0pt;mso-wrap-distance-top:0pt;mso-wrap-distance-bottom:0pt;margin-top:0pt;mso-position-vertical:top;mso-position-vertical-relative:text;margin-left:25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of Directors unanimously recommends that you vote: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861185" cy="146685"/>
                <wp:effectExtent l="0" t="0" r="0" b="0"/>
                <wp:wrapNone/>
                <wp:docPr id="248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1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Purpose of the Annual Meeting.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6.5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Purpose of the Annual Meeting.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2853055</wp:posOffset>
                </wp:positionH>
                <wp:positionV relativeFrom="line">
                  <wp:posOffset>635</wp:posOffset>
                </wp:positionV>
                <wp:extent cx="4175125" cy="175260"/>
                <wp:effectExtent l="0" t="0" r="0" b="0"/>
                <wp:wrapNone/>
                <wp:docPr id="249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5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Proxy materials, including this Proxy Statement, a proxy card and our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8.75pt;height:13.8pt;mso-wrap-distance-left:0pt;mso-wrap-distance-right:0pt;mso-wrap-distance-top:0pt;mso-wrap-distance-bottom:0pt;margin-top:0pt;mso-position-vertical:top;mso-position-vertical-relative:text;margin-left:22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Proxy materials, including this Proxy Statement, a proxy card and our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0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51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Report, which we filed with the SEC on April 14, 2025, are available for viewing, printing and downloading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Report, which we filed with the SEC on April 14, 2025, are available for viewing, printing and downloading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2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03630" cy="293370"/>
                <wp:effectExtent l="0" t="0" r="0" b="0"/>
                <wp:wrapNone/>
                <wp:docPr id="253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www.proxyvote.com.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www.proxyvote.com.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106930" cy="146685"/>
                <wp:effectExtent l="0" t="0" r="0" b="0"/>
                <wp:wrapNone/>
                <wp:docPr id="254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6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Who Can Vote at the Annual Meeting?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Who Can Vote at the Annual Meeting?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3307080</wp:posOffset>
                </wp:positionH>
                <wp:positionV relativeFrom="line">
                  <wp:posOffset>635</wp:posOffset>
                </wp:positionV>
                <wp:extent cx="3722370" cy="146685"/>
                <wp:effectExtent l="0" t="0" r="0" b="0"/>
                <wp:wrapNone/>
                <wp:docPr id="255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23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Only stockholders of record at the close of business on April 28,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1pt;height:11.55pt;mso-wrap-distance-left:0pt;mso-wrap-distance-right:0pt;mso-wrap-distance-top:0pt;mso-wrap-distance-bottom:0pt;margin-top:0pt;mso-position-vertical:top;mso-position-vertical-relative:text;margin-left:260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Only stockholders of record at the close of business on April 28,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  <w:t>Difference Between a “Shareholder of Record” and a Beneficial Owner of Shares Held in “Street Name”.</w: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56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Furthermore, each holder of Common Stock shall vote together with the holders of the Series B Preferred Stock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Furthermore, each holder of Common Stock shall vote together with the holders of the Series B Preferred Stock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7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120900" cy="293370"/>
                <wp:effectExtent l="0" t="0" r="0" b="0"/>
                <wp:wrapNone/>
                <wp:docPr id="258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Series C Preferred Stock as a single class.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Series C Preferred Stock as a single class.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</w: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0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Statement, our proxy card, and our 2024 Annual Report.  We will send the Notice of Availability on or about May 9,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Statement, our proxy card, and our 2024 Annual Report.  We will send the Notice of Availability on or about May 9,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2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beneficial owners of our Common Stock a copy of the Notice of Availability instead of paper copies of this Proxy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beneficial owners of our Common Stock a copy of the Notice of Availability instead of paper copies of this Proxy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4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materials over the Internet under the “notice and access” approach.  As a result, we are sending our stockholders of record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materials over the Internet under the “notice and access” approach.  As a result, we are sending our stockholders of record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5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1981835</wp:posOffset>
                </wp:positionH>
                <wp:positionV relativeFrom="line">
                  <wp:posOffset>635</wp:posOffset>
                </wp:positionV>
                <wp:extent cx="5047615" cy="321945"/>
                <wp:effectExtent l="0" t="0" r="0" b="0"/>
                <wp:wrapNone/>
                <wp:docPr id="266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615" cy="321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pleased to comply with the rules of the SEC that allow companies to distribute their proxy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7.45pt;height:25.35pt;mso-wrap-distance-left:0pt;mso-wrap-distance-right:0pt;mso-wrap-distance-top:0pt;mso-wrap-distance-bottom:0pt;margin-top:0pt;mso-position-vertical:top;mso-position-vertical-relative:text;margin-left:15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pleased to comply with the rules of the SEC that allow companies to distribute their proxy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38885" cy="293370"/>
                <wp:effectExtent l="0" t="0" r="0" b="0"/>
                <wp:wrapNone/>
                <wp:docPr id="267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8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Set of Proxy Materials?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Set of Proxy Materials?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293370"/>
                <wp:effectExtent l="0" t="0" r="0" b="0"/>
                <wp:wrapNone/>
                <wp:docPr id="269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Why Did I Receive a Notice in the Mail Regarding the Internet Availability of Proxy Materials instead of a Full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Why Did I Receive a Notice in the Mail Regarding the Internet Availability of Proxy Materials instead of a Full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51275" cy="293370"/>
                <wp:effectExtent l="0" t="0" r="0" b="0"/>
                <wp:wrapNone/>
                <wp:docPr id="270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2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 entitled to 1.3 votes on each matter to be voted on at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3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 entitled to 1.3 votes on each matter to be voted on at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271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272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set forth in the Series C Certificate of Designation. Following this calculation, each share of our Series C Preferred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set forth in the Series C Certificate of Designation. Following this calculation, each share of our Series C Preferred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3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74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as-converted basis, except as provided by law or applicable Nasdaq Listing Rules and subject to certain other limitations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as-converted basis, except as provided by law or applicable Nasdaq Listing Rules and subject to certain other limitations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5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6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Stock, and will vote with the holders of the Common Stock and Series B Preferred Stock as a single class and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Stock, and will vote with the holders of the Common Stock and Series B Preferred Stock as a single class and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7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78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Price (which shall have the meaning assigned in Nasdaq Listing Rule 5635(d)) as of the initial issue date of the Series 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Price (which shall have the meaning assigned in Nasdaq Listing Rule 5635(d)) as of the initial issue date of the Series 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80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number of votes equal to (i) the Original Issue Price, which is $10.00, divided by (ii) $7.72, which is the Minimum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number of votes equal to (i) the Original Issue Price, which is $10.00, divided by (ii) $7.72, which is the Minimum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2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starting at 8:45 a.m., Eastern Time, on June 25, 2025. You may attend the Annual Meeting online by following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starting at 8:45 a.m., Eastern Time, on June 25, 2025. You may attend the Annual Meeting online by following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54115" cy="293370"/>
                <wp:effectExtent l="0" t="0" r="0" b="0"/>
                <wp:wrapNone/>
                <wp:docPr id="283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41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technical difficulties you may have accessing the virtual meeting starting at 8:45 a.m., Eastern Time, on June 25,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2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technical difficulties you may have accessing the virtual meeting starting at 8:45 a.m., Eastern Time, on June 25,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85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virtual meeting starting one hour before it begins.  We will have technicians standing by and ready to assist you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virtual meeting starting one hour before it begins.  We will have technicians standing by and ready to assist you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7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into the Annual Meeting.  The Annual Meeting will start at 9:00 a.m., Eastern Time, on June 25, 2025.  You may log on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into the Annual Meeting.  The Annual Meeting will start at 9:00 a.m., Eastern Time, on June 25, 2025.  You may log on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9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online registration.  Upon completing your registration, you will receive a verification email confirming your registration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online registration.  Upon completing your registration, you will receive a verification email confirming your registration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91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Online registration for the Annual Meeting will begin on May 9, 2025 and you should allow ample time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Online registration for the Annual Meeting will begin on May 9, 2025 and you should allow ample time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540635" cy="293370"/>
                <wp:effectExtent l="0" t="0" r="0" b="0"/>
                <wp:wrapNone/>
                <wp:docPr id="292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6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instructions that you will receive once you log 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instructions that you will receive once you log 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3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94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 held by the holder as of the Record Date, the holders of the Series C Preferred Stock will be entitled to cast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 held by the holder as of the Record Date, the holders of the Series C Preferred Stock will be entitled to cast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6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attend in person.  In order to attend the meeting online, you must visit www.virtualshareholdermeeting.com/INV2025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attend in person.  In order to attend the meeting online, you must visit www.virtualshareholdermeeting.com/INV2025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7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3666490</wp:posOffset>
                </wp:positionH>
                <wp:positionV relativeFrom="line">
                  <wp:posOffset>635</wp:posOffset>
                </wp:positionV>
                <wp:extent cx="3361055" cy="146685"/>
                <wp:effectExtent l="0" t="0" r="0" b="0"/>
                <wp:wrapNone/>
                <wp:docPr id="298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10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 will be a virtual meeting and you may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4.65pt;height:11.55pt;mso-wrap-distance-left:0pt;mso-wrap-distance-right:0pt;mso-wrap-distance-top:0pt;mso-wrap-distance-bottom:0pt;margin-top:0pt;mso-position-vertical:top;mso-position-vertical-relative:text;margin-left:28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 will be a virtual meeting and you may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466340" cy="146685"/>
                <wp:effectExtent l="0" t="0" r="0" b="0"/>
                <wp:wrapNone/>
                <wp:docPr id="299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3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How to Virtually Attend the Annual Meeting.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How to Virtually Attend the Annual Meeting.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03630" cy="293370"/>
                <wp:effectExtent l="0" t="0" r="0" b="0"/>
                <wp:wrapNone/>
                <wp:docPr id="300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www.proxyvote.com.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www.proxyvote.com.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1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02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Proxy Statement and our 2024 Annual Report are available for viewing, printing and downloading on the Internet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Proxy Statement and our 2024 Annual Report are available for viewing, printing and downloading on the Internet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3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04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Detailed instructions on how to access these materials via the Internet may be found in the Notice of Availability. 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Detailed instructions on how to access these materials via the Internet may be found in the Notice of Availability. 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05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are considered the beneficial owner of those shares, which are held in “street name.” In this case, your Notice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are considered the beneficial owner of those shares, which are held in “street name.” In this case, your Notice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6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4831715</wp:posOffset>
                </wp:positionH>
                <wp:positionV relativeFrom="line">
                  <wp:posOffset>635</wp:posOffset>
                </wp:positionV>
                <wp:extent cx="2197100" cy="146685"/>
                <wp:effectExtent l="0" t="0" r="0" b="0"/>
                <wp:wrapNone/>
                <wp:docPr id="307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Yes. As described in the certificate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pt;height:11.55pt;mso-wrap-distance-left:0pt;mso-wrap-distance-right:0pt;mso-wrap-distance-top:0pt;mso-wrap-distance-bottom:0pt;margin-top:0pt;mso-position-vertical:top;mso-position-vertical-relative:text;margin-left:38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Yes. As described in the certificate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631565" cy="146685"/>
                <wp:effectExtent l="0" t="0" r="0" b="0"/>
                <wp:wrapNone/>
                <wp:docPr id="308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Do the Series B Preferred Stock Holders Have Voting Rights?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5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Do the Series B Preferred Stock Holders Have Voting Rights?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06370" cy="293370"/>
                <wp:effectExtent l="0" t="0" r="0" b="0"/>
                <wp:wrapNone/>
                <wp:docPr id="309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6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instruction card provided to you by that organization.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instruction card provided to you by that organization.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11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organization as to how to vote the shares held in your account by following the instructions contained on the voting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organization as to how to vote the shares held in your account by following the instructions contained on the voting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2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313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record for purposes of voting at the Annual Meeting.  As the beneficial owner, you have the right to instruct that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record for purposes of voting at the Annual Meeting.  As the beneficial owner, you have the right to instruct that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4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15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will be sent to you by that organization.  The organization holding your shares is considered the shareholder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will be sent to you by that organization.  The organization holding your shares is considered the shareholder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6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17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designation for the Series B Preferred Stock (the “Series B Certificate of Designation”), for each whole share of Series 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designation for the Series B Preferred Stock (the “Series B Certificate of Designation”), for each whole share of Series 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8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3706495</wp:posOffset>
                </wp:positionH>
                <wp:positionV relativeFrom="line">
                  <wp:posOffset>635</wp:posOffset>
                </wp:positionV>
                <wp:extent cx="3322320" cy="175260"/>
                <wp:effectExtent l="0" t="0" r="0" b="0"/>
                <wp:wrapNone/>
                <wp:docPr id="319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23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shares are held by a bank, broker or other nominee, then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1.6pt;height:13.8pt;mso-wrap-distance-left:0pt;mso-wrap-distance-right:0pt;mso-wrap-distance-top:0pt;mso-wrap-distance-bottom:0pt;margin-top:0pt;mso-position-vertical:top;mso-position-vertical-relative:text;margin-left:29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shares are held by a bank, broker or other nominee, then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506345" cy="293370"/>
                <wp:effectExtent l="0" t="0" r="0" b="0"/>
                <wp:wrapNone/>
                <wp:docPr id="320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3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Beneficial Owner of Shares Held in Street Name.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3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Beneficial Owner of Shares Held in Street Name.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80075" cy="293370"/>
                <wp:effectExtent l="0" t="0" r="0" b="0"/>
                <wp:wrapNone/>
                <wp:docPr id="321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00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following the instructions contained in the Notice of Availability and in the section titled “How to Vote” below.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7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following the instructions contained in the Notice of Availability and in the section titled “How to Vote” below.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2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23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has been sent to you directly by us.  You may vote your shares by proxy prior to the Annual Meeting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has been sent to you directly by us.  You may vote your shares by proxy prior to the Annual Meeting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4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25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Company, LLC, then you are considered the “shareholder of record” of those shares.  In this case, your Notice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Company, LLC, then you are considered the “shareholder of record” of those shares.  In this case, your Notice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6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2433955</wp:posOffset>
                </wp:positionH>
                <wp:positionV relativeFrom="line">
                  <wp:posOffset>635</wp:posOffset>
                </wp:positionV>
                <wp:extent cx="4594860" cy="146685"/>
                <wp:effectExtent l="0" t="0" r="0" b="0"/>
                <wp:wrapNone/>
                <wp:docPr id="327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48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shares are registered directly in your name with our transfer agent, Equiniti Trust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1.8pt;height:11.55pt;mso-wrap-distance-left:0pt;mso-wrap-distance-right:0pt;mso-wrap-distance-top:0pt;mso-wrap-distance-bottom:0pt;margin-top:0pt;mso-position-vertical:top;mso-position-vertical-relative:text;margin-left:19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shares are registered directly in your name with our transfer agent, Equiniti Trust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8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9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30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designation for the Series C Preferred Stock (the “Series C Certificate of Designation”), for each whole share of Series 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designation for the Series C Preferred Stock (the “Series C Certificate of Designation”), for each whole share of Series 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1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4793615</wp:posOffset>
                </wp:positionH>
                <wp:positionV relativeFrom="line">
                  <wp:posOffset>635</wp:posOffset>
                </wp:positionV>
                <wp:extent cx="2234565" cy="175260"/>
                <wp:effectExtent l="0" t="0" r="0" b="0"/>
                <wp:wrapNone/>
                <wp:docPr id="332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45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Yes. As described in the certificate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5.95pt;height:13.8pt;mso-wrap-distance-left:0pt;mso-wrap-distance-right:0pt;mso-wrap-distance-top:0pt;mso-wrap-distance-bottom:0pt;margin-top:0pt;mso-position-vertical:top;mso-position-vertical-relative:text;margin-left:37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Yes. As described in the certificate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593465" cy="146685"/>
                <wp:effectExtent l="0" t="0" r="0" b="0"/>
                <wp:wrapNone/>
                <wp:docPr id="333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34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Do the Series C Preferred Stock Holders Have Voting Rights?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2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Do the Series C Preferred Stock Holders Have Voting Rights?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4660" cy="293370"/>
                <wp:effectExtent l="0" t="0" r="0" b="0"/>
                <wp:wrapNone/>
                <wp:docPr id="334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5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36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calculation, each share of our Series B Preferred Stock is entitled to 0.97 votes on each matter to be voted on at the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calculation, each share of our Series B Preferred Stock is entitled to 0.97 votes on each matter to be voted on at the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7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38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(“Nasdaq”) and subject to certain other limitations as set forth in the Series B Certificate of Designation.  Following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(“Nasdaq”) and subject to certain other limitations as set forth in the Series B Certificate of Designation.  Following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233805" cy="146685"/>
                <wp:effectExtent l="0" t="0" r="0" b="0"/>
                <wp:wrapNone/>
                <wp:docPr id="339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8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Shareholder of Record.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1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Shareholder of Record.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40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as-converted basis, except as provided by law or applicable “Nasdaq Listing Rules” of the Nasdaq Global Market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as-converted basis, except as provided by law or applicable “Nasdaq Listing Rules” of the Nasdaq Global Market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1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42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Stock, and will vote with the holders of the Common Stock and Series C Preferred Stock as a single class and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Stock, and will vote with the holders of the Common Stock and Series C Preferred Stock as a single class and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3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44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Price (which shall have the meaning assigned in Nasdaq Listing Rule 5635(d)) as of the initial issue date of the Series 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Price (which shall have the meaning assigned in Nasdaq Listing Rule 5635(d)) as of the initial issue date of the Series 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5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346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number of votes equal to (i) the Original Issue Price, which is $10.00, divided by (ii) $10.35, which is the Minimum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number of votes equal to (i) the Original Issue Price, which is $10.00, divided by (ii) $10.35, which is the Minimum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7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48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 held by the holder as of the Record Date, the holders of the Series B Preferred Stock will be entitled to cast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 held by the holder as of the Record Date, the holders of the Series B Preferred Stock will be entitled to cast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9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 Serif" w:hAnsi="Arial;Sans Serif"/>
          <w:shd w:fill="E4E4E4" w:val="clear"/>
        </w:rPr>
      </w:pPr>
      <w:r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  <w:t>May I See a List of Stockholders Entitled to Vote as of the Record Date?</w:t>
      </w:r>
      <w:r>
        <w:rPr>
          <w:rFonts w:ascii="Arial;Sans Serif" w:hAnsi="Arial;Sans 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A list of stockholders as of the close of business </w:t>
      </w:r>
      <w:r>
        <mc:AlternateContent>
          <mc:Choice Requires="wps">
            <w:drawing>
              <wp:anchor behindDoc="0" distT="0" distB="0" distL="0" distR="0" simplePos="0" locked="0" layoutInCell="1" allowOverlap="1" relativeHeight="108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0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560195" cy="146685"/>
                <wp:effectExtent l="0" t="0" r="0" b="0"/>
                <wp:wrapNone/>
                <wp:docPr id="351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 Many Votes do I Have?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 Many Votes do I Have?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15365" cy="293370"/>
                <wp:effectExtent l="0" t="0" r="0" b="0"/>
                <wp:wrapNone/>
                <wp:docPr id="352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53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as directed by you.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as directed by you.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3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54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of the Annual Meeting so that if you should become unable to attend the Annual Meeting your shares will be voted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of the Annual Meeting so that if you should become unable to attend the Annual Meeting your shares will be voted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5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356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Even if you plan to attend the Annual Meeting online, we urge you to vote your shares by proxy in advance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Even if you plan to attend the Annual Meeting online, we urge you to vote your shares by proxy in advance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11600" cy="293370"/>
                <wp:effectExtent l="0" t="0" r="0" b="0"/>
                <wp:wrapNone/>
                <wp:docPr id="357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16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able to vote your shares online while virtually attending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able to vote your shares online while virtually attending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8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59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addition, you will need your control number included on your Notice, proxy card or voting instruction form in order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addition, you will need your control number included on your Notice, proxy card or voting instruction form in order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2760345</wp:posOffset>
                </wp:positionH>
                <wp:positionV relativeFrom="line">
                  <wp:posOffset>635</wp:posOffset>
                </wp:positionV>
                <wp:extent cx="4268470" cy="175260"/>
                <wp:effectExtent l="0" t="0" r="0" b="0"/>
                <wp:wrapNone/>
                <wp:docPr id="360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84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own shares of our Common Stock, then on each matter to be voted upon,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6.1pt;height:13.8pt;mso-wrap-distance-left:0pt;mso-wrap-distance-right:0pt;mso-wrap-distance-top:0pt;mso-wrap-distance-bottom:0pt;margin-top:0pt;mso-position-vertical:top;mso-position-vertical-relative:text;margin-left:217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own shares of our Common Stock, then on each matter to be voted upon,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75260"/>
                <wp:effectExtent l="0" t="0" r="0" b="0"/>
                <wp:wrapNone/>
                <wp:docPr id="361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street name”, you must obtain a legal proxy from your bank, broker or other nominee to vote at the Annual Meeting. 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street name”, you must obtain a legal proxy from your bank, broker or other nominee to vote at the Annual Meeting. 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2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63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 the voting instruction card and any other materials that you receive from that organization. If your shares are held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 the voting instruction card and any other materials that you receive from that organization. If your shares are held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4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65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processes of the bank, broker or other nominee that holds your shares. Therefore, we urge you to carefully review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processes of the bank, broker or other nominee that holds your shares. Therefore, we urge you to carefully review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6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67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of telephone and Internet voting for beneficial owners of shares held in “street name” will depend on the voting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of telephone and Internet voting for beneficial owners of shares held in “street name” will depend on the voting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8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69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need to follow the instructions that your bank, broker or other nominee provides you. The voting deadlines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need to follow the instructions that your bank, broker or other nominee provides you. The voting deadlines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7061200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0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08425" cy="293370"/>
                <wp:effectExtent l="0" t="0" r="0" b="0"/>
                <wp:wrapNone/>
                <wp:docPr id="371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84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may submit questions until the Annual Meeting’s adjournment.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may submit questions until the Annual Meeting’s adjournment.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2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73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www.virtualshareholdermeeting.com/INV2025 to virtually attend, vote and submit questions during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www.virtualshareholdermeeting.com/INV2025 to virtually attend, vote and submit questions during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4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5163185</wp:posOffset>
                </wp:positionH>
                <wp:positionV relativeFrom="line">
                  <wp:posOffset>635</wp:posOffset>
                </wp:positionV>
                <wp:extent cx="1865630" cy="175260"/>
                <wp:effectExtent l="0" t="0" r="0" b="0"/>
                <wp:wrapNone/>
                <wp:docPr id="375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56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should visit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6.9pt;height:13.8pt;mso-wrap-distance-left:0pt;mso-wrap-distance-right:0pt;mso-wrap-distance-top:0pt;mso-wrap-distance-bottom:0pt;margin-top:0pt;mso-position-vertical:top;mso-position-vertical-relative:text;margin-left:40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should visit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963035" cy="146685"/>
                <wp:effectExtent l="0" t="0" r="0" b="0"/>
                <wp:wrapNone/>
                <wp:docPr id="376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30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 Do I Submit a Question at the Annual Meeting?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0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 Do I Submit a Question at the Annual Meeting?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68975" cy="293370"/>
                <wp:effectExtent l="0" t="0" r="0" b="0"/>
                <wp:wrapNone/>
                <wp:docPr id="377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89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requesting and returning a paper proxy card, or by voting online while virtually attending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4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requesting and returning a paper proxy card, or by voting online while virtually attending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8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79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No. The Notice of Availability and proxy card contain instructions on how to vote by proxy via the Internet, by telephone,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No. The Notice of Availability and proxy card contain instructions on how to vote by proxy via the Internet, by telephone,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0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61050" cy="146685"/>
                <wp:effectExtent l="0" t="0" r="0" b="0"/>
                <wp:wrapNone/>
                <wp:docPr id="381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10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Can I Vote My Shares by Filling Out and Returning the Notice of Internet Availability of Proxy Materials?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1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Can I Vote My Shares by Filling Out and Returning the Notice of Internet Availability of Proxy Materials?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068570" cy="293370"/>
                <wp:effectExtent l="0" t="0" r="0" b="0"/>
                <wp:wrapNone/>
                <wp:docPr id="382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85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upon, you have 1.3 votes for each share of Series C Preferred Stock you own as of the Record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9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upon, you have 1.3 votes for each share of Series C Preferred Stock you own as of the Record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3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84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you own as of the Record Date.  If you own shares of Series C Preferred Stock, then on each matter to be voted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you own as of the Record Date.  If you own shares of Series C Preferred Stock, then on each matter to be voted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5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86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Series B Preferred Stock, then on each matter to be voted upon, you have 0.97 votes for each share of Series B Preferred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Series B Preferred Stock, then on each matter to be voted upon, you have 0.97 votes for each share of Series B Preferred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7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88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have one vote for each share of Common Stock you own as of April 28, 2025, the Record Date. If you own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have one vote for each share of Common Stock you own as of April 28, 2025, the Record Date. If you own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9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390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103630" cy="293370"/>
                <wp:effectExtent l="0" t="0" r="0" b="0"/>
                <wp:wrapNone/>
                <wp:docPr id="391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www.proxyvote.com.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9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www.proxyvote.com.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2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393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Availability or proxy card in hand when you access the website.  The website for voting is available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Availability or proxy card in hand when you access the website.  The website for voting is available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4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395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instructions provided in the Notice of Availability and on the proxy card.  You will need to have your Notice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instructions provided in the Notice of Availability and on the proxy card.  You will need to have your Notice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6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397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Via the Internet Prior to the Annual Meeting.  You may transmit your proxy via the Internet by following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Via the Internet Prior to the Annual Meeting.  You may transmit your proxy via the Internet by following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98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429760" cy="293370"/>
                <wp:effectExtent l="0" t="0" r="0" b="0"/>
                <wp:wrapNone/>
                <wp:docPr id="399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will need to have your Notice of Availability or proxy card in hand when you call.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.8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will need to have your Notice of Availability or proxy card in hand when you call.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00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401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1-800-690-6903 and following the instructions provided in the Notice of Availability and on the proxy card.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1-800-690-6903 and following the instructions provided in the Notice of Availability and on the proxy card.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2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403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Telephone Prior to the Annual Meeting.  You may transmit your proxy over the phone by calling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Telephone Prior to the Annual Meeting.  You may transmit your proxy over the phone by calling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04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89425" cy="293370"/>
                <wp:effectExtent l="0" t="0" r="0" b="0"/>
                <wp:wrapNone/>
                <wp:docPr id="405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94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Meeting, you may do so by telephone, via the Internet or by mail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7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Meeting, you may do so by telephone, via the Internet or by mail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6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407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proxy prior to the Annual Meeting or online during the Annual Meeting.  If you choose to vote by proxy prior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proxy prior to the Annual Meeting or online during the Annual Meeting.  If you choose to vote by proxy prior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8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7">
                <wp:simplePos x="0" y="0"/>
                <wp:positionH relativeFrom="page">
                  <wp:posOffset>1887220</wp:posOffset>
                </wp:positionH>
                <wp:positionV relativeFrom="line">
                  <wp:posOffset>635</wp:posOffset>
                </wp:positionV>
                <wp:extent cx="5139690" cy="175260"/>
                <wp:effectExtent l="0" t="0" r="0" b="0"/>
                <wp:wrapNone/>
                <wp:docPr id="409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6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are the shareholder of record of your shares as of the Record Date, you can vote your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4.7pt;height:13.8pt;mso-wrap-distance-left:0pt;mso-wrap-distance-right:0pt;mso-wrap-distance-top:0pt;mso-wrap-distance-bottom:0pt;margin-top:0pt;mso-position-vertical:top;mso-position-vertical-relative:text;margin-left:14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are the shareholder of record of your shares as of the Record Date, you can vote your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410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Telephone and Internet voting for stockholders of record will be available until 11:59 p.m. Eastern Time on June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Telephone and Internet voting for stockholders of record will be available until 11:59 p.m. Eastern Time on June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411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have been forwarded to you by the bank, broker or other nominee that holds your shares.  In order to vote your shares you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have been forwarded to you by the bank, broker or other nominee that holds your shares.  In order to vote your shares you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2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13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your behalf according to your instructions. The proxy materials, as well as voting and revocation instructions, should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your behalf according to your instructions. The proxy materials, as well as voting and revocation instructions, should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4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415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shares are held in “street name”, your bank, broker or other nominee is required to vote the shares it holds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shares are held in “street name”, your bank, broker or other nominee is required to vote the shares it holds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46480" cy="293370"/>
                <wp:effectExtent l="0" t="0" r="0" b="0"/>
                <wp:wrapNone/>
                <wp:docPr id="416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64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7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18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24, 2025, and mailed proxy cards must be received by 11:59 p.m. Eastern Time on June 24, 2025 in order to be counted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24, 2025, and mailed proxy cards must be received by 11:59 p.m. Eastern Time on June 24, 2025 in order to be counted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9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687070" cy="293370"/>
                <wp:effectExtent l="0" t="0" r="0" b="0"/>
                <wp:wrapNone/>
                <wp:docPr id="420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 to Vote.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1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 to Vote.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65140" cy="293370"/>
                <wp:effectExtent l="0" t="0" r="0" b="0"/>
                <wp:wrapNone/>
                <wp:docPr id="421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51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visiting www.virtualshareholdermeeting.com/INV2025 starting at 8:45 a.m., Eastern Time, on June 25,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8.2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visiting www.virtualshareholdermeeting.com/INV2025 starting at 8:45 a.m., Eastern Time, on June 25,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2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423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Meeting by following the instructions found on your Notice, proxy card and/or voting instruction form and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Meeting by following the instructions found on your Notice, proxy card and/or voting instruction form and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4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425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Online during the Annual Meeting. You may vote your shares online while virtually attending the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Online during the Annual Meeting. You may vote your shares online while virtually attending the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26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058795" cy="293370"/>
                <wp:effectExtent l="0" t="0" r="0" b="0"/>
                <wp:wrapNone/>
                <wp:docPr id="427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87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mailing your proxy card as described in the proxy materials.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0.8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mailing your proxy card as described in the proxy materials.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8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429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Mail Prior to the Annual Meeting.  If you requested printed copies of proxy materials, you may vote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Mail Prior to the Annual Meeting.  If you requested printed copies of proxy materials, you may vote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on the Record Date will be available for examination by stockholders during the Annual Meeting and for a period of 10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days prior to the Annual Meeting. If you would like to view the stockholder list in advance of the Annual Meeting, please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contact us at investorrelations@innventure.com to schedule an appointment and make arrangements.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5</w: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2042160</wp:posOffset>
                </wp:positionH>
                <wp:positionV relativeFrom="line">
                  <wp:posOffset>635</wp:posOffset>
                </wp:positionV>
                <wp:extent cx="4985385" cy="175260"/>
                <wp:effectExtent l="0" t="0" r="0" b="0"/>
                <wp:wrapNone/>
                <wp:docPr id="430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5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Proposal 1, directors shall be elected by a plurality of the votes cast (meaning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2.55pt;height:13.8pt;mso-wrap-distance-left:0pt;mso-wrap-distance-right:0pt;mso-wrap-distance-top:0pt;mso-wrap-distance-bottom:0pt;margin-top:0pt;mso-position-vertical:top;mso-position-vertical-relative:text;margin-left:16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Proposal 1, directors shall be elected by a plurality of the votes cast (meaning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1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32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number of shares voted “for” a proposal must exceed the number of shares voted “against” such proposal). Abstentions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number of shares voted “for” a proposal must exceed the number of shares voted “against” such proposal). Abstentions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3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434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Adoption of each of Proposals 2, 3 and 4 requires the affirmative vote of the majority of the votes cast (meaning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Adoption of each of Proposals 2, 3 and 4 requires the affirmative vote of the majority of the votes cast (meaning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8160" cy="293370"/>
                <wp:effectExtent l="0" t="0" r="0" b="0"/>
                <wp:wrapNone/>
                <wp:docPr id="435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6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37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broker non-votes are not considered votes cast for the foregoing purpose, and will have no effect on the election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broker non-votes are not considered votes cast for the foregoing purpose, and will have no effect on the election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8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39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the directors who receive the highest number of shares voted “for” their election are elected). “Withhold” votes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the directors who receive the highest number of shares voted “for” their election are elected). “Withhold” votes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0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441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broker non-votes, as applicable, are not considered votes cast for the foregoing purpose, and will have no effect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broker non-votes, as applicable, are not considered votes cast for the foregoing purpose, and will have no effect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42010" cy="293370"/>
                <wp:effectExtent l="0" t="0" r="0" b="0"/>
                <wp:wrapNone/>
                <wp:docPr id="442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0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Votes Required.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3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Votes Required.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648200" cy="293370"/>
                <wp:effectExtent l="0" t="0" r="0" b="0"/>
                <wp:wrapNone/>
                <wp:docPr id="443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Please instruct your bank, broker or other nominee to ensure that your vote will be counted.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6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Please instruct your bank, broker or other nominee to ensure that your vote will be counted.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077210" cy="293370"/>
                <wp:effectExtent l="0" t="0" r="0" b="0"/>
                <wp:wrapNone/>
                <wp:docPr id="444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72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on Proposal 2 even in the absence of your instruction.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2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on Proposal 2 even in the absence of your instruction.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5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446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accounting firm for the fiscal year ending December 31, 2025, is a routine matter so your broker or nominee may vote your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accounting firm for the fiscal year ending December 31, 2025, is a routine matter so your broker or nominee may vote your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7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48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 or 4 without your instructions. Proposal 2, the ratification of BDO USA, P.C. as our independent registered public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 or 4 without your instructions. Proposal 2, the ratification of BDO USA, P.C. as our independent registered public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9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450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Proposals 1, 3 and 4 are non-routine matters, so your broker or nominee may not vote your shares on Proposals 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Proposals 1, 3 and 4 are non-routine matters, so your broker or nominee may not vote your shares on Proposals 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329180" cy="293370"/>
                <wp:effectExtent l="0" t="0" r="0" b="0"/>
                <wp:wrapNone/>
                <wp:docPr id="451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present at the meeting are marked ABSTAIN.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present at the meeting are marked ABSTAIN.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2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3820160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3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0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077210" cy="293370"/>
                <wp:effectExtent l="0" t="0" r="0" b="0"/>
                <wp:wrapNone/>
                <wp:docPr id="454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72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Otherwise, your broker will vote Proposal 2 in its discretion.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2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Otherwise, your broker will vote Proposal 2 in its discretion.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5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56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wish to vote “for,” “against” or “abstain” from Proposal 2, you will have to provide your broker with such an instruction.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wish to vote “for,” “against” or “abstain” from Proposal 2, you will have to provide your broker with such an instruction.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7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58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 should a beneficial holder not provide voting instructions. For that reason, if you are a beneficial holder and you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 should a beneficial holder not provide voting instructions. For that reason, if you are a beneficial holder and you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9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460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 2 is considered a routine matter on which the broker will have discretionary authority to vote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 2 is considered a routine matter on which the broker will have discretionary authority to vote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71290" cy="293370"/>
                <wp:effectExtent l="0" t="0" r="0" b="0"/>
                <wp:wrapNone/>
                <wp:docPr id="461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2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votes, as applicable, will have no effect on the vote for any of these proposals.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votes, as applicable, will have no effect on the vote for any of these proposals.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75260"/>
                <wp:effectExtent l="0" t="0" r="0" b="0"/>
                <wp:wrapNone/>
                <wp:docPr id="462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abstain” from voting with respect to any of these proposals, your vote will have no effect for that proposal. Broker 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abstain” from voting with respect to any of these proposals, your vote will have no effect for that proposal. Broker 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3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464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each of Proposals 2, 3 and 4, you may vote “for,” “against” or “abstain” from voting. If you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each of Proposals 2, 3 and 4, you may vote “for,” “against” or “abstain” from voting. If you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96940" cy="293370"/>
                <wp:effectExtent l="0" t="0" r="0" b="0"/>
                <wp:wrapNone/>
                <wp:docPr id="465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have no effect on the election of such nominees. Broker non-votes will have no effect on the election of the 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have no effect on the election of such nominees. Broker non-votes will have no effect on the election of the 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6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467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director nominees. If you “withhold” authority to vote with respect to one or more director nominees, your vote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director nominees. If you “withhold” authority to vote with respect to one or more director nominees, your vote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8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2281555</wp:posOffset>
                </wp:positionH>
                <wp:positionV relativeFrom="line">
                  <wp:posOffset>635</wp:posOffset>
                </wp:positionV>
                <wp:extent cx="4745355" cy="146685"/>
                <wp:effectExtent l="0" t="0" r="0" b="0"/>
                <wp:wrapNone/>
                <wp:docPr id="469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53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Proposal 1, you may vote “for” or “withhold” authority to vote for each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3.65pt;height:11.55pt;mso-wrap-distance-left:0pt;mso-wrap-distance-right:0pt;mso-wrap-distance-top:0pt;mso-wrap-distance-bottom:0pt;margin-top:0pt;mso-position-vertical:top;mso-position-vertical-relative:text;margin-left:17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Proposal 1, you may vote “for” or “withhold” authority to vote for each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081405" cy="146685"/>
                <wp:effectExtent l="0" t="0" r="0" b="0"/>
                <wp:wrapNone/>
                <wp:docPr id="470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14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 You May Vote.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1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 You May Vote.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1856740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1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4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13790" cy="293370"/>
                <wp:effectExtent l="0" t="0" r="0" b="0"/>
                <wp:wrapNone/>
                <wp:docPr id="472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7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vote for this proposal.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vote for this proposal.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3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4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84835" cy="293370"/>
                <wp:effectExtent l="0" t="0" r="0" b="0"/>
                <wp:wrapNone/>
                <wp:docPr id="475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 obtained.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 obtained.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6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77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remote communication at the meeting. If a quorum is not present, we expect to adjourn the Annual Meeting until a quorum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remote communication at the meeting. If a quorum is not present, we expect to adjourn the Annual Meeting until a quorum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8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293370"/>
                <wp:effectExtent l="0" t="0" r="0" b="0"/>
                <wp:wrapNone/>
                <wp:docPr id="479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present virtually during the Annual Meeting will be considered shares represented in person or by means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present virtually during the Annual Meeting will be considered shares represented in person or by means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6720" cy="293370"/>
                <wp:effectExtent l="0" t="0" r="0" b="0"/>
                <wp:wrapNone/>
                <wp:docPr id="480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quorum.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quorum.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1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82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holders of shares representing 27,233,390 votes must be present in person or represented by proxy at the meeting to have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holders of shares representing 27,233,390 votes must be present in person or represented by proxy at the meeting to have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3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84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Series B Preferred Stock entitled to 0.97 votes, and each share of Series C Preferred Stock entitled to 1.3 votes. Thus,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Series B Preferred Stock entitled to 0.97 votes, and each share of Series C Preferred Stock entitled to 1.3 votes. Thus,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485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broker “non-vote” occurs when (i) a broker or other nominee holds shares for a beneficial owner, (ii)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broker “non-vote” occurs when (i) a broker or other nominee holds shares for a beneficial owner, (ii)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486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 outstanding and entitled to vote, with each share of Common Stock entitled to one vote, each share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 outstanding and entitled to vote, with each share of Common Stock entitled to one vote, each share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7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488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(ii) 239,159 shares of Series B Preferred Stock outstanding and entitled to vote; and (iii) 575,000 shares of Series 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(ii) 239,159 shares of Series B Preferred Stock outstanding and entitled to vote; and (iii) 575,000 shares of Series 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9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490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the Record Date, there were (i) 53,487,294 shares of Common Stock outstanding and entitled to vote;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the Record Date, there were (i) 53,487,294 shares of Common Stock outstanding and entitled to vote;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10125" cy="293370"/>
                <wp:effectExtent l="0" t="0" r="0" b="0"/>
                <wp:wrapNone/>
                <wp:docPr id="491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01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by remote communication, if applicable, or represented by proxy, shall constitute a quorum.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8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by remote communication, if applicable, or represented by proxy, shall constitute a quorum.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2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93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voting power of the issued and outstanding shares of our capital stock entitled to vote at the meeting, present in person,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voting power of the issued and outstanding shares of our capital stock entitled to vote at the meeting, present in person,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4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1676400</wp:posOffset>
                </wp:positionH>
                <wp:positionV relativeFrom="line">
                  <wp:posOffset>635</wp:posOffset>
                </wp:positionV>
                <wp:extent cx="5353050" cy="175260"/>
                <wp:effectExtent l="0" t="0" r="0" b="0"/>
                <wp:wrapNone/>
                <wp:docPr id="495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quorum of stockholders is necessary to hold a valid Annual Meeting.  The holders of a majority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1.5pt;height:13.8pt;mso-wrap-distance-left:0pt;mso-wrap-distance-right:0pt;mso-wrap-distance-top:0pt;mso-wrap-distance-bottom:0pt;margin-top:0pt;mso-position-vertical:top;mso-position-vertical-relative:text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quorum of stockholders is necessary to hold a valid Annual Meeting.  The holders of a majority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9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6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497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Abstentions represent a shareholder’s affirmative choice to decline to vote on a proposal and occur when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Abstentions represent a shareholder’s affirmative choice to decline to vote on a proposal and occur when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4660" cy="293370"/>
                <wp:effectExtent l="0" t="0" r="0" b="0"/>
                <wp:wrapNone/>
                <wp:docPr id="498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9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00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other nominees have such discretionary voting power, broker non-votes will be counted for quorum purposes at the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other nominees have such discretionary voting power, broker non-votes will be counted for quorum purposes at the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1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02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Meeting. Because there is a routine proposal presented at the Annual Meeting (Proposal 2) on which brokers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Meeting. Because there is a routine proposal presented at the Annual Meeting (Proposal 2) on which brokers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3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3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504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 specific voting instructions, can be voted for, against or in abstention for at least one proposal presented at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 specific voting instructions, can be voted for, against or in abstention for at least one proposal presented at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5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06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 who holds shares for a beneficial owner, where the beneficial owner has not given the respective broker or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 who holds shares for a beneficial owner, where the beneficial owner has not given the respective broker or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76250" cy="293370"/>
                <wp:effectExtent l="0" t="0" r="0" b="0"/>
                <wp:wrapNone/>
                <wp:docPr id="507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Quorum.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Quorum.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508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present for purposes of determining the presence of a quorum so long as the shares represented by a broker or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present for purposes of determining the presence of a quorum so long as the shares represented by a broker or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9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10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proposals that are considered “routine,” but not with respect to “non-routine” proposals. Broker non-votes are considered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proposals that are considered “routine,” but not with respect to “non-routine” proposals. Broker non-votes are considered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1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12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Meeting). Under applicable rules, a broker or other nominee has discretionary voting power only with respect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Meeting). Under applicable rules, a broker or other nominee has discretionary voting power only with respect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3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14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(iv) there is at least one routine proposal presented at the applicable meeting of stockholders (such as Proposal 2 at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(iv) there is at least one routine proposal presented at the applicable meeting of stockholders (such as Proposal 2 at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5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516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beneficial owner has not given the respective broker specific voting instructions, (iii) the matter is non-routine in nature,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beneficial owner has not given the respective broker specific voting instructions, (iii) the matter is non-routine in nature,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7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6</w: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924050" cy="293370"/>
                <wp:effectExtent l="0" t="0" r="0" b="0"/>
                <wp:wrapNone/>
                <wp:docPr id="518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their reasonable expenses in doing so.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1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their reasonable expenses in doing so.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9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20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Act. To be eligible for inclusion, we must receive your shareholder proposal at our principal corporate offices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Act. To be eligible for inclusion, we must receive your shareholder proposal at our principal corporate offices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1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22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proxy card for the 2026 annual meeting of stockholders, you must follow the procedures outlined in Rule 14a-8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proxy card for the 2026 annual meeting of stockholders, you must follow the procedures outlined in Rule 14a-8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3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3632200</wp:posOffset>
                </wp:positionH>
                <wp:positionV relativeFrom="line">
                  <wp:posOffset>635</wp:posOffset>
                </wp:positionV>
                <wp:extent cx="3395345" cy="321945"/>
                <wp:effectExtent l="0" t="0" r="0" b="0"/>
                <wp:wrapNone/>
                <wp:docPr id="524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345" cy="321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order to submit a proposal for inclusion in our proxy statement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.35pt;height:25.35pt;mso-wrap-distance-left:0pt;mso-wrap-distance-right:0pt;mso-wrap-distance-top:0pt;mso-wrap-distance-bottom:0pt;margin-top:0pt;mso-position-vertical:top;mso-position-vertical-relative:text;margin-left:2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order to submit a proposal for inclusion in our proxy statement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432050" cy="293370"/>
                <wp:effectExtent l="0" t="0" r="0" b="0"/>
                <wp:wrapNone/>
                <wp:docPr id="525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0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2026 Stockholder Proposals and Nominations.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2026 Stockholder Proposals and Nominations.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24905" cy="293370"/>
                <wp:effectExtent l="0" t="0" r="0" b="0"/>
                <wp:wrapNone/>
                <wp:docPr id="526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49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results in a Current Report on Form 8-K to be filed with the SEC within four business days following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results in a Current Report on Form 8-K to be filed with the SEC within four business days following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7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2012315</wp:posOffset>
                </wp:positionH>
                <wp:positionV relativeFrom="line">
                  <wp:posOffset>635</wp:posOffset>
                </wp:positionV>
                <wp:extent cx="5016500" cy="175260"/>
                <wp:effectExtent l="0" t="0" r="0" b="0"/>
                <wp:wrapNone/>
                <wp:docPr id="528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6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plan to announce preliminary voting results at the Annual Meeting and will publish final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pt;height:13.8pt;mso-wrap-distance-left:0pt;mso-wrap-distance-right:0pt;mso-wrap-distance-top:0pt;mso-wrap-distance-bottom:0pt;margin-top:0pt;mso-position-vertical:top;mso-position-vertical-relative:text;margin-left:15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plan to announce preliminary voting results at the Annual Meeting and will publish final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12165" cy="146685"/>
                <wp:effectExtent l="0" t="0" r="0" b="0"/>
                <wp:wrapNone/>
                <wp:docPr id="529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21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Voting Results.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Voting Results.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13430" cy="293370"/>
                <wp:effectExtent l="0" t="0" r="0" b="0"/>
                <wp:wrapNone/>
                <wp:docPr id="530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34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Orlando, Florida as set forth below no later than January 9,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0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Orlando, Florida as set forth below no later than January 9,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1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32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soliciting material to beneficial owners of Common Stock held of record by them, and we will reimburse those persons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soliciting material to beneficial owners of Common Stock held of record by them, and we will reimburse those persons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3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34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at nominal or no cost. Brokerage houses, nominees, custodians and fiduciaries will be requested to forward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at nominal or no cost. Brokerage houses, nominees, custodians and fiduciaries will be requested to forward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5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36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mail and may also use telephone or in person contacts, using the services of a number of regular employees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mail and may also use telephone or in person contacts, using the services of a number of regular employees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7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2684145</wp:posOffset>
                </wp:positionH>
                <wp:positionV relativeFrom="line">
                  <wp:posOffset>635</wp:posOffset>
                </wp:positionV>
                <wp:extent cx="4344035" cy="146685"/>
                <wp:effectExtent l="0" t="0" r="0" b="0"/>
                <wp:wrapNone/>
                <wp:docPr id="538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40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will pay the cost of soliciting proxies. The Company is making this solicitation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05pt;height:11.55pt;mso-wrap-distance-left:0pt;mso-wrap-distance-right:0pt;mso-wrap-distance-top:0pt;mso-wrap-distance-bottom:0pt;margin-top:0pt;mso-position-vertical:top;mso-position-vertical-relative:text;margin-left:21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will pay the cost of soliciting proxies. The Company is making this solicitation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483995" cy="146685"/>
                <wp:effectExtent l="0" t="0" r="0" b="0"/>
                <wp:wrapNone/>
                <wp:docPr id="539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39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Costs of Proxy Solicitation.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Costs of Proxy Solicitation.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91640" cy="293370"/>
                <wp:effectExtent l="0" t="0" r="0" b="0"/>
                <wp:wrapNone/>
                <wp:docPr id="540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6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automatically revoke your proxy.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3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automatically revoke your proxy.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41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close of business on February 25, 2026, and no later than the close of business on March 27, 2026. If your notice is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close of business on February 25, 2026, and no later than the close of business on March 27, 2026. If your notice is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2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43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comply with the SEC’s universal proxy rules and to solicit proxies in support of director nominees other than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comply with the SEC’s universal proxy rules and to solicit proxies in support of director nominees other than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4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1">
                <wp:simplePos x="0" y="0"/>
                <wp:positionH relativeFrom="page">
                  <wp:posOffset>2432050</wp:posOffset>
                </wp:positionH>
                <wp:positionV relativeFrom="line">
                  <wp:posOffset>635</wp:posOffset>
                </wp:positionV>
                <wp:extent cx="4596765" cy="146685"/>
                <wp:effectExtent l="0" t="0" r="0" b="0"/>
                <wp:wrapNone/>
                <wp:docPr id="545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67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addition to satisfying the requirements under our Bylaws, if a shareholder intends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1.95pt;height:11.55pt;mso-wrap-distance-left:0pt;mso-wrap-distance-right:0pt;mso-wrap-distance-top:0pt;mso-wrap-distance-bottom:0pt;margin-top:0pt;mso-position-vertical:top;mso-position-vertical-relative:text;margin-left:1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addition to satisfying the requirements under our Bylaws, if a shareholder intends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231900" cy="146685"/>
                <wp:effectExtent l="0" t="0" r="0" b="0"/>
                <wp:wrapNone/>
                <wp:docPr id="546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Universal Proxy Rules.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Universal Proxy Rules.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181225" cy="293370"/>
                <wp:effectExtent l="0" t="0" r="0" b="0"/>
                <wp:wrapNone/>
                <wp:docPr id="547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stockholders, and it will not be acted upon.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stockholders, and it will not be acted upon.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8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549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meeting may declare such proposal or nomination not properly brought before the 2026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meeting may declare such proposal or nomination not properly brought before the 2026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0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51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properly brought before the 2026 annual meeting of stockholders in accordance with our Bylaws, the presiding officer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properly brought before the 2026 annual meeting of stockholders in accordance with our Bylaws, the presiding officer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2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3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4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55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contain the information specified in our Bylaws and we must receive your notice at the address noted below no earlier than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contain the information specified in our Bylaws and we must receive your notice at the address noted below no earlier than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6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57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By-laws (as amended and restated, the “Bylaws”), which are filed with the SEC. To be properly brought, that notice must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By-laws (as amended and restated, the “Bylaws”), which are filed with the SEC. To be properly brought, that notice must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8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559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paragraph, you must follow the current advance notice provisions and other requirements and procedures outlined in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paragraph, you must follow the current advance notice provisions and other requirements and procedures outlined in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0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61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without having the proposal or nominee included in our proxy statement and proxy card per the above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without having the proposal or nominee included in our proxy statement and proxy card per the above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2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563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wish to present a proposal or nominate a director for consideration at the 2026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wish to present a proposal or nominate a director for consideration at the 2026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4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5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3390265</wp:posOffset>
                </wp:positionH>
                <wp:positionV relativeFrom="line">
                  <wp:posOffset>635</wp:posOffset>
                </wp:positionV>
                <wp:extent cx="3637280" cy="146685"/>
                <wp:effectExtent l="0" t="0" r="0" b="0"/>
                <wp:wrapNone/>
                <wp:docPr id="566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72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are a shareholder of record, you may revoke your proxy before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6.4pt;height:11.55pt;mso-wrap-distance-left:0pt;mso-wrap-distance-right:0pt;mso-wrap-distance-top:0pt;mso-wrap-distance-bottom:0pt;margin-top:0pt;mso-position-vertical:top;mso-position-vertical-relative:text;margin-left:26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are a shareholder of record, you may revoke your proxy before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190115" cy="146685"/>
                <wp:effectExtent l="0" t="0" r="0" b="0"/>
                <wp:wrapNone/>
                <wp:docPr id="567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1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Revoking a Proxy; Changing Your Vote.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4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Revoking a Proxy; Changing Your Vote.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240020" cy="293370"/>
                <wp:effectExtent l="0" t="0" r="0" b="0"/>
                <wp:wrapNone/>
                <wp:docPr id="568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0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all or any portion of the Convertible Debentures, if applicable, are not entitled to vote on Proposal 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2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all or any portion of the Convertible Debentures, if applicable, are not entitled to vote on Proposal 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9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70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were 208,993 shares, are not entitled to vote on Proposal 3 and the shares of Common Stock issued pursuant to conversion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were 208,993 shares, are not entitled to vote on Proposal 3 and the shares of Common Stock issued pursuant to conversion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71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572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applicable Nasdaq Listing Rules, the shares of Common Stock issued pursuant to the SEPA, of which there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applicable Nasdaq Listing Rules, the shares of Common Stock issued pursuant to the SEPA, of which there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8145" cy="293370"/>
                <wp:effectExtent l="0" t="0" r="0" b="0"/>
                <wp:wrapNone/>
                <wp:docPr id="573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74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75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tabulated by the inspector of election appointed for the Annual Meeting, who will also determine whether a quorum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tabulated by the inspector of election appointed for the Annual Meeting, who will also determine whether a quorum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32635" cy="293370"/>
                <wp:effectExtent l="0" t="0" r="0" b="0"/>
                <wp:wrapNone/>
                <wp:docPr id="576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6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vote is taken at the Annual Meeting: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0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vote is taken at the Annual Meeting: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577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Votes cast online during the Annual Meeting or by proxy by mail, via the Internet or by telephone will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Votes cast online during the Annual Meeting or by proxy by mail, via the Internet or by telephone will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47720" cy="293370"/>
                <wp:effectExtent l="0" t="0" r="0" b="0"/>
                <wp:wrapNone/>
                <wp:docPr id="578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 and the Series C Preferred Stock as a single class.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3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 and the Series C Preferred Stock as a single class.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79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80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Meeting. Furthermore, each holder of Common Stock shall vote together with the holders of the Series 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Meeting. Furthermore, each holder of Common Stock shall vote together with the holders of the Series 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81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82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 and each share of our Series C Preferred Stock is entitled to 1.3 votes on each matter to be voted on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 and each share of our Series C Preferred Stock is entitled to 1.3 votes on each matter to be voted on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83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84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Meeting. Each share of our Series B Preferred Stock is entitled to 0.97 votes on each matter to be voted on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Meeting. Each share of our Series B Preferred Stock is entitled to 0.97 votes on each matter to be voted on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85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2624455</wp:posOffset>
                </wp:positionH>
                <wp:positionV relativeFrom="line">
                  <wp:posOffset>635</wp:posOffset>
                </wp:positionV>
                <wp:extent cx="4402455" cy="175260"/>
                <wp:effectExtent l="0" t="0" r="0" b="0"/>
                <wp:wrapNone/>
                <wp:docPr id="586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24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share of Common Stock is entitled to one vote on each matter to be voted on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6.65pt;height:13.8pt;mso-wrap-distance-left:0pt;mso-wrap-distance-right:0pt;mso-wrap-distance-top:0pt;mso-wrap-distance-bottom:0pt;margin-top:0pt;mso-position-vertical:top;mso-position-vertical-relative:text;margin-left:20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share of Common Stock is entitled to one vote on each matter to be voted on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1534795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87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20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588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Your virtual attendance at the Annual Meeting, without voting online during the Annual Meeting, will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Your virtual attendance at the Annual Meeting, without voting online during the Annual Meeting, will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062730" cy="293370"/>
                <wp:effectExtent l="0" t="0" r="0" b="0"/>
                <wp:wrapNone/>
                <wp:docPr id="589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27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and follow the procedures described in the “How to Vote” section above.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9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and follow the procedures described in the “How to Vote” section above.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90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91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revoking any previously submitted voting instructions, if you obtain a legal proxy from the organization that holds your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revoking any previously submitted voting instructions, if you obtain a legal proxy from the organization that holds your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92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93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other nominee holding your shares. You may also vote online during the Annual Meeting, which will have the effect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other nominee holding your shares. You may also vote online during the Annual Meeting, which will have the effect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94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595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shares are held in “street name,” you may submit new voting instructions by contacting your bank, broker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shares are held in “street name,” you may submit new voting instructions by contacting your bank, broker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019425" cy="293370"/>
                <wp:effectExtent l="0" t="0" r="0" b="0"/>
                <wp:wrapNone/>
                <wp:docPr id="596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filing a written revocation with our Corporate Secretary.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7.7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filing a written revocation with our Corporate Secretary.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597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424305" cy="293370"/>
                <wp:effectExtent l="0" t="0" r="0" b="0"/>
                <wp:wrapNone/>
                <wp:docPr id="598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Method of Counting Votes.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1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Method of Counting Votes.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06045" cy="146685"/>
                <wp:effectExtent l="0" t="0" r="0" b="0"/>
                <wp:wrapNone/>
                <wp:docPr id="599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3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00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601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voting online at the Annual Meeting using the procedures described in the “How to Vote” section above;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voting online at the Annual Meeting using the procedures described in the “How to Vote” section above;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602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38455" cy="293370"/>
                <wp:effectExtent l="0" t="0" r="0" b="0"/>
                <wp:wrapNone/>
                <wp:docPr id="603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above;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6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above;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04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605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transmitted using the telephone or Internet voting procedures described in the “How to Vote” section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transmitted using the telephone or Internet voting procedures described in the “How to Vote” section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06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607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submitting a new proxy with a later date before the applicable deadline either signed and returned by mail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submitting a new proxy with a later date before the applicable deadline either signed and returned by mail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608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7</w:t>
      </w:r>
      <w:r>
        <mc:AlternateContent>
          <mc:Choice Requires="wps">
            <w:drawing>
              <wp:anchor behindDoc="0" distT="0" distB="0" distL="0" distR="0" simplePos="0" locked="0" layoutInCell="1" allowOverlap="1" relativeHeight="13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09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38295" cy="293370"/>
                <wp:effectExtent l="0" t="0" r="0" b="0"/>
                <wp:wrapNone/>
                <wp:docPr id="610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2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Innventure, Inc., 6900 Tavistock Lakes, Blvd. Suite 400, Orlando, Florida 32827.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5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Innventure, Inc., 6900 Tavistock Lakes, Blvd. Suite 400, Orlando, Florida 32827.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11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612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proposals or notices should be sent to the following mailing address: Suzanne Niemeyer, General Counsel,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proposals or notices should be sent to the following mailing address: Suzanne Niemeyer, General Counsel,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08450" cy="293370"/>
                <wp:effectExtent l="0" t="0" r="0" b="0"/>
                <wp:wrapNone/>
                <wp:docPr id="613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public announcement of the date of the 2026 annual meeting is first made.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public announcement of the date of the 2026 annual meeting is first made.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14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15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later of 60 calendar days prior to the date of the 2026 annual meeting and the 10th calendar day following the date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later of 60 calendar days prior to the date of the 2026 annual meeting and the 10th calendar day following the date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16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17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changed by more than 30 calendar days from such anniversary date, however, then the shareholder must provide notice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changed by more than 30 calendar days from such anniversary date, however, then the shareholder must provide notice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18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Company’s nominees, the shareholder must provide notice that sets forth the information required by Rule 14a-19 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Company’s nominees, the shareholder must provide notice that sets forth the information required by Rule 14a-19 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19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(for the 2026 annual meeting of stockholders, no later than April 27, 2026). If the date of the 2026 annual meeting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(for the 2026 annual meeting of stockholders, no later than April 27, 2026). If the date of the 2026 annual meeting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0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21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principal executive offices no later than 60 calendar days prior to the one-year anniversary date of the Annual Meeting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principal executive offices no later than 60 calendar days prior to the one-year anniversary date of the Annual Meeting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2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23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definitive proxy statement previously filed by such shareholder—must be postmarked or transmitted electronically to us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definitive proxy statement previously filed by such shareholder—must be postmarked or transmitted electronically to us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4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25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Exchange Act, which notice—unless the information required by Rule 14a-19 has been provided in a preliminary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Exchange Act, which notice—unless the information required by Rule 14a-19 has been provided in a preliminary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6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PROPOSAL ONE—ELECTION OF DIRECTORS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Recommendation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134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627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8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29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 of stockholders held in the third year following the year of their election and until their successors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 of stockholders held in the third year following the year of their election and until their successors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0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88390" cy="293370"/>
                <wp:effectExtent l="0" t="0" r="0" b="0"/>
                <wp:wrapNone/>
                <wp:docPr id="631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83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elected and qualified.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elected and qualified.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632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be elected, each Class I director nominee must receive a plurality vote of the votes cast.  If you return a duly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be elected, each Class I director nominee must receive a plurality vote of the votes cast.  If you return a duly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3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34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executed proxy card without specifying how your shares are to be voted, the persons named in the proxy card will vote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executed proxy card without specifying how your shares are to be voted, the persons named in the proxy card will vote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5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36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elect Gregory W. Haskell, Daniel J. Hennessy and Michael Amalfitano as Class I directors.  Mr. Haskell, Mr. Hennessy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elect Gregory W. Haskell, Daniel J. Hennessy and Michael Amalfitano as Class I directors.  Mr. Haskell, Mr. Hennessy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7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38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Mr. Amalfitano currently serve on our Board and have indicated their willingness to continue to serve if elected.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Mr. Amalfitano currently serve on our Board and have indicated their willingness to continue to serve if elected.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39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class of directors whose term expires at each annual meeting will be elected to hold office for a term expiring at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class of directors whose term expires at each annual meeting will be elected to hold office for a term expiring at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640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However, if a director nominee should be unable to serve, or for good cause will not serve, proxies may be voted for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However, if a director nominee should be unable to serve, or for good cause will not serve, proxies may be voted for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41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42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substitute nominee designated by Innventure’s Board of Directors.  Our Board has no reason to believe that any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substitute nominee designated by Innventure’s Board of Directors.  Our Board has no reason to believe that any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43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198370" cy="293370"/>
                <wp:effectExtent l="0" t="0" r="0" b="0"/>
                <wp:wrapNone/>
                <wp:docPr id="644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8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nominees will be unable to serve if elected.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nominees will be unable to serve if elected.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645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may vote “for” or “withhold” authority to vote for each of the director nominees. If you “withhold” authority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may vote “for” or “withhold” authority to vote for each of the director nominees. If you “withhold” authority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46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47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vote with respect to one or more director nominees, your vote will have no effect on the election of such 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vote with respect to one or more director nominees, your vote will have no effect on the election of such 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48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16630" cy="293370"/>
                <wp:effectExtent l="0" t="0" r="0" b="0"/>
                <wp:wrapNone/>
                <wp:docPr id="649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6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Broker non-votes will have no effect on the election of the 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Broker non-votes will have no effect on the election of the 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29640" cy="293370"/>
                <wp:effectExtent l="0" t="0" r="0" b="0"/>
                <wp:wrapNone/>
                <wp:docPr id="650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6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serve if elected.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serve if elected.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1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52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nominees for election at the Annual Meeting. The nominees will serve for a three year term until the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nominees for election at the Annual Meeting. The nominees will serve for a three year term until the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3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54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in 2028 and until their successors are duly elected and qualified or until their earlier death, disability,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in 2028 and until their successors are duly elected and qualified or until their earlier death, disability,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5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56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resignation, disqualification or removal. The N&amp;CG Committee has reviewed the qualifications of each of the nominees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resignation, disqualification or removal. The N&amp;CG Committee has reviewed the qualifications of each of the nominees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7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58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has recommended to our Board that each nominee be submitted to a vote of our stockholders at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has recommended to our Board that each nominee be submitted to a vote of our stockholders at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659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60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Board unanimously approved the N&amp;CG Committee’s recommendation.  The Board expects each nominee to be 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Board unanimously approved the N&amp;CG Committee’s recommendation.  The Board expects each nominee to be 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61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662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nominated Gregory W. Haskell, Daniel J. Hennessy and Michael Amalfitano as Class I 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nominated Gregory W. Haskell, Daniel J. Hennessy and Michael Amalfitano as Class I 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663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is currently comprised of nine directors.  As described in our Amended and Restated Certificate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is currently comprised of nine directors.  As described in our Amended and Restated Certificate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64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65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Incorporation (“Certificate of Incorporation”) and Bylaws, our Board is currently divided into three classes (Class I, Class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Incorporation (“Certificate of Incorporation”) and Bylaws, our Board is currently divided into three classes (Class I, Class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66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67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II and Class III), each with a three-year term.  The term of our Class I directors currently in office expires at this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II and Class III), each with a three-year term.  The term of our Class I directors currently in office expires at this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68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69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Meeting; our Class II directors’ terms expire at the annual meeting of stockholders in 2026; and our Class III directors’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Meeting; our Class II directors’ terms expire at the annual meeting of stockholders in 2026; and our Class III directors’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70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71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terms expire at the annual meeting of stockholders in 2027.  Our Certificate of Incorporation provides that the successors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terms expire at the annual meeting of stockholders in 2027.  Our Certificate of Incorporation provides that the successors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72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8</w:t>
      </w:r>
      <w:r>
        <mc:AlternateContent>
          <mc:Choice Requires="wps">
            <w:drawing>
              <wp:anchor behindDoc="0" distT="0" distB="0" distL="0" distR="0" simplePos="0" locked="0" layoutInCell="1" allowOverlap="1" relativeHeight="13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542030" cy="146685"/>
                <wp:effectExtent l="0" t="0" r="0" b="0"/>
                <wp:wrapNone/>
                <wp:docPr id="673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2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of Directors unanimously recommends that you vote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of Directors unanimously recommends that you vote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0">
                <wp:simplePos x="0" y="0"/>
                <wp:positionH relativeFrom="page">
                  <wp:posOffset>4742180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674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37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1">
                <wp:simplePos x="0" y="0"/>
                <wp:positionH relativeFrom="page">
                  <wp:posOffset>5010150</wp:posOffset>
                </wp:positionH>
                <wp:positionV relativeFrom="line">
                  <wp:posOffset>635</wp:posOffset>
                </wp:positionV>
                <wp:extent cx="2017395" cy="175260"/>
                <wp:effectExtent l="0" t="0" r="0" b="0"/>
                <wp:wrapNone/>
                <wp:docPr id="675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73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election of each of Gregory 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85pt;height:13.8pt;mso-wrap-distance-left:0pt;mso-wrap-distance-right:0pt;mso-wrap-distance-top:0pt;mso-wrap-distance-bottom:0pt;margin-top:0pt;mso-position-vertical:top;mso-position-vertical-relative:text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election of each of Gregory 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76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24275" cy="293370"/>
                <wp:effectExtent l="0" t="0" r="0" b="0"/>
                <wp:wrapNone/>
                <wp:docPr id="677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Haskell, Daniel J. Hennessy and Michael Amalfitano as Class I directors.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Haskell, Daniel J. Hennessy and Michael Amalfitano as Class I directors.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CORPORATE GOVERNANCE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Our Board of Directors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I Directors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II Directors</w:t>
      </w:r>
      <w:r>
        <mc:AlternateContent>
          <mc:Choice Requires="wps">
            <w:drawing>
              <wp:anchor behindDoc="0" distT="0" distB="0" distL="0" distR="0" simplePos="0" locked="0" layoutInCell="1" allowOverlap="1" relativeHeight="142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089660" cy="293370"/>
                <wp:effectExtent l="0" t="0" r="0" b="0"/>
                <wp:wrapNone/>
                <wp:docPr id="678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Michael Amalfitano,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8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Michael Amalfitano,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79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Aircraft Finance at Bank of America Merrill Lynch for over 22 years, following a decade-long tenure in sales management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Aircraft Finance at Bank of America Merrill Lynch for over 22 years, following a decade-long tenure in sales management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0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81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solution company, from 2015 to 2017. Mr. Amalfitano also led as Managing Director, Executive Head of Global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solution company, from 2015 to 2017. Mr. Amalfitano also led as Managing Director, Executive Head of Global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2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83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Executive Vice President, Senior Managing Director of Business Aviation at Stonebriar Commercial Finance, a financing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Executive Vice President, Senior Managing Director of Business Aviation at Stonebriar Commercial Finance, a financing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4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85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aircraft manufacturing and sales company (“Embraer”), since 2017. Prior to joining Embraer, Mr. Amalfitano served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aircraft manufacturing and sales company (“Embraer”), since 2017. Prior to joining Embraer, Mr. Amalfitano served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6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87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Embraer Executive Aircraft, Inc., an operating subsidiary of Embraer Aircraft Holdings and Embraer S.A., a global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Embraer Executive Aircraft, Inc., an operating subsidiary of Embraer Aircraft Holdings and Embraer S.A., a global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8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1">
                <wp:simplePos x="0" y="0"/>
                <wp:positionH relativeFrom="page">
                  <wp:posOffset>2289810</wp:posOffset>
                </wp:positionH>
                <wp:positionV relativeFrom="line">
                  <wp:posOffset>635</wp:posOffset>
                </wp:positionV>
                <wp:extent cx="4737735" cy="146685"/>
                <wp:effectExtent l="0" t="0" r="0" b="0"/>
                <wp:wrapNone/>
                <wp:docPr id="689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77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64, is a Class I director of Innventure. Mr. Amalfitano has served as the President and CEO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3.05pt;height:11.55pt;mso-wrap-distance-left:0pt;mso-wrap-distance-right:0pt;mso-wrap-distance-top:0pt;mso-wrap-distance-bottom:0pt;margin-top:0pt;mso-position-vertical:top;mso-position-vertical-relative:text;margin-left:18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64, is a Class I director of Innventure. Mr. Amalfitano has served as the President and CEO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0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81025" cy="293370"/>
                <wp:effectExtent l="0" t="0" r="0" b="0"/>
                <wp:wrapNone/>
                <wp:docPr id="691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experience.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experience.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2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93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Hennessy is well qualified to serve as a member of the Board due to his significant investment, strategic and leadership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Hennessy is well qualified to serve as a member of the Board due to his significant investment, strategic and leadership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4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95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Hennessy has a B.A. from Boston College and an MBA from the University of Michigan. The Company believes that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Hennessy has a B.A. from Boston College and an MBA from the University of Michigan. The Company believes that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6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97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Hospital of Chicago, National MS Society, John G. Shedd Aquarium, Georgetown University and Yellowstone Forever.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Hospital of Chicago, National MS Society, John G. Shedd Aquarium, Georgetown University and Yellowstone Forever.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8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99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profit healthcare, higher education and conservation organizations, including board positions at the Lurie Children’s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profit healthcare, higher education and conservation organizations, including board positions at the Lurie Children’s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00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Bank, now Bank of America, where he was a Banking Officer. Mr. Hennessy has dedicated over 25 years to serving 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Bank, now Bank of America, where he was a Banking Officer. Mr. Hennessy has dedicated over 25 years to serving 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01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Corporate Angel Network, a non-profit company. Past board positions include former four-term OEM President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Corporate Angel Network, a non-profit company. Past board positions include former four-term OEM President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21280" cy="293370"/>
                <wp:effectExtent l="0" t="0" r="0" b="0"/>
                <wp:wrapNone/>
                <wp:docPr id="702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12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leadership and public company director experience.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leadership and public company director experience.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3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04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believes that Mr. Amalfitano is well qualified to serve as a member of the Board due to his years of executive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believes that Mr. Amalfitano is well qualified to serve as a member of the Board due to his years of executive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5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06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B.A. in Economics and a Master’s in Financial Management from Fairfield University in Fairfield, Connecticut.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B.A. in Economics and a Master’s in Financial Management from Fairfield University in Fairfield, Connecticut.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7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08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Resellers Association, and former two-term President of the National Aircraft Finance Association. Mr. Amalfitano holds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Resellers Association, and former two-term President of the National Aircraft Finance Association. Mr. Amalfitano holds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9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10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International Aircraft Dealers Association, Chairman of the Associate Members Advisory Council for the National Aircraft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International Aircraft Dealers Association, Chairman of the Associate Members Advisory Council for the National Aircraft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1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2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3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14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Advisory Council and Leadership Council of the National Business Aviation Association, and serves on the board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Advisory Council and Leadership Council of the National Business Aviation Association, and serves on the board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5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16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Finance, Investment, and Strategic Committees of the General Aviation Manufacturer’s Association, is a member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Finance, Investment, and Strategic Committees of the General Aviation Manufacturer’s Association, is a member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7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18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University (ERAU) and serves on their Finance and Investment Committees. Mr. Amalfitano currently serves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University (ERAU) and serves on their Finance and Investment Committees. Mr. Amalfitano currently serves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9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20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solutions company (NYSE: EVEX). He is also a member of the Board of Trustees at Embry-Riddle Aeronautical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solutions company (NYSE: EVEX). He is also a member of the Board of Trustees at Embry-Riddle Aeronautical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1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22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at GE Capital. Mr. Amalfitano also currently serves as a director of Eve Holding, Inc., a publicly traded air mobility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at GE Capital. Mr. Amalfitano also currently serves as a director of Eve Holding, Inc., a publicly traded air mobility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23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Exchange-listed company and has been a director of over a dozen companies. Most recently, Mr. Haskell was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Exchange-listed company and has been a director of over a dozen companies. Most recently, Mr. Haskell was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6">
                <wp:simplePos x="0" y="0"/>
                <wp:positionH relativeFrom="page">
                  <wp:posOffset>2254885</wp:posOffset>
                </wp:positionH>
                <wp:positionV relativeFrom="line">
                  <wp:posOffset>635</wp:posOffset>
                </wp:positionV>
                <wp:extent cx="4772660" cy="146685"/>
                <wp:effectExtent l="0" t="0" r="0" b="0"/>
                <wp:wrapNone/>
                <wp:docPr id="724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6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67, is a Class I director and Learn CW’s (as defined below) director designee pursuant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5.8pt;height:11.55pt;mso-wrap-distance-left:0pt;mso-wrap-distance-right:0pt;mso-wrap-distance-top:0pt;mso-wrap-distance-bottom:0pt;margin-top:0pt;mso-position-vertical:top;mso-position-vertical-relative:text;margin-left:17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67, is a Class I director and Learn CW’s (as defined below) director designee pursuant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054735" cy="293370"/>
                <wp:effectExtent l="0" t="0" r="0" b="0"/>
                <wp:wrapNone/>
                <wp:docPr id="725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7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Daniel J. Hennessy,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0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Daniel J. Hennessy,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82365" cy="293370"/>
                <wp:effectExtent l="0" t="0" r="0" b="0"/>
                <wp:wrapNone/>
                <wp:docPr id="726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23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corporate leadership experience and deep understanding of our business.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corporate leadership experience and deep understanding of our business.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7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28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University. The Company believes Mr. Haskell is qualified to serve as a member of the Board due to his significant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University. The Company believes Mr. Haskell is qualified to serve as a member of the Board due to his significant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9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30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 holds a B.S. degree in engineering and conducted post-graduate work in applied mathematics at Iowa State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 holds a B.S. degree in engineering and conducted post-graduate work in applied mathematics at Iowa State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1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32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owned enterprises from 2019 to 2021. He has over 30 years of experience in company creation and development.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owned enterprises from 2019 to 2021. He has over 30 years of experience in company creation and development.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33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partner at Bellview Associates,  a boutique investment bank focused on converting private companies into employee-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partner at Bellview Associates,  a boutique investment bank focused on converting private companies into employee-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4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5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6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37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 has worked with the key principals of Innventure for over 20 years. He has also served as a CEO of a London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 has worked with the key principals of Innventure for over 20 years. He has also served as a CEO of a London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8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39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building methodology upon which Innventure is based, from 1993 to 1999 and 2001 to 2011, respectively.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building methodology upon which Innventure is based, from 1993 to 1999 and 2001 to 2011, respectively.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0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41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 was a co-founder and President of both XL Vision and XL TechGroup (“XLTG”), which created the foundational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 was a co-founder and President of both XL Vision and XL TechGroup (“XLTG”), which created the foundational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2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43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Chief Executive Officer and Manager of Innventure LLC from 2021 until 2024. Prior to his time with Innventure LLC,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Chief Executive Officer and Manager of Innventure LLC from 2021 until 2024. Prior to his time with Innventure LLC,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4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5">
                <wp:simplePos x="0" y="0"/>
                <wp:positionH relativeFrom="page">
                  <wp:posOffset>3027680</wp:posOffset>
                </wp:positionH>
                <wp:positionV relativeFrom="line">
                  <wp:posOffset>635</wp:posOffset>
                </wp:positionV>
                <wp:extent cx="4001770" cy="146685"/>
                <wp:effectExtent l="0" t="0" r="0" b="0"/>
                <wp:wrapNone/>
                <wp:docPr id="745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17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68, is Innventure’s CEO and a Class I director. Mr. Haskell previously served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5.1pt;height:11.55pt;mso-wrap-distance-left:0pt;mso-wrap-distance-right:0pt;mso-wrap-distance-top:0pt;mso-wrap-distance-bottom:0pt;margin-top:0pt;mso-position-vertical:top;mso-position-vertical-relative:text;margin-left:23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68, is Innventure’s CEO and a Class I director. Mr. Haskell previously served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46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sustainable industrial technology and infrastructure sectors. From October 2020 to December 2022, Mr. Hennessy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sustainable industrial technology and infrastructure sectors. From October 2020 to December 2022, Mr. Hennessy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47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2017 to 2021. Mr. Hennessy began his career in 1981 in the oil and gas lending group at Continental Illinois National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2017 to 2021. Mr. Hennessy began his career in 1981 in the oil and gas lending group at Continental Illinois National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8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749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 of the board of directors of Daseke, Inc. (Nasdaq: DSKE), a North American trucking and logistics company,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 of the board of directors of Daseke, Inc. (Nasdaq: DSKE), a North American trucking and logistics company,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0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51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company, which, in December of 2020, completed its business combination with Canoo Holdings Ltd. He also served as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company, which, in December of 2020, completed its business combination with Canoo Holdings Ltd. He also served as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2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53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Hennessy also served as Chairman &amp; CEO of Hennessy Capital Acquisition Corp. IV, a special purpose acquisition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Hennessy also served as Chairman &amp; CEO of Hennessy Capital Acquisition Corp. IV, a special purpose acquisition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4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55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served as Chairman and CEO of Hennessy Capital Investment Corp. V, a special purpose acquisition company.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served as Chairman and CEO of Hennessy Capital Investment Corp. V, a special purpose acquisition company.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6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827530" cy="146685"/>
                <wp:effectExtent l="0" t="0" r="0" b="0"/>
                <wp:wrapNone/>
                <wp:docPr id="757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75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Gregory William (“Bill”) Haskell,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3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Gregory William (“Bill”) Haskell,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8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59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Hennessy also founded Hennessy Capital Group LLC as an alternative investment firm in 2013 to focus on investments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Hennessy also founded Hennessy Capital Group LLC as an alternative investment firm in 2013 to focus on investments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0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61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of directors of Compass Digital Acquisition Corp. (Nasdaq: CDAQ), a special purpose acquisition company.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of directors of Compass Digital Acquisition Corp. (Nasdaq: CDAQ), a special purpose acquisition company.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2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63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Hennessy Capital Investment Corp. VI (Nasdaq: HCVI), a special purpose acquisition company, and as Chairman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Hennessy Capital Investment Corp. VI (Nasdaq: HCVI), a special purpose acquisition company, and as Chairman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4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765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Hennessy Capital Investment Corp. VII (Nasdaq: HVII), a special purpose acquisition company, and Chairman and CEO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Hennessy Capital Investment Corp. VII (Nasdaq: HVII), a special purpose acquisition company, and Chairman and CEO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6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67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terms of the Business Combination Agreement (as defined below). Mr. Hennessy currently serves as Chairman and CEO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terms of the Business Combination Agreement (as defined below). Mr. Hennessy currently serves as Chairman and CEO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9</w:t>
      </w:r>
      <w:r>
        <mc:AlternateContent>
          <mc:Choice Requires="wps">
            <w:drawing>
              <wp:anchor behindDoc="0" distT="0" distB="0" distL="0" distR="0" simplePos="0" locked="0" layoutInCell="1" allowOverlap="1" relativeHeight="145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63295" cy="293370"/>
                <wp:effectExtent l="0" t="0" r="0" b="0"/>
                <wp:wrapNone/>
                <wp:docPr id="768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2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David Yablunosky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8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David Yablunosky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5">
                <wp:simplePos x="0" y="0"/>
                <wp:positionH relativeFrom="page">
                  <wp:posOffset>2163445</wp:posOffset>
                </wp:positionH>
                <wp:positionV relativeFrom="line">
                  <wp:posOffset>635</wp:posOffset>
                </wp:positionV>
                <wp:extent cx="4864735" cy="146685"/>
                <wp:effectExtent l="0" t="0" r="0" b="0"/>
                <wp:wrapNone/>
                <wp:docPr id="769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7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63, is Innventure’s Chief Financial Officer (“CFO”) and a Class II director. Mr. Yablunosky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05pt;height:11.55pt;mso-wrap-distance-left:0pt;mso-wrap-distance-right:0pt;mso-wrap-distance-top:0pt;mso-wrap-distance-bottom:0pt;margin-top:0pt;mso-position-vertical:top;mso-position-vertical-relative:text;margin-left:17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63, is Innventure’s Chief Financial Officer (“CFO”) and a Class II director. Mr. Yablunosky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70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71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 served as CFO of Innventure LLC since 2023. Previously, he was CFO of Embraer Aircraft Holding, Inc., the U.S.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 served as CFO of Innventure LLC since 2023. Previously, he was CFO of Embraer Aircraft Holding, Inc., the U.S.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72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III Directors</w:t>
      </w:r>
      <w:r>
        <mc:AlternateContent>
          <mc:Choice Requires="wps">
            <w:drawing>
              <wp:anchor behindDoc="0" distT="0" distB="0" distL="0" distR="0" simplePos="0" locked="0" layoutInCell="1" allowOverlap="1" relativeHeight="15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73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economics, finance, philosophy, psychology and theater in 1991 from Marshall University. The Company believes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economics, finance, philosophy, psychology and theater in 1991 from Marshall University. The Company believes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74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company’s R&amp;D Organization, and Innovation &amp; Technology Programs. Before his tenure as CTO, he worked with P&amp;G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company’s R&amp;D Organization, and Innovation &amp; Technology Programs. Before his tenure as CTO, he worked with P&amp;G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75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76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service, including six years with the company as Chief Technology Officer (“CTO”), where he was responsible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service, including six years with the company as Chief Technology Officer (“CTO”), where he was responsible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77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9">
                <wp:simplePos x="0" y="0"/>
                <wp:positionH relativeFrom="page">
                  <wp:posOffset>1916430</wp:posOffset>
                </wp:positionH>
                <wp:positionV relativeFrom="line">
                  <wp:posOffset>635</wp:posOffset>
                </wp:positionV>
                <wp:extent cx="5112385" cy="146685"/>
                <wp:effectExtent l="0" t="0" r="0" b="0"/>
                <wp:wrapNone/>
                <wp:docPr id="778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23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66, is a Class II director of Innventure. Mr. Brown retired from P&amp;G in 2014 after 34 years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2.55pt;height:11.55pt;mso-wrap-distance-left:0pt;mso-wrap-distance-right:0pt;mso-wrap-distance-top:0pt;mso-wrap-distance-bottom:0pt;margin-top:0pt;mso-position-vertical:top;mso-position-vertical-relative:text;margin-left:15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66, is a Class II director of Innventure. Mr. Brown retired from P&amp;G in 2014 after 34 years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716280" cy="146685"/>
                <wp:effectExtent l="0" t="0" r="0" b="0"/>
                <wp:wrapNone/>
                <wp:docPr id="779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Bruce Brown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4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Bruce Brown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4275" cy="293370"/>
                <wp:effectExtent l="0" t="0" r="0" b="0"/>
                <wp:wrapNone/>
                <wp:docPr id="780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2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development.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development.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1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82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Donnally is qualified to serve as a member of the Board due to his over 30 years of experience in finance, accounting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Donnally is qualified to serve as a member of the Board due to his over 30 years of experience in finance, accounting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3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4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5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86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concerns, specializing in consolidations. Mr. Donnally received his bachelor’s in accounting with minors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concerns, specializing in consolidations. Mr. Donnally received his bachelor’s in accounting with minors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7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88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performed for-profit audit, review, compilation and tax engagements for regional wholesale, retail, manufacturing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performed for-profit audit, review, compilation and tax engagements for regional wholesale, retail, manufacturing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9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90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Enterprises in 1996, Mr. Donnally was a Certified Public Accountant at Hayflich &amp; Steinberg, where 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Enterprises in 1996, Mr. Donnally was a Certified Public Accountant at Hayflich &amp; Steinberg, where 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91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92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treasury and other asset management, lender and regulatory relations and employee benefit administration. Prior to joining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treasury and other asset management, lender and regulatory relations and employee benefit administration. Prior to joining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93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94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Resources, accounting and legal departments, giving him the ideal view of the inner workings of the enterprise – such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Resources, accounting and legal departments, giving him the ideal view of the inner workings of the enterprise – such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95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Government of Singapore as a member of the board of directors of the Agency for Science, Technology, and Research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Government of Singapore as a member of the board of directors of the Agency for Science, Technology, and Research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728210" cy="293370"/>
                <wp:effectExtent l="0" t="0" r="0" b="0"/>
                <wp:wrapNone/>
                <wp:docPr id="796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82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organizational leadership development and years of experience as a public company director.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organizational leadership development and years of experience as a public company director.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97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98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University. The Company believes that Mr. Brown is well qualified to serve as a member of the Board due to 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University. The Company believes that Mr. Brown is well qualified to serve as a member of the Board due to 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99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00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Engineering from the Polytechnic Institute of New York University, and an MBA in Marketing and Finance from Xavier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Engineering from the Polytechnic Institute of New York University, and an MBA in Marketing and Finance from Xavier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1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02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 also served on the board of directors of Xavier University in Cincinnati, Ohio. Mr. Brown has a B.S. in Chemical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 also served on the board of directors of Xavier University in Cincinnati, Ohio. Mr. Brown has a B.S. in Chemical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3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04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(ASTAR), giving him experience on how to operate within and through government agencies across the globe. Mr. Brown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(ASTAR), giving him experience on how to operate within and through government agencies across the globe. Mr. Brown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5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6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7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08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of Medpace Holdings, Inc. (Nasdaq: MEDP) from 2016 to 2019. Mr. Brown was appointed in 2011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of Medpace Holdings, Inc. (Nasdaq: MEDP) from 2016 to 2019. Mr. Brown was appointed in 2011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9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10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where, after 11 years and upon reaching the tenure limit, he concluded his term in 2023. Formerly, Mr. Brown was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where, after 11 years and upon reaching the tenure limit, he concluded his term in 2023. Formerly, Mr. Brown was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11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12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Corporation, a Finnish telecommunications, information technology, and consumer electronics corporation (NYSE: NOK),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Corporation, a Finnish telecommunications, information technology, and consumer electronics corporation (NYSE: NOK),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13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14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Corporation, a global manufacturing company (NYSE: MAGN), and has previously served on the board of Nokia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Corporation, a global manufacturing company (NYSE: MAGN), and has previously served on the board of Nokia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15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16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Europe &amp; Asia driving international business expansions. Mr. Brown currently serves on the board of Magnera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Europe &amp; Asia driving international business expansions. Mr. Brown currently serves on the board of Magnera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17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480820" cy="146685"/>
                <wp:effectExtent l="0" t="0" r="0" b="0"/>
                <wp:wrapNone/>
                <wp:docPr id="818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82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James (“Jim”) O. Donnally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6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James (“Jim”) O. Donnally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30015" cy="293370"/>
                <wp:effectExtent l="0" t="0" r="0" b="0"/>
                <wp:wrapNone/>
                <wp:docPr id="819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0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due to his expertise in finance and deep understanding of our business.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9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due to his expertise in finance and deep understanding of our business.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20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21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Program at the Harvard Business School. The Company believes Mr. Yablunosky is qualified to serve as a member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Program at the Harvard Business School. The Company believes Mr. Yablunosky is qualified to serve as a member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22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23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Certificate in Accounting from the Harvard University Extension School and has completed the Advanced Management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Certificate in Accounting from the Harvard University Extension School and has completed the Advanced Management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24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25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U.S. Naval Academy and an MBA in Finance from the University of Maryland. He also holds a graduate-level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U.S. Naval Academy and an MBA in Finance from the University of Maryland. He also holds a graduate-level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26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27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U.S. Navy and worked in the Pentagon on General Colin Powell’s staff. Mr. Yablunosky holds a B.S. in Mathematics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U.S. Navy and worked in the Pentagon on General Colin Powell’s staff. Mr. Yablunosky holds a B.S. in Mathematics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1">
                <wp:simplePos x="0" y="0"/>
                <wp:positionH relativeFrom="page">
                  <wp:posOffset>2680970</wp:posOffset>
                </wp:positionH>
                <wp:positionV relativeFrom="line">
                  <wp:posOffset>635</wp:posOffset>
                </wp:positionV>
                <wp:extent cx="4347845" cy="146685"/>
                <wp:effectExtent l="0" t="0" r="0" b="0"/>
                <wp:wrapNone/>
                <wp:docPr id="828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78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60, is a Class II director of Innventure. Mr. Donnally has served as a Manager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35pt;height:11.55pt;mso-wrap-distance-left:0pt;mso-wrap-distance-right:0pt;mso-wrap-distance-top:0pt;mso-wrap-distance-bottom:0pt;margin-top:0pt;mso-position-vertical:top;mso-position-vertical-relative:text;margin-left:21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60, is a Class II director of Innventure. Mr. Donnally has served as a Manager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29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Office Depot, Oxbow Carbon LLC, and Embraer. Before his career in finance, Mr. Yablunosky served nine years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Office Depot, Oxbow Carbon LLC, and Embraer. Before his career in finance, Mr. Yablunosky served nine years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0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31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finance experience working for large multinational companies (“MNCs”) such as Ford Motor Company, Ford Credit,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finance experience working for large multinational companies (“MNCs”) such as Ford Motor Company, Ford Credit,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2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33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of Corporate Finance at Oxbow Carbon, LLC, a privately-held energy company. He brings over 30 years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of Corporate Finance at Oxbow Carbon, LLC, a privately-held energy company. He brings over 30 years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4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835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Defense and Security, Inc., another subsidiary of Embraer, from 2021 to 2023. Prior to 2021, Mr. Yablunosky served as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Defense and Security, Inc., another subsidiary of Embraer, from 2021 to 2023. Prior to 2021, Mr. Yablunosky served as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6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37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Embraer Executive Aircraft, Inc., another subsidiary of Embraer, from 2021 to 2023; and a Board Member of Embraer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Embraer Executive Aircraft, Inc., another subsidiary of Embraer, from 2021 to 2023; and a Board Member of Embraer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8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39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AeroFlexx, LLC (“AeroFlexx”), from 1996 to 2023. Glockner Enterprises includes consumer and commercial finance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AeroFlexx, LLC (“AeroFlexx”), from 1996 to 2023. Glockner Enterprises includes consumer and commercial finance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40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December 2020. In his prior role as CFO at Glockner Enterprises, he managed the Information Technology, Human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December 2020. In his prior role as CFO at Glockner Enterprises, he managed the Information Technology, Human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1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42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Donnally was the CFO for PureCycle, an innovative plastic waste processing company, from January 2017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Donnally was the CFO for PureCycle, an innovative plastic waste processing company, from January 2017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3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44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involved in organizations and companies that are helping grow southeast Ohio communities and sits on numerous boards.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involved in organizations and companies that are helping grow southeast Ohio communities and sits on numerous boards.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5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46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insurance agencies and franchise automobile dealerships in Ohio and Kentucky. Mr. Donnally is also highly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insurance agencies and franchise automobile dealerships in Ohio and Kentucky. Mr. Donnally is also highly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7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48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divisions, wholesale lubricant and fuel divisions, several dealer-controlled used car finance operations, captive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divisions, wholesale lubricant and fuel divisions, several dealer-controlled used car finance operations, captive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9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50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subsidiary of the Brazilian aerospace and defense conglomerate Embraer, from 2022 to 2023; CFO and a Board Member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subsidiary of the Brazilian aerospace and defense conglomerate Embraer, from 2022 to 2023; CFO and a Board Member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1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52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manufacturing and was the original funding partner for Innventure, PureCycle Technologies, Inc. (“PureCycle” or “PCT”)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manufacturing and was the original funding partner for Innventure, PureCycle Technologies, Inc. (“PureCycle” or “PCT”)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3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54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President and CFO for Glockner Enterprises, whose family office investment thesis is around green technology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President and CFO for Glockner Enterprises, whose family office investment thesis is around green technology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5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56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and the General Partner of the Glockner Family Venture Fund, LP, since 2023. He previously served as the 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and the General Partner of the Glockner Family Venture Fund, LP, since 2023. He previously served as the 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7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58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since 2015 and as the Managing Member of Bellringer Consulting Group, LLC, a startup consulting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since 2015 and as the Managing Member of Bellringer Consulting Group, LLC, a startup consulting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9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10</w:t>
      </w:r>
      <w:r>
        <mc:AlternateContent>
          <mc:Choice Requires="wps">
            <w:drawing>
              <wp:anchor behindDoc="0" distT="0" distB="0" distL="0" distR="0" simplePos="0" locked="0" layoutInCell="1" allowOverlap="1" relativeHeight="15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60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offering in March of 2021. Prior to Innventure, Mr. Otworth served as President and Founding Partner of Green Ocean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offering in March of 2021. Prior to Innventure, Mr. Otworth served as President and Founding Partner of Green Ocean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1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62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 in the U.S. House of Representatives. The Company believes Mr. Otworth is qualified to serve as a member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 in the U.S. House of Representatives. The Company believes Mr. Otworth is qualified to serve as a member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3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64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XLTG from 1996 to 2000. Mr. Otworth began his career on Capitol Hill working as a legislative aide and committee staff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XLTG from 1996 to 2000. Mr. Otworth began his career on Capitol Hill working as a legislative aide and committee staff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5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66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Animal Health, from 2008 to 2015. Mr. Otworth also served as Vice-President and Founding CEO of multiple start-ups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Animal Health, from 2008 to 2015. Mr. Otworth also served as Vice-President and Founding CEO of multiple start-ups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7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68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Innovation, a company that provided technology sourcing, innovation strategy, and development services to Lilly/Elanco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Innovation, a company that provided technology sourcing, innovation strategy, and development services to Lilly/Elanco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9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435100" cy="146685"/>
                <wp:effectExtent l="0" t="0" r="0" b="0"/>
                <wp:wrapNone/>
                <wp:docPr id="870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Michael (“Mike”) Otworth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3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Michael (“Mike”) Otworth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1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72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from an early-stage concept to an operational pilot and funded its first commercial plant, followed by a successful public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from an early-stage concept to an operational pilot and funded its first commercial plant, followed by a successful public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3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74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of PureCycle, an innovative plastic waste processing company, from 2015 to 2022. Mr. Otworth and team took PCT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of PureCycle, an innovative plastic waste processing company, from 2015 to 2022. Mr. Otworth and team took PCT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5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76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served as Executive Chairman of Innventure LLC since 2015. Mr. Otworth was the Founding CEO and Chairman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served as Executive Chairman of Innventure LLC since 2015. Mr. Otworth was the Founding CEO and Chairman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7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7">
                <wp:simplePos x="0" y="0"/>
                <wp:positionH relativeFrom="page">
                  <wp:posOffset>2635250</wp:posOffset>
                </wp:positionH>
                <wp:positionV relativeFrom="line">
                  <wp:posOffset>635</wp:posOffset>
                </wp:positionV>
                <wp:extent cx="4392930" cy="146685"/>
                <wp:effectExtent l="0" t="0" r="0" b="0"/>
                <wp:wrapNone/>
                <wp:docPr id="878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2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63, is Innventure’s Executive Chairman and a Class III director. Mr. Otworth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.9pt;height:11.55pt;mso-wrap-distance-left:0pt;mso-wrap-distance-right:0pt;mso-wrap-distance-top:0pt;mso-wrap-distance-bottom:0pt;margin-top:0pt;mso-position-vertical:top;mso-position-vertical-relative:text;margin-left:2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63, is Innventure’s Executive Chairman and a Class III director. Mr. Otworth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Our Executive Officers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16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9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80" name="Fram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Founder of &amp;Minds Partners, a consulting firm, since 2019 and is also a full time Finance faculty member at the University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Founder of &amp;Minds Partners, a consulting firm, since 2019 and is also a full time Finance faculty member at the University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1" name="Fram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82" name="Fram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Dayton’s Business School. Before founding &amp;Minds Partners, Ms. Williams held roles of increasing responsibility,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Dayton’s Business School. Before founding &amp;Minds Partners, Ms. Williams held roles of increasing responsibility,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3" name="Fram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84" name="Fram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ultimately leading Corporate Development and Strategy functions as a C-Suite executive for several Fortune 500 industrial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ultimately leading Corporate Development and Strategy functions as a C-Suite executive for several Fortune 500 industrial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5" name="Fram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86" name="Fram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businesses. Ms. Williams was formerly the Vice President of Commercial and Industrial Customer Journey and Products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businesses. Ms. Williams was formerly the Vice President of Commercial and Industrial Customer Journey and Products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7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88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Entergy Corporation, an publicly-traded energy company (NYSE: ENT) from 2021 to 2022, where she helped large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Entergy Corporation, an publicly-traded energy company (NYSE: ENT) from 2021 to 2022, where she helped large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9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90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industrial processing businesses achieve sustainability goals through emission reduction solutions.  From 2017 to 2019,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industrial processing businesses achieve sustainability goals through emission reduction solutions.  From 2017 to 2019,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1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892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Ms. Williams was the Senior Vice President of Strategy and Corporate Development at Tenneco Inc., where she focused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Ms. Williams was the Senior Vice President of Strategy and Corporate Development at Tenneco Inc., where she focused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3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94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improving financial and capital markets performance by defining long-term strategy. Ms. Williams served as the 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improving financial and capital markets performance by defining long-term strategy. Ms. Williams served as the 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5" name="Fram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96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President and Head of Corporate Strategy from 2014 to 2016 at Maersk, where she simultaneously helped capitalize on end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President and Head of Corporate Strategy from 2014 to 2016 at Maersk, where she simultaneously helped capitalize on end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7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98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life oil fields, and reduced portfolio risk from oil price exposures. From 2011 to 2014, she was the Senior Vice President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life oil fields, and reduced portfolio risk from oil price exposures. From 2011 to 2014, she was the Senior Vice President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9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00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Head of Corporate Strategy at ABB, where she spearheaded the strategic planning, implementation, and execution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Head of Corporate Strategy at ABB, where she spearheaded the strategic planning, implementation, and execution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1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02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$20 billion in institutional investments over four years, including R&amp;D allocation, selling, general, and administrative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$20 billion in institutional investments over four years, including R&amp;D allocation, selling, general, and administrative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3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04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expenses, M&amp;A, and capital expenditure initiatives. Prior to 2011, Ms. Williams served as the Director of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expenses, M&amp;A, and capital expenditure initiatives. Prior to 2011, Ms. Williams served as the Director of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5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06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Development at United Technologies. Ms. Williams has a B.A. in economics from Stanford University, and an MBA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Development at United Technologies. Ms. Williams has a B.A. in economics from Stanford University, and an MBA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7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08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University of Chicago. The Company believes that Ms. Williams is well qualified to serve as a member of the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University of Chicago. The Company believes that Ms. Williams is well qualified to serve as a member of the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9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63950" cy="293370"/>
                <wp:effectExtent l="0" t="0" r="0" b="0"/>
                <wp:wrapNone/>
                <wp:docPr id="910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9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due to her significant experience in corporate strategy and development.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8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due to her significant experience in corporate strategy and development.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11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(“M&amp;A”) transactions, oversaw public company compliance with SEC regulations, and presided over all aspects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(“M&amp;A”) transactions, oversaw public company compliance with SEC regulations, and presided over all aspects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2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51305" cy="293370"/>
                <wp:effectExtent l="0" t="0" r="0" b="0"/>
                <wp:wrapNone/>
                <wp:docPr id="913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understanding of our business.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understanding of our business.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88060" cy="293370"/>
                <wp:effectExtent l="0" t="0" r="0" b="0"/>
                <wp:wrapNone/>
                <wp:docPr id="914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0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Suzanne Niemeyer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8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Suzanne Niemeyer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9">
                <wp:simplePos x="0" y="0"/>
                <wp:positionH relativeFrom="page">
                  <wp:posOffset>2188210</wp:posOffset>
                </wp:positionH>
                <wp:positionV relativeFrom="line">
                  <wp:posOffset>635</wp:posOffset>
                </wp:positionV>
                <wp:extent cx="4839335" cy="146685"/>
                <wp:effectExtent l="0" t="0" r="0" b="0"/>
                <wp:wrapNone/>
                <wp:docPr id="915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93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54, is Innventure’s General Counsel and a Class III director. She also serves as a director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1.05pt;height:11.55pt;mso-wrap-distance-left:0pt;mso-wrap-distance-right:0pt;mso-wrap-distance-top:0pt;mso-wrap-distance-bottom:0pt;margin-top:0pt;mso-position-vertical:top;mso-position-vertical-relative:text;margin-left:17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54, is Innventure’s General Counsel and a Class III director. She also serves as a director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6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17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Refinity Holdings, LLC (“Refinity Holdings”). Ms. Niemeyer previously served as the General Counsel and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Refinity Holdings, LLC (“Refinity Holdings”). Ms. Niemeyer previously served as the General Counsel and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8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19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Secretary at Magis Capital Partners, a private equity company with a focus on fintech solutions from 2019 to 2024.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Secretary at Magis Capital Partners, a private equity company with a focus on fintech solutions from 2019 to 2024.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0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21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2003 to 2019, Ms. Niemeyer served as General Counsel, Managing Director, Corporate Secretary and a member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2003 to 2019, Ms. Niemeyer served as General Counsel, Managing Director, Corporate Secretary and a member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2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23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Acquisitions Committee at Actua Corporation (“Actua”), where she was previously the Vice President of Legal from 2000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Acquisitions Committee at Actua Corporation (“Actua”), where she was previously the Vice President of Legal from 2000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4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25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2003. While serving Actua, Ms. Niemeyer structured and negotiated dozens of complex mergers and acquisitions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2003. While serving Actua, Ms. Niemeyer structured and negotiated dozens of complex mergers and acquisitions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6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27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due to his more than 25 years of experience leading start-ups in the technology industry, as well as his deep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due to his more than 25 years of experience leading start-ups in the technology industry, as well as his deep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8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29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corporate governance, including stockholder engagement. Prior to joining Actua, Ms. Niemeyer was an Associate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corporate governance, including stockholder engagement. Prior to joining Actua, Ms. Niemeyer was an Associate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0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31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Corporate Department at Dechert LLP. Ms. Niemeyer has previously served on the board of directors for Astea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Corporate Department at Dechert LLP. Ms. Niemeyer has previously served on the board of directors for Astea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2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33" name="Fram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International Inc. (June to December 2019), Acquirgy, Inc., Bryn Mawr Rehabilitation Hospital Foundation, and Investor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International Inc. (June to December 2019), Acquirgy, Inc., Bryn Mawr Rehabilitation Hospital Foundation, and Investor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4" name="Fram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35" name="Fram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Force Holdings. Ms. Niemeyer has a B.A. from Duke University, and a J.D. from Georgetown University Law Center.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Force Holdings. Ms. Niemeyer has a B.A. from Duke University, and a J.D. from Georgetown University Law Center.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6" name="Fram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37" name="Fram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believes that Ms. Niemeyer is well qualified to serve as a member of the Board due to her legal acumen and 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believes that Ms. Niemeyer is well qualified to serve as a member of the Board due to her legal acumen and 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8" name="Fram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69180" cy="293370"/>
                <wp:effectExtent l="0" t="0" r="0" b="0"/>
                <wp:wrapNone/>
                <wp:docPr id="939" name="Fram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91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significant experience in corporate governance matters and advising publicly-traded companies.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significant experience in corporate governance matters and advising publicly-traded companies.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001395" cy="293370"/>
                <wp:effectExtent l="0" t="0" r="0" b="0"/>
                <wp:wrapNone/>
                <wp:docPr id="940" name="Fram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Elizabeth Williams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8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Elizabeth Williams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5">
                <wp:simplePos x="0" y="0"/>
                <wp:positionH relativeFrom="page">
                  <wp:posOffset>2201545</wp:posOffset>
                </wp:positionH>
                <wp:positionV relativeFrom="line">
                  <wp:posOffset>635</wp:posOffset>
                </wp:positionV>
                <wp:extent cx="4826635" cy="146685"/>
                <wp:effectExtent l="0" t="0" r="0" b="0"/>
                <wp:wrapNone/>
                <wp:docPr id="941" name="Fram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6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56, is a Class III director of Innventure. Ms. Williams has served as Managing Partner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0.05pt;height:11.55pt;mso-wrap-distance-left:0pt;mso-wrap-distance-right:0pt;mso-wrap-distance-top:0pt;mso-wrap-distance-bottom:0pt;margin-top:0pt;mso-position-vertical:top;mso-position-vertical-relative:text;margin-left:17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56, is a Class III director of Innventure. Ms. Williams has served as Managing Partner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11</w:t>
      </w:r>
      <w:r>
        <mc:AlternateContent>
          <mc:Choice Requires="wps">
            <w:drawing>
              <wp:anchor behindDoc="0" distT="0" distB="0" distL="0" distR="0" simplePos="0" locked="0" layoutInCell="1" allowOverlap="1" relativeHeight="16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42" name="Fram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founded in 2003. Mr. Austrup is also a co-founder and director of Envest Corp., a downstream energy company, and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founded in 2003. Mr. Austrup is also a co-founder and director of Envest Corp., a downstream energy company, and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43" name="Fram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44" name="Fram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Officer since June 2024 and as a member of Innventure LLC’s Executive Committee since 2023. Prior to his change of title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Officer since June 2024 and as a member of Innventure LLC’s Executive Committee since 2023. Prior to his change of title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45" name="Fram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46" name="Fram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Chief Growth Officer in June 2024, Mr. Austrup had served as Head of Capital Markets since 2023, and he also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Chief Growth Officer in June 2024, Mr. Austrup had served as Head of Capital Markets since 2023, and he also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47" name="Fram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48" name="Fram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previously served as Innventure LLC’s CFO from 2021 to 2023. Since 2019, Mr. Austrup has served as Chairman &amp;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previously served as Innventure LLC’s CFO from 2021 to 2023. Since 2019, Mr. Austrup has served as Chairman &amp;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49" name="Fram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50" name="Fram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Managing Principal of WaveFront Global Asset Management Corp., a Toronto-based global hedge fund company he co-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Managing Principal of WaveFront Global Asset Management Corp., a Toronto-based global hedge fund company he co-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6">
                <wp:simplePos x="0" y="0"/>
                <wp:positionH relativeFrom="page">
                  <wp:posOffset>2038985</wp:posOffset>
                </wp:positionH>
                <wp:positionV relativeFrom="line">
                  <wp:posOffset>635</wp:posOffset>
                </wp:positionV>
                <wp:extent cx="4989195" cy="146685"/>
                <wp:effectExtent l="0" t="0" r="0" b="0"/>
                <wp:wrapNone/>
                <wp:docPr id="951" name="Fram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91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61, is Innventure’s Chief Growth Officer. Roland has served as Innventure LLC’s Chief Growth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2.85pt;height:11.55pt;mso-wrap-distance-left:0pt;mso-wrap-distance-right:0pt;mso-wrap-distance-top:0pt;mso-wrap-distance-bottom:0pt;margin-top:0pt;mso-position-vertical:top;mso-position-vertical-relative:text;margin-left:16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61, is Innventure’s Chief Growth Officer. Roland has served as Innventure LLC’s Chief Growth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2" name="Fram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53" name="Fram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Advisory Board member of both the Master of Quantitative Finance program at the University of Waterloo and 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Advisory Board member of both the Master of Quantitative Finance program at the University of Waterloo and 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4" name="Fram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55" name="Fram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Tracks Capital, a Canadian private equity firm. Prior to that, Roland was an Investment Advisor with BMO Nesbitt Burns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Tracks Capital, a Canadian private equity firm. Prior to that, Roland was an Investment Advisor with BMO Nesbitt Burns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6" name="Fram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57" name="Fram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Inc. and began his career as a Commodities Broker with ScotiaMcLeod Inc. where he was primarily involved with hedging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Inc. and began his career as a Commodities Broker with ScotiaMcLeod Inc. where he was primarily involved with hedging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8" name="Fram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36945" cy="293370"/>
                <wp:effectExtent l="0" t="0" r="0" b="0"/>
                <wp:wrapNone/>
                <wp:docPr id="959" name="Fram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6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commodity price risk for corporate clients. Roland holds a B.A. with Honours from the University of Western Ontario.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5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commodity price risk for corporate clients. Roland holds a B.A. with Honours from the University of Western Ontario.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60" name="Fram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61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27125" cy="293370"/>
                <wp:effectExtent l="0" t="0" r="0" b="0"/>
                <wp:wrapNone/>
                <wp:docPr id="962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1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executive officers are: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executive officers are: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08990" cy="146685"/>
                <wp:effectExtent l="0" t="0" r="0" b="0"/>
                <wp:wrapNone/>
                <wp:docPr id="963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Dr. John Scott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Dr. John Scott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2">
                <wp:simplePos x="0" y="0"/>
                <wp:positionH relativeFrom="page">
                  <wp:posOffset>2009140</wp:posOffset>
                </wp:positionH>
                <wp:positionV relativeFrom="line">
                  <wp:posOffset>635</wp:posOffset>
                </wp:positionV>
                <wp:extent cx="5019675" cy="146685"/>
                <wp:effectExtent l="0" t="0" r="0" b="0"/>
                <wp:wrapNone/>
                <wp:docPr id="964" name="Fram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74, is Innventure’s Chief Strategy Officer. Dr. Scott has served as Chief Strategy Officer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25pt;height:11.55pt;mso-wrap-distance-left:0pt;mso-wrap-distance-right:0pt;mso-wrap-distance-top:0pt;mso-wrap-distance-bottom:0pt;margin-top:0pt;mso-position-vertical:top;mso-position-vertical-relative:text;margin-left:15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74, is Innventure’s Chief Strategy Officer. Dr. Scott has served as Chief Strategy Officer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65" name="Fram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66" name="Fram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since 2015. Prior to co-founding Innventure LLC, Dr. Scott served as Founder and CEO of XLTG, where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since 2015. Prior to co-founding Innventure LLC, Dr. Scott served as Founder and CEO of XLTG, where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67" name="Fram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68" name="Fram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 developed the DownSelect method that Innventure uses today to vet disruptive technologies from top MNCs and their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 developed the DownSelect method that Innventure uses today to vet disruptive technologies from top MNCs and their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969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addition to Mr. Haskell, our CEO, Mr. Yablunosky and our CFO, Mr. Otworth, our Executive Chairman,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addition to Mr. Haskell, our CEO, Mr. Yablunosky and our CFO, Mr. Otworth, our Executive Chairman,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70" name="Fram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associated business opportunities, from 1993 to 2013. Dr. Scott also served as an academic scientist at numerous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associated business opportunities, from 1993 to 2013. Dr. Scott also served as an academic scientist at numerous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1" name="Fram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72" name="Fram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universities and government labs, including the University of Maryland, the University of North Carolina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universities and government labs, including the University of Maryland, the University of North Carolina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3" name="Fram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74" name="Fram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University of Arizona, as well as the NASA Goddard Space Flight Center. He earned his Ph.D. in Physics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University of Arizona, as well as the NASA Goddard Space Flight Center. He earned his Ph.D. in Physics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5" name="Fram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35805" cy="293370"/>
                <wp:effectExtent l="0" t="0" r="0" b="0"/>
                <wp:wrapNone/>
                <wp:docPr id="976" name="Fram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8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Astrophysics from the University of Arizona and has published over 60 academic papers.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7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Astrophysics from the University of Arizona and has published over 60 academic papers.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38835" cy="293370"/>
                <wp:effectExtent l="0" t="0" r="0" b="0"/>
                <wp:wrapNone/>
                <wp:docPr id="977" name="Fram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8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Roland Austrup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0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Roland Austrup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Governance Overview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Board Composition </w:t>
      </w:r>
      <w:r>
        <mc:AlternateContent>
          <mc:Choice Requires="wps">
            <w:drawing>
              <wp:anchor behindDoc="0" distT="0" distB="0" distL="0" distR="0" simplePos="0" locked="0" layoutInCell="1" allowOverlap="1" relativeHeight="166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978" name="Fram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governance policies and practices provide a transparent framework for effective governance and compliance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governance policies and practices provide a transparent framework for effective governance and compliance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9" name="Fram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80" name="Fram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SEC and Nasdaq requirements. Our Board is committed to developing and continually reviewing our governance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SEC and Nasdaq requirements. Our Board is committed to developing and continually reviewing our governance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1" name="Fram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82" name="Fram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framework for alignment with best practices and stakeholder interests, and acts to enhance our ability to oversee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framework for alignment with best practices and stakeholder interests, and acts to enhance our ability to oversee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3" name="Fram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84" name="Fram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execution of strategies that drive value for the Company, our customers, employees and stockholders.  Our governance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execution of strategies that drive value for the Company, our customers, employees and stockholders.  Our governance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5" name="Fram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86" name="Fram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documents, including our Board committee charters, Code of Business Conduct and Ethics (“Code of Conduct”), and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documents, including our Board committee charters, Code of Business Conduct and Ethics (“Code of Conduct”), and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7" name="Frame1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88" name="Frame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governance policies are available on our website at https://ir.innventure.com/corporate-governance/documents-charters.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governance policies are available on our website at https://ir.innventure.com/corporate-governance/documents-charters.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9" name="Frame1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990" name="Fram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Information contained on or accessible through our website is not a part of this Proxy Statement and included for reference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Information contained on or accessible through our website is not a part of this Proxy Statement and included for reference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7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1" name="Fram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57175" cy="293370"/>
                <wp:effectExtent l="0" t="0" r="0" b="0"/>
                <wp:wrapNone/>
                <wp:docPr id="992" name="Fram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Orientation and Continuing Education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170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993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4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120900" cy="293370"/>
                <wp:effectExtent l="0" t="0" r="0" b="0"/>
                <wp:wrapNone/>
                <wp:docPr id="995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expire at this year’s Annual Meeting;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7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expire at this year’s Annual Meeting;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0">
                <wp:simplePos x="0" y="0"/>
                <wp:positionH relativeFrom="page">
                  <wp:posOffset>3549650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6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997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998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Class II directors are David Yablunosky, James O. Donnally and Bruce Brown, and their terms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Class II directors are David Yablunosky, James O. Donnally and Bruce Brown, and their terms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9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446145" cy="293370"/>
                <wp:effectExtent l="0" t="0" r="0" b="0"/>
                <wp:wrapNone/>
                <wp:docPr id="1000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61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expire at the annual meeting of stockholders to be held in 2026;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3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expire at the annual meeting of stockholders to be held in 2026;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5">
                <wp:simplePos x="0" y="0"/>
                <wp:positionH relativeFrom="page">
                  <wp:posOffset>4874895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01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8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1002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Class I directors are Gregory W. Haskell, Daniel J. Hennessy and Michael Amalfitano, and their 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Class I directors are Gregory W. Haskell, Daniel J. Hennessy and Michael Amalfitano, and their 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003" name="Fram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Class III directors are Michael Otworth, Suzanne Niemeyer and Elizabeth Williams, and their 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Class III directors are Michael Otworth, Suzanne Niemeyer and Elizabeth Williams, and their 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04" name="Fram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227705" cy="293370"/>
                <wp:effectExtent l="0" t="0" r="0" b="0"/>
                <wp:wrapNone/>
                <wp:docPr id="1005" name="Fram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7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expire at the annual meeting of stockholders to be held in 2027.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4.1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expire at the annual meeting of stockholders to be held in 2027.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006" name="Fram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additional directorships resulting from an increase in the authorized number of directors will be distributed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additional directorships resulting from an increase in the authorized number of directors will be distributed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07" name="Fram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08" name="Fram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among the three classes so that, as nearly as possible, each class will consist of one-third of our authorized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among the three classes so that, as nearly as possible, each class will consist of one-third of our authorized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09" name="Fram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75615" cy="293370"/>
                <wp:effectExtent l="0" t="0" r="0" b="0"/>
                <wp:wrapNone/>
                <wp:docPr id="1010" name="Fram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6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1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2" name="Frame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13" name="Fram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directors. Each director will continue to serve as a director until the election and qualification of his or her successor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directors. Each director will continue to serve as a director until the election and qualification of his or her successor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4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15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until his or her earlier death, resignation or removal. Subject to the rights of holders of any future series of preferred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until his or her earlier death, resignation or removal. Subject to the rights of holders of any future series of preferred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6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17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outstanding, directors may be removed only for cause by an affirmative vote of at least two-thirds of the total voting power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outstanding, directors may be removed only for cause by an affirmative vote of at least two-thirds of the total voting power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8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19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(which vote shall include the votes of the Series B Preferred Stock holders and Series C Preferred Stock holders voting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(which vote shall include the votes of the Series B Preferred Stock holders and Series C Preferred Stock holders voting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020" name="Fram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business and affairs of Innventure are managed under the direction of our Board. Our Board consists of nine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business and affairs of Innventure are managed under the direction of our Board. Our Board consists of nine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21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together with the Common Stock holders as a single class), at a meeting called for that purpose. The authorized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together with the Common Stock holders as a single class), at a meeting called for that purpose. The authorized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22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33770" cy="293370"/>
                <wp:effectExtent l="0" t="0" r="0" b="0"/>
                <wp:wrapNone/>
                <wp:docPr id="1023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37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directors may be changed by resolution of our Board. Vacancies on our Board can be filled by resolution of our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5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directors may be changed by resolution of our Board. Vacancies on our Board can be filled by resolution of our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024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our Certificate of Incorporation, our Board is divided into three classes, each serving staggered, three-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our Certificate of Incorporation, our Board is divided into three classes, each serving staggered, three-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25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year terms. Only one class of directors will be elected at each annual meeting of stockholders, with the other classes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year terms. Only one class of directors will be elected at each annual meeting of stockholders, with the other classes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26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40960" cy="293370"/>
                <wp:effectExtent l="0" t="0" r="0" b="0"/>
                <wp:wrapNone/>
                <wp:docPr id="1027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0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continuing for the remainder of their respective three-year terms. Our Board is designated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continuing for the remainder of their respective three-year terms. Our Board is designated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28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Director Independence</w:t>
      </w:r>
      <w:r>
        <mc:AlternateContent>
          <mc:Choice Requires="wps">
            <w:drawing>
              <wp:anchor behindDoc="0" distT="0" distB="0" distL="0" distR="0" simplePos="0" locked="0" layoutInCell="1" allowOverlap="1" relativeHeight="171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029" name="Fram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was formed in October 2024 with Innventure’s public listing.  The N&amp;CG Committee will lead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was formed in October 2024 with Innventure’s public listing.  The N&amp;CG Committee will lead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0" name="Fram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31" name="Fram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development of a Board orientation and onboarding program for future new directors. Onboarding will include integrating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development of a Board orientation and onboarding program for future new directors. Onboarding will include integrating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2" name="Fram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33" name="Fram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new directors into the Board to understand the details of Innventure’s strategy, and providing such future new directors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new directors into the Board to understand the details of Innventure’s strategy, and providing such future new directors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4" name="Fram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1035" name="Fram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the information needed to guide our growth and expansion – including the policies and procedures applicable to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the information needed to guide our growth and expansion – including the policies and procedures applicable to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6" name="Fram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037" name="Fram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members.  Additionally, the N&amp;CG Committee ensures the Board, including future new directors, have the opportunity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members.  Additionally, the N&amp;CG Committee ensures the Board, including future new directors, have the opportunity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8" name="Fram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917190" cy="293370"/>
                <wp:effectExtent l="0" t="0" r="0" b="0"/>
                <wp:wrapNone/>
                <wp:docPr id="1039" name="Fram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71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engage with our management and senior leadership team.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9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engage with our management and senior leadership team.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040" name="Fram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Board encourages our directors to pursue continuing education programs focused on our business and their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Board encourages our directors to pursue continuing education programs focused on our business and their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1" name="Fram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832475" cy="293370"/>
                <wp:effectExtent l="0" t="0" r="0" b="0"/>
                <wp:wrapNone/>
                <wp:docPr id="1042" name="Fram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24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roles and responsibilities as public company directors.  We reimburse our directors for the costs of these programs.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roles and responsibilities as public company directors.  We reimburse our directors for the costs of these programs.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12</w:t>
      </w:r>
      <w:r>
        <mc:AlternateContent>
          <mc:Choice Requires="wps">
            <w:drawing>
              <wp:anchor behindDoc="0" distT="0" distB="0" distL="0" distR="0" simplePos="0" locked="0" layoutInCell="1" allowOverlap="1" relativeHeight="172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043" name="Fram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evaluated and affirmatively determined the independence of each of James O. Donnally, Bruce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evaluated and affirmatively determined the independence of each of James O. Donnally, Bruce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4" name="Fram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45" name="Fram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Brown, Elizabeth Williams, Daniel J. Hennessy, and Michael Amalfitano: (i) based on each nominee’s completed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Brown, Elizabeth Williams, Daniel J. Hennessy, and Michael Amalfitano: (i) based on each nominee’s completed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6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47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questionnaire designed to solicit information about relationships that could have an impact on independence and (ii) using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questionnaire designed to solicit information about relationships that could have an impact on independence and (ii) using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8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49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standards required by the SEC and Nasdaq. In making these determinations, the Board considered the current and prior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standards required by the SEC and Nasdaq. In making these determinations, the Board considered the current and prior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0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51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relationships that each non-employee director has with Innventure and all other facts and circumstances the Board deemed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relationships that each non-employee director has with Innventure and all other facts and circumstances the Board deemed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2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053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relevant in determining a director nominee’s independence, including the beneficial ownership of our capital stock by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relevant in determining a director nominee’s independence, including the beneficial ownership of our capital stock by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4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3640" cy="293370"/>
                <wp:effectExtent l="0" t="0" r="0" b="0"/>
                <wp:wrapNone/>
                <wp:docPr id="1055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36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non-employee director.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non-employee director.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Director Nominations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Agreements to Nominate Certain Directors</w:t>
      </w:r>
      <w:r>
        <mc:AlternateContent>
          <mc:Choice Requires="wps">
            <w:drawing>
              <wp:anchor behindDoc="0" distT="0" distB="0" distL="0" distR="0" simplePos="0" locked="0" layoutInCell="1" allowOverlap="1" relativeHeight="174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056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N&amp;CG Committee is responsible for identifying and reviewing the qualifications of potential 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N&amp;CG Committee is responsible for identifying and reviewing the qualifications of potential 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7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58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candidates and recommending to the Board those individuals for election to Innventure’s Board. The N&amp;CG 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candidates and recommending to the Board those individuals for election to Innventure’s Board. The N&amp;CG 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9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60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recommends directors who have the experience, qualifications, skills and attributes to guide the Company and function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recommends directors who have the experience, qualifications, skills and attributes to guide the Company and function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61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062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effectively. The N&amp;CG Committee is also responsible for making recommendations to the Board of the criteria to be used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effectively. The N&amp;CG Committee is also responsible for making recommendations to the Board of the criteria to be used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63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78555" cy="293370"/>
                <wp:effectExtent l="0" t="0" r="0" b="0"/>
                <wp:wrapNone/>
                <wp:docPr id="1064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85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the N&amp;CG Committee in seeking nominees for election to the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the N&amp;CG Committee in seeking nominees for election to the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Stockholder Nominations &amp; Filling Vacancies</w:t>
      </w:r>
      <w:r>
        <mc:AlternateContent>
          <mc:Choice Requires="wps">
            <w:drawing>
              <wp:anchor behindDoc="0" distT="0" distB="0" distL="0" distR="0" simplePos="0" locked="0" layoutInCell="1" allowOverlap="1" relativeHeight="179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065" name="Fram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two (2) director, so long as the Founding Investors beneficially own at least 5%, but less than 20%,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two (2) director, so long as the Founding Investors beneficially own at least 5%, but less than 20%,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66" name="Fram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938655" cy="293370"/>
                <wp:effectExtent l="0" t="0" r="0" b="0"/>
                <wp:wrapNone/>
                <wp:docPr id="1067" name="Fram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6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outstanding shares of Common Stock;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6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outstanding shares of Common Stock;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68" name="Fram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1069" name="Frame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six (6) directors, so long as the Founding Investors beneficially own more than 50%, but less than 70%,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six (6) directors, so long as the Founding Investors beneficially own more than 50%, but less than 70%,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70" name="Fram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263140" cy="293370"/>
                <wp:effectExtent l="0" t="0" r="0" b="0"/>
                <wp:wrapNone/>
                <wp:docPr id="1071" name="Fram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1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outstanding shares of Common Stock;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2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outstanding shares of Common Stock;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72" name="Fram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1073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four (4) directors, so long as the Founding Investors beneficially own at least 40%, but less than 50%,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four (4) directors, so long as the Founding Investors beneficially own at least 40%, but less than 50%,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74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125345" cy="293370"/>
                <wp:effectExtent l="0" t="0" r="0" b="0"/>
                <wp:wrapNone/>
                <wp:docPr id="1075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3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outstanding shares of Common Stock;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7.3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outstanding shares of Common Stock;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76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077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three (3) directors, so long as the Founding Investors beneficially own at least 20%, but less than 40%,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three (3) directors, so long as the Founding Investors beneficially own at least 20%, but less than 40%,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78" name="Fram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477770" cy="293370"/>
                <wp:effectExtent l="0" t="0" r="0" b="0"/>
                <wp:wrapNone/>
                <wp:docPr id="1079" name="Fram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77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outstanding shares of Common Stock;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outstanding shares of Common Stock;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80" name="Fram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1081" name="Fram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seven (7) directors, so long as the Founding Investors beneficially own greater than 70%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seven (7) directors, so long as the Founding Investors beneficially own greater than 70%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2" name="Fram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484755" cy="293370"/>
                <wp:effectExtent l="0" t="0" r="0" b="0"/>
                <wp:wrapNone/>
                <wp:docPr id="1083" name="Fram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outstanding common shares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6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outstanding common shares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084" name="Fram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the event that the size of the Board is increased or decreased to a number of authorized directors other than nine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the event that the size of the Board is increased or decreased to a number of authorized directors other than nine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5" name="Fram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86" name="Fram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(9), the Founding Investors’ nomination rights will be proportionately increased or decreased, respectively, rounded up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(9), the Founding Investors’ nomination rights will be proportionately increased or decreased, respectively, rounded up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7" name="Fram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088" name="Fram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nearest whole number. In the event that a vacancy is created on the Board by the death, disability, resignation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nearest whole number. In the event that a vacancy is created on the Board by the death, disability, resignation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9" name="Fram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090" name="Fram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removal of a Founding Investor Nominee, the Founding Investors will be entitled to designate an individual to fill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removal of a Founding Investor Nominee, the Founding Investors will be entitled to designate an individual to fill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1" name="Fram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92" name="Fram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vacancy. The Founding Investors currently have the right to nominate for election to the Board three (3) Founding Investor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vacancy. The Founding Investors currently have the right to nominate for election to the Board three (3) Founding Investor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3" name="Fram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6100" cy="293370"/>
                <wp:effectExtent l="0" t="0" r="0" b="0"/>
                <wp:wrapNone/>
                <wp:docPr id="1094" name="Fram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2">
                <wp:simplePos x="0" y="0"/>
                <wp:positionH relativeFrom="page">
                  <wp:posOffset>1289050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5" name="Fram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96" name="Fram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of the members of Innventure LLC (the “Founding Investors”) and other parties entered into the Amended &amp;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of the members of Innventure LLC (the “Founding Investors”) and other parties entered into the Amended &amp;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2">
                <wp:simplePos x="0" y="0"/>
                <wp:positionH relativeFrom="page">
                  <wp:posOffset>6430010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7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0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098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Additionally, in connection with the completion (the “Closing”) of the business combination on October 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Additionally, in connection with the completion (the “Closing”) of the business combination on October 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9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00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(the “Business Combination”) by and between Learn CW Investment Corporation, a Cayman Islands exempted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(the “Business Combination”) by and between Learn CW Investment Corporation, a Cayman Islands exempted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1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02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(“Learn CW”), Innventure LLC, a Delaware limited liability company, Learn SPAC HoldCo, Inc., a Delaware corporation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(“Learn CW”), Innventure LLC, a Delaware limited liability company, Learn SPAC HoldCo, Inc., a Delaware 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3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04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(“Holdco”), LCW Merger Sub, Inc., a Delaware corporation (LCW Merger Sub”), and Innventure Merger Sub, LLC,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(“Holdco”), LCW Merger Sub, Inc., a Delaware corporation (LCW Merger Sub”), and Innventure Merger Sub, LLC,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5" name="Fram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06" name="Fram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Delaware limited liability company (“Innventure Merger Sub”) and the other transactions contemplated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Delaware limited liability company (“Innventure Merger Sub”) and the other transactions contemplated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7" name="Fram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75260"/>
                <wp:effectExtent l="0" t="0" r="0" b="0"/>
                <wp:wrapNone/>
                <wp:docPr id="1108" name="Fram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Transactions”) by the Business Combination Agreement (the “Business Combination Agreement”), dated October 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Transactions”) by the Business Combination Agreement (the “Business Combination Agreement”), dated October 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9" name="Fram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10" name="Fram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2023, by and among Learn CW, Innventure LLC, Holdco, LCW Merger Sub, and Innventure Merger Sub, the Company,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2023, by and among Learn CW, Innventure LLC, Holdco, LCW Merger Sub, and Innventure Merger Sub, the Company,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1" name="Fram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229860" cy="293370"/>
                <wp:effectExtent l="0" t="0" r="0" b="0"/>
                <wp:wrapNone/>
                <wp:docPr id="1112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8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Hennessy is a director designated by Learn CW pursuant to the Business Combination Agreement.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1.8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Hennessy is a director designated by Learn CW pursuant to the Business Combination Agreement.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3" name="Fram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14" name="Fram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Restated Investor Rights Agreement (the “Investor Rights Agreement” or “IRA”). Pursuant to the Investor Rights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Restated Investor Rights Agreement (the “Investor Rights Agreement” or “IRA”). Pursuant to the Investor Rights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5" name="Fram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16" name="Fram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the Company agreed to grant the Founding Investors certain rights with respect to nomination of the directors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the Company agreed to grant the Founding Investors certain rights with respect to nomination of the directors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7" name="Fram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72005" cy="293370"/>
                <wp:effectExtent l="0" t="0" r="0" b="0"/>
                <wp:wrapNone/>
                <wp:docPr id="1118" name="Frame1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0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Board, as further described below.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Board, as further described below.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119" name="Fram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Investor Rights Agreement, at each annual meeting or special meeting of stockholders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Investor Rights Agreement, at each annual meeting or special meeting of stockholders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20" name="Fram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121" name="Fram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at which directors are to be elected, the Founding Investors will have the right to nominate for election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at which directors are to be elected, the Founding Investors will have the right to nominate for election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22" name="Fram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23" name="Fram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a number of nominees (“Founding Investor Nominees”). The number of Founding Investor Nominees with respect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a number of nominees (“Founding Investor Nominees”). The number of Founding Investor Nominees with respect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24" name="Fram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30065" cy="293370"/>
                <wp:effectExtent l="0" t="0" r="0" b="0"/>
                <wp:wrapNone/>
                <wp:docPr id="1125" name="Fram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00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any meeting of stockholders at which directors are to be elected will be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0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any meeting of stockholders at which directors are to be elected will be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126" name="Fram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13</w:t>
      </w:r>
      <w:r>
        <mc:AlternateContent>
          <mc:Choice Requires="wps">
            <w:drawing>
              <wp:anchor behindDoc="0" distT="0" distB="0" distL="0" distR="0" simplePos="0" locked="0" layoutInCell="1" allowOverlap="1" relativeHeight="181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127" name="Fram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Section 2.14 of our Bylaws, a stockholder may make a nomination of a person or persons for election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Section 2.14 of our Bylaws, a stockholder may make a nomination of a person or persons for election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28" name="Fram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29" name="Fram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the Board upon (a) Timely Notice (as defined by the Bylaws) in writing and in proper form to the Secretary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the Board upon (a) Timely Notice (as defined by the Bylaws) in writing and in proper form to the Secretary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0" name="Fram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31" name="Fram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Company, (b) providing the information, agreements, and questionnaires with respect to the nominating stockholder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Company, (b) providing the information, agreements, and questionnaires with respect to the nominating stockholder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2" name="Fram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33" name="Fram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stockholder’s nominee as required by the Bylaws, and (c) providing any updates or supplements to such notices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stockholder’s nominee as required by the Bylaws, and (c) providing any updates or supplements to such notices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4" name="Fram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89405" cy="293370"/>
                <wp:effectExtent l="0" t="0" r="0" b="0"/>
                <wp:wrapNone/>
                <wp:docPr id="1135" name="Fram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94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further required by the Bylaws.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further required by the Bylaws.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1136" name="Fram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Article VI of our Certificate of Incorporation, subject to the rights, if any, of the holders of any series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Article VI of our Certificate of Incorporation, subject to the rights, if any, of the holders of any series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3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7" name="Fram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138" name="Fram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preferred stock and the rights of Learn CW and the Founding Investors under the Business Combination Agreement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preferred stock and the rights of Learn CW and the Founding Investors under the Business Combination Agreement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9" name="Fram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Leadership Structure</w:t>
      </w:r>
      <w:r>
        <mc:AlternateContent>
          <mc:Choice Requires="wps">
            <w:drawing>
              <wp:anchor behindDoc="0" distT="0" distB="0" distL="0" distR="0" simplePos="0" locked="0" layoutInCell="1" allowOverlap="1" relativeHeight="185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0" name="Fram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1" name="Fram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42" name="Fram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earlier death, resignation, retirement, disqualification, or removal. No decrease in the number of directors constituting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earlier death, resignation, retirement, disqualification, or removal. No decrease in the number of directors constituting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3" name="Fram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94635" cy="293370"/>
                <wp:effectExtent l="0" t="0" r="0" b="0"/>
                <wp:wrapNone/>
                <wp:docPr id="1144" name="Fram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6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may shorten the term of any incumbent director.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may shorten the term of any incumbent director.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7">
                <wp:simplePos x="0" y="0"/>
                <wp:positionH relativeFrom="page">
                  <wp:posOffset>3537585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5" name="Fram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7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146" name="Fram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the event that a vacancy is created on the Board at any time by the death, disability, resignation or removal of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the event that a vacancy is created on the Board at any time by the death, disability, resignation or removal of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7" name="Fram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93370"/>
                <wp:effectExtent l="0" t="0" r="0" b="0"/>
                <wp:wrapNone/>
                <wp:docPr id="1148" name="Fram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designated by the Founding Investors pursuant to the IRA, then the Founding Investors will be entitled to designate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designated by the Founding Investors pursuant to the IRA, then the Founding Investors will be entitled to designate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49" name="Fram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class for which such director has been chosen, and until his successor is elected and qualified or until such director’s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class for which such director has been chosen, and until his successor is elected and qualified or until such director’s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50" name="Fram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individual to fill the vacancy. The Company will take all necessary action (to the extent permitted by applicable law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individual to fill the vacancy. The Company will take all necessary action (to the extent permitted by applicable law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1" name="Fram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52" name="Fram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the extent such action is consistent with the fiduciary duties of the directors under Delaware law) to cause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the extent such action is consistent with the fiduciary duties of the directors under Delaware law) to cause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3" name="Fram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54" name="Fram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replacement designee to become a member of the Board. Additionally, for so long as Learn CW has the right to select one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replacement designee to become a member of the Board. Additionally, for so long as Learn CW has the right to select one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5" name="Fram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15280" cy="293370"/>
                <wp:effectExtent l="0" t="0" r="0" b="0"/>
                <wp:wrapNone/>
                <wp:docPr id="1156" name="Fram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52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to the Board, any vacancy with respect to the Learn CW director may only be filled by Learn CW.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6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to the Board, any vacancy with respect to the Learn CW director may only be filled by Learn CW.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57" name="Fram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IRA, respectively, directors may be removed only for cause by an affirmative vote of at least two-thirds of the total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IRA, respectively, directors may be removed only for cause by an affirmative vote of at least two-thirds of the total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8" name="Fram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59" name="Fram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a sole remaining director, and not by the stockholders. Any director so chosen will hold office until the next election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a sole remaining director, and not by the stockholders. Any director so chosen will hold office until the next election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0" name="Fram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61" name="Fram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filled exclusively by the affirmative vote of a majority of the directors then in office, even though less than a quorum,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filled exclusively by the affirmative vote of a majority of the directors then in office, even though less than a quorum,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2" name="Fram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63" name="Fram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directors and any vacancies on the Board resulting from death, resignation, disqualification, removal, or other cause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directors and any vacancies on the Board resulting from death, resignation, disqualification, removal, or other cause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4" name="Fram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65" name="Fram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Combination Agreement and the IRA, respectively, newly created directorships resulting from any increase in the 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Combination Agreement and the IRA, respectively, newly created directorships resulting from any increase in the 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6" name="Fram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67" name="Fram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holders of any series of preferred stock and the rights of Learn CW and the Founding Investors under the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holders of any series of preferred stock and the rights of Learn CW and the Founding Investors under the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8" name="Fram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69" name="Fram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directors, voting together as a single class, at a meeting duly called for that purpose. Subject to the rights, if any,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directors, voting together as a single class, at a meeting duly called for that purpose. Subject to the rights, if any,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0" name="Fram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171" name="Fram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voting power of all the outstanding shares of capital stock of the Company entitled to vote generally in the election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voting power of all the outstanding shares of capital stock of the Company entitled to vote generally in the election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2" name="Fram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Board’s Role in Risk Oversight</w:t>
      </w:r>
      <w:r>
        <mc:AlternateContent>
          <mc:Choice Requires="wps">
            <w:drawing>
              <wp:anchor behindDoc="0" distT="0" distB="0" distL="0" distR="0" simplePos="0" locked="0" layoutInCell="1" allowOverlap="1" relativeHeight="18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73" name="Fram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person or if the Chairman is another non-independent director. The LID, if any, will serve for a term specified by the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person or if the Chairman is another non-independent director. The LID, if any, will serve for a term specified by the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36590" cy="293370"/>
                <wp:effectExtent l="0" t="0" r="0" b="0"/>
                <wp:wrapNone/>
                <wp:docPr id="1174" name="Fram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65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and extensive knowledge of Innventure, enables him to drive strategy and agenda-setting at the Board level.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and extensive knowledge of Innventure, enables him to drive strategy and agenda-setting at the Board level.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5" name="Fram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76" name="Fram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Furthermore, our Board believes that having Mr. Otworth serve as our Executive Chairman, given his significant history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Furthermore, our Board believes that having Mr. Otworth serve as our Executive Chairman, given his significant history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7" name="Fram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78" name="Fram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and the CEO with balancing long-term strategic development and operations planning and implementation.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and the CEO with balancing long-term strategic development and operations planning and implementation.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9" name="Fram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80" name="Fram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best interests and supports the Board’s risk oversight efforts because it enables the Executive Chairman to support both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best interests and supports the Board’s risk oversight efforts because it enables the Executive Chairman to support both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1" name="Fram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182" name="Fram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believes separating the roles of Executive Chairman and CEO is in Innventure’s and our stockholders’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believes separating the roles of Executive Chairman and CEO is in Innventure’s and our stockholders’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59275" cy="293370"/>
                <wp:effectExtent l="0" t="0" r="0" b="0"/>
                <wp:wrapNone/>
                <wp:docPr id="1183" name="Fram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92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until his or her successor is selected by the Board. We currently do not have a LID.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until his or her successor is selected by the Board. We currently do not have a LID.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4" name="Fram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185" name="Fram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regularly reviews the Board’s leadership structure and the standing committees’ responsibilities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regularly reviews the Board’s leadership structure and the standing committees’ responsibilities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6" name="Fram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87" name="Fram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Director (“LID”) from the independent directors if the positions of Chairman and CEO are held by the same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Director (“LID”) from the independent directors if the positions of Chairman and CEO are held by the same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8" name="Fram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89" name="Fram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Committee, Chair of the Compensation Committee (as defined below) and our CEO. Our Board may also select a Lead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Committee, Chair of the Compensation Committee (as defined below) and our CEO. Our Board may also select a Lead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0" name="Fram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91" name="Fram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an Executive Chairman, an independent Chair of the Audit Committee (as defined below), Chair of the N&amp;CG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an Executive Chairman, an independent Chair of the Audit Committee (as defined below), Chair of the N&amp;CG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2" name="Fram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93" name="Fram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perspectives of the Board members and promote effective oversight. Our Board leadership structure is currently composed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perspectives of the Board members and promote effective oversight. Our Board leadership structure is currently composed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4" name="Fram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95" name="Fram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composition. The structure and composition of our Board and its committees are intended to leverage the diverse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composition. The structure and composition of our Board and its committees are intended to leverage the diverse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6" name="Fram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14</w:t>
      </w:r>
      <w:r>
        <mc:AlternateContent>
          <mc:Choice Requires="wps">
            <w:drawing>
              <wp:anchor behindDoc="0" distT="0" distB="0" distL="0" distR="0" simplePos="0" locked="0" layoutInCell="1" allowOverlap="1" relativeHeight="189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7" name="Fram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8">
                <wp:simplePos x="0" y="0"/>
                <wp:positionH relativeFrom="page">
                  <wp:posOffset>4217035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8" name="Fram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3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74085" cy="293370"/>
                <wp:effectExtent l="0" t="0" r="0" b="0"/>
                <wp:wrapNone/>
                <wp:docPr id="1199" name="Fram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40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programs comply with applicable legal and regulatory requirements.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3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programs comply with applicable legal and regulatory requirements.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0" name="Fram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01" name="Fram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(the “Compensation Committee”) assesses and monitors whether any of our compensation plans, policies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(the “Compensation Committee”) assesses and monitors whether any of our compensation plans, policies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2" name="Fram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03" name="Fram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faces and the adequacy of the Company’s policies and procedures designed to address such risks. Our 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faces and the adequacy of the Company’s policies and procedures designed to address such risks. Our 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4" name="Fram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05" name="Fram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evaluating the Company’s corporate governance policies and systems in light of the governance risks that the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evaluating the Company’s corporate governance policies and systems in light of the governance risks that the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6" name="Fram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07" name="Fram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effectiveness of our internal controls over financial reporting. Our N&amp;CG Committee is responsible for periodically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effectiveness of our internal controls over financial reporting. Our N&amp;CG Committee is responsible for periodically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8" name="Fram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09" name="Fram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management is undertaken, monitor compliance with legal and regulatory requirements, and review the adequacy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management is undertaken, monitor compliance with legal and regulatory requirements, and review the adequacy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210" name="Fram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One of the key functions of our Board is the informed oversight of our risk management process. Our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One of the key functions of our Board is the informed oversight of our risk management process. Our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11" name="Fram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Audit Committee also has the responsibility to review with management the process by which risk assessment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Audit Committee also has the responsibility to review with management the process by which risk assessment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2" name="Fram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13" name="Fram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including guidelines and policies to govern the process by which risk assessment and management is undertaken.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including guidelines and policies to govern the process by which risk assessment and management is undertaken.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4" name="Fram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15" name="Fram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discuss our major financial risk exposures and the steps our management has taken to monitor and control these exposures,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discuss our major financial risk exposures and the steps our management has taken to monitor and control these exposures,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6" name="Fram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17" name="Fram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assessing strategic risk exposure, and our audit committee (the “Audit Committee”) has the responsibility to consider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assessing strategic risk exposure, and our audit committee (the “Audit Committee”) has the responsibility to consider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8" name="Fram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19" name="Fram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address risks inherent in their respective areas of oversight. In particular, our Board is responsible for monitoring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address risks inherent in their respective areas of oversight. In particular, our Board is responsible for monitoring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0" name="Fram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21" name="Fram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administers this oversight function directly through our Board as a whole, as well as through various standing committees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administers this oversight function directly through our Board as a whole, as well as through various standing committees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2" name="Fram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Committees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15</w:t>
      </w:r>
      <w:r>
        <mc:AlternateContent>
          <mc:Choice Requires="wps">
            <w:drawing>
              <wp:anchor behindDoc="0" distT="0" distB="0" distL="0" distR="0" simplePos="0" locked="0" layoutInCell="1" allowOverlap="1" relativeHeight="19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23" name="Fram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Rules. Therefore, Mr. Haskell, Mr. Yablunosky, Mr. Otworth and Ms. Niemeyer do not serve on any of our three standing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Rules. Therefore, Mr. Haskell, Mr. Yablunosky, Mr. Otworth and Ms. Niemeyer do not serve on any of our three standing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10560" cy="293370"/>
                <wp:effectExtent l="0" t="0" r="0" b="0"/>
                <wp:wrapNone/>
                <wp:docPr id="1224" name="Frame1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5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expert,” as such term is defined in Item 407 of Regulation S-K.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expert,” as such term is defined in Item 407 of Regulation S-K.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5" name="Fram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26" name="Fram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Nasdaq. In addition, each of Mr. Donnally, Mr. Hennessy and Ms. Williams qualify as an “audit committee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Nasdaq. In addition, each of Mr. Donnally, Mr. Hennessy and Ms. Williams qualify as an “audit committee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7" name="Fram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28" name="Fram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also meet the requirements for financial literacy under the applicable rules and regulations of the SEC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also meet the requirements for financial literacy under the applicable rules and regulations of the SEC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9" name="Fram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30" name="Fram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Audit Committee members under applicable SEC rules and Nasdaq Listing Rules. All of the members of our Audit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Audit Committee members under applicable SEC rules and Nasdaq Listing Rules. All of the members of our Audit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31" name="Fram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32" name="Fram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committees. The Board has determined that the members of the Audit Committee meet the requirements for independence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committees. The Board has determined that the members of the Audit Committee meet the requirements for independence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33" name="Fram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234" name="Fram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2024, our Board had an Audit Committee, a Compensation Committee, and a N&amp;CG Committee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2024, our Board had an Audit Committee, a Compensation Committee, and a N&amp;CG Committee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35" name="Fram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236" name="Fram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member of our three standing committees is independent under applicable SEC rules and Nasdaq Listing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member of our three standing committees is independent under applicable SEC rules and Nasdaq Listing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7">
                <wp:simplePos x="0" y="0"/>
                <wp:positionH relativeFrom="page">
                  <wp:posOffset>857250</wp:posOffset>
                </wp:positionH>
                <wp:positionV relativeFrom="line">
                  <wp:posOffset>635</wp:posOffset>
                </wp:positionV>
                <wp:extent cx="751840" cy="262890"/>
                <wp:effectExtent l="0" t="0" r="0" b="0"/>
                <wp:wrapNone/>
                <wp:docPr id="1237" name="Fram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8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Not independent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pt;height:20.7pt;mso-wrap-distance-left:0pt;mso-wrap-distance-right:0pt;mso-wrap-distance-top:0pt;mso-wrap-distance-bottom:0pt;margin-top:0pt;mso-position-vertical:top;mso-position-vertical-relative:text;margin-left: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Not independent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" cy="131445"/>
                <wp:effectExtent l="0" t="0" r="0" b="0"/>
                <wp:wrapNone/>
                <wp:docPr id="1238" name="Fram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90445" cy="262890"/>
                <wp:effectExtent l="0" t="0" r="0" b="0"/>
                <wp:wrapNone/>
                <wp:docPr id="1239" name="Fram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044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All standing committee members are independent.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.3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All standing committee members are independent.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1240" name="Fram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955165" cy="293370"/>
                <wp:effectExtent l="0" t="0" r="0" b="0"/>
                <wp:wrapNone/>
                <wp:docPr id="1241" name="Frame1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51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these committees are described below.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these committees are described below.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2" name="Fram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43" name="Fram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support the full Board with various risk management governance, and strategic responsibilities. The current members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support the full Board with various risk management governance, and strategic responsibilities. The current members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4" name="Fram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Executive Sessions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Director Meeting Attendance</w:t>
      </w:r>
      <w:r>
        <mc:AlternateContent>
          <mc:Choice Requires="wps">
            <w:drawing>
              <wp:anchor behindDoc="0" distT="0" distB="0" distL="0" distR="0" simplePos="0" locked="0" layoutInCell="1" allowOverlap="1" relativeHeight="193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245" name="Frame1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Since the completion of the Business Combination, the independent members of the Board have met in two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Since the completion of the Business Combination, the independent members of the Board have met in two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6" name="Frame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47" name="Frame1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scheduled executive sessions. The independent members of the Board expect to have at least four, but no less than two,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scheduled executive sessions. The independent members of the Board expect to have at least four, but no less than two,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8" name="Frame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67225" cy="293370"/>
                <wp:effectExtent l="0" t="0" r="0" b="0"/>
                <wp:wrapNone/>
                <wp:docPr id="1249" name="Frame1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regularly scheduled meetings at which only independent directors are present each year.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regularly scheduled meetings at which only independent directors are present each year.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Stockholder Communications with the Board</w:t>
      </w:r>
      <w:r>
        <mc:AlternateContent>
          <mc:Choice Requires="wps">
            <w:drawing>
              <wp:anchor behindDoc="0" distT="0" distB="0" distL="0" distR="0" simplePos="0" locked="0" layoutInCell="1" allowOverlap="1" relativeHeight="193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250" name="Frame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Board encourages all directors to attend each meeting of the Board and each annual meeting of stockholders,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Board encourages all directors to attend each meeting of the Board and each annual meeting of stockholders,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51" name="Frame1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52" name="Frame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but has not implemented any policies or procedures to mandate attendance.  In 2024, the Board met three times, and all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but has not implemented any policies or procedures to mandate attendance.  In 2024, the Board met three times, and all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53" name="Frame1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54" name="Frame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directors attended all of the Board meetings. All committee members met at all two meetings of the Audit Committee,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directors attended all of the Board meetings. All committee members met at all two meetings of the Audit Committee,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55" name="Frame1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919345" cy="293370"/>
                <wp:effectExtent l="0" t="0" r="0" b="0"/>
                <wp:wrapNone/>
                <wp:docPr id="1256" name="Frame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93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meeting of the Compensation Committee, and the meeting of the N&amp;CG Committee in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meeting of the Compensation Committee, and the meeting of the N&amp;CG Committee in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16</w:t>
      </w:r>
      <w:r>
        <mc:AlternateContent>
          <mc:Choice Requires="wps">
            <w:drawing>
              <wp:anchor behindDoc="0" distT="0" distB="0" distL="0" distR="0" simplePos="0" locked="0" layoutInCell="1" allowOverlap="1" relativeHeight="19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257" name="Frame1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Interested parties may communicate with the Company by letter addressed to Investor Relations, Innventure, Inc.,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Interested parties may communicate with the Company by letter addressed to Investor Relations, Innventure, Inc.,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58" name="Frame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59" name="Frame1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6900 Tavistock Lakes Blvd, Suite 400, Orlando, Florida 32827, or by e-mail to Investor Relations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6900 Tavistock Lakes Blvd, Suite 400, Orlando, Florida 32827, or by e-mail to Investor Relations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0" name="Frame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22450" cy="293370"/>
                <wp:effectExtent l="0" t="0" r="0" b="0"/>
                <wp:wrapNone/>
                <wp:docPr id="1261" name="Frame1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24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investtorrelations@innventure.com.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3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investtorrelations@innventure.com.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Code of Business Conduct and Ethics</w:t>
      </w:r>
      <w:r>
        <mc:AlternateContent>
          <mc:Choice Requires="wps">
            <w:drawing>
              <wp:anchor behindDoc="0" distT="0" distB="0" distL="0" distR="0" simplePos="0" locked="0" layoutInCell="1" allowOverlap="1" relativeHeight="194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262" name="Frame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stockholders should send any communications to the Board, any committee chairperson or the 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stockholders should send any communications to the Board, any committee chairperson or the 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63" name="Frame1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management directors of Innventure by writing to Attn: Corporate Secretary, legal@innventure.com. Any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management directors of Innventure by writing to Attn: Corporate Secretary, legal@innventure.com. Any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4" name="Frame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65" name="Frame1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communication will be reviewed and, to the extent such communication falls within the scope of matters generally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communication will be reviewed and, to the extent such communication falls within the scope of matters generally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6" name="Frame1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67" name="Frame1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considered by the Board, forwarded to the Board, the appropriate committee chairperson or the non-management directors,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considered by the Board, forwarded to the Board, the appropriate committee chairperson or the non-management directors,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8" name="Frame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69" name="Frame1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appropriate, based on the subject matter of the communication. The acceptance and forwarding of communications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appropriate, based on the subject matter of the communication. The acceptance and forwarding of communications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0" name="Frame1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71" name="Frame1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members of the Board or to an executive officer does not imply or create any fiduciary duty of such director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members of the Board or to an executive officer does not imply or create any fiduciary duty of such director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2" name="Frame1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06115" cy="293370"/>
                <wp:effectExtent l="0" t="0" r="0" b="0"/>
                <wp:wrapNone/>
                <wp:docPr id="1273" name="Frame1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1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executive officer to the person submitting the communications.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executive officer to the person submitting the communications.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0">
                <wp:simplePos x="0" y="0"/>
                <wp:positionH relativeFrom="page">
                  <wp:posOffset>3949065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4" name="Frame1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1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Corporate Governance Guidelines</w:t>
      </w:r>
      <w:r>
        <mc:AlternateContent>
          <mc:Choice Requires="wps">
            <w:drawing>
              <wp:anchor behindDoc="0" distT="0" distB="0" distL="0" distR="0" simplePos="0" locked="0" layoutInCell="1" allowOverlap="1" relativeHeight="196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275" name="Frame1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have adopted a Code of Conduct applicable to our directors, officers and employees, including our CEO, CFO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have adopted a Code of Conduct applicable to our directors, officers and employees, including our CEO, CFO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6" name="Frame1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77" name="Frame1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other executive and senior financial officers. The Code of Conduct is available on our website at https://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other executive and senior financial officers. The Code of Conduct is available on our website at https://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78" name="Frame1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ir.innventure.com/corporate-governance/documents-charters. Our Board is responsible for overseeing the Code of Conduct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ir.innventure.com/corporate-governance/documents-charters. Our Board is responsible for overseeing the Code of Conduct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9" name="Frame1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80" name="Frame1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must approve any amendments, waivers and exceptions to the Code of Conduct for executive officers and directors.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must approve any amendments, waivers and exceptions to the Code of Conduct for executive officers and directors.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1" name="Frame1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82" name="Frame1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CFO and General Counsel must approve any amendments, waivers and exceptions to the Code of Conduct for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CFO and General Counsel must approve any amendments, waivers and exceptions to the Code of Conduct for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3" name="Frame1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84" name="Frame1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employees. We intend to disclose future amendments to the Code of Conduct, or waivers of certain provisions as they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employees. We intend to disclose future amendments to the Code of Conduct, or waivers of certain provisions as they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5" name="Frame1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86" name="Frame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relate to our directors and executive officers at the same information on our website is not intended to form a part of or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relate to our directors and executive officers at the same information on our website is not intended to form a part of or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7" name="Frame1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53030" cy="293370"/>
                <wp:effectExtent l="0" t="0" r="0" b="0"/>
                <wp:wrapNone/>
                <wp:docPr id="1288" name="Frame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incorporated by reference into this Proxy Statement.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incorporated by reference into this Proxy Statement.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Compensation Clawback Policy</w:t>
      </w:r>
      <w:r>
        <mc:AlternateContent>
          <mc:Choice Requires="wps">
            <w:drawing>
              <wp:anchor behindDoc="0" distT="0" distB="0" distL="0" distR="0" simplePos="0" locked="0" layoutInCell="1" allowOverlap="1" relativeHeight="197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289" name="Frame1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committed to conducting business with integrity and pursuing governance best practices. In October 2024,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committed to conducting business with integrity and pursuing governance best practices. In October 2024,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0" name="Frame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91" name="Frame1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Board adopted Corporate Governance Guidelines which, along with our Certificate of Incorporation, Bylaws,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Board adopted Corporate Governance Guidelines which, along with our Certificate of Incorporation, Bylaws,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2" name="Frame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93" name="Frame1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respective charters of the Board committees, serve as governance framework to assist the Board and its committees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respective charters of the Board committees, serve as governance framework to assist the Board and its committees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4" name="Frame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95" name="Frame1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effectively exercising their responsibilities to the Company and our shareholders and provide a framework for the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effectively exercising their responsibilities to the Company and our shareholders and provide a framework for the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6" name="Frame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97" name="Frame1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governance of the Company within which the Board may conduct is business. The N&amp;CG Committee will periodically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governance of the Company within which the Board may conduct is business. The N&amp;CG Committee will periodically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8" name="Frame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38445" cy="293370"/>
                <wp:effectExtent l="0" t="0" r="0" b="0"/>
                <wp:wrapNone/>
                <wp:docPr id="1299" name="Frame1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84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review and assess the Corporate Governance Guidelines and recommend updates to the Board as needed.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review and assess the Corporate Governance Guidelines and recommend updates to the Board as needed.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Insider Trading and Anti-Hedging Policies and Procedures</w:t>
      </w:r>
      <w:r>
        <mc:AlternateContent>
          <mc:Choice Requires="wps">
            <w:drawing>
              <wp:anchor behindDoc="0" distT="0" distB="0" distL="0" distR="0" simplePos="0" locked="0" layoutInCell="1" allowOverlap="1" relativeHeight="199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0" name="Frame1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51500" cy="293370"/>
                <wp:effectExtent l="0" t="0" r="0" b="0"/>
                <wp:wrapNone/>
                <wp:docPr id="1301" name="Frame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1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last three fiscal years), unless one of the limited exceptions set forth in the Section 16 Clawback Policy applies.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last three fiscal years), unless one of the limited exceptions set forth in the Section 16 Clawback Policy applies.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2" name="Frame1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03" name="Frame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reasonably promptly the excess compensation received, and within the applicable recovery period (which is generally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reasonably promptly the excess compensation received, and within the applicable recovery period (which is generally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4" name="Frame1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05" name="Frame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less incentive-based compensation under the relevant restated amounts than they actually received, we must recover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less incentive-based compensation under the relevant restated amounts than they actually received, we must recover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3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6" name="Frame1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307" name="Frame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his or her subordinates in the case of a restatement. If there is a restatement and the Section 16 officer would have received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his or her subordinates in the case of a restatement. If there is a restatement and the Section 16 officer would have received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8" name="Frame1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09" name="Frame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16 Clawback Policy is a “no fault” policy and does not require any misconduct on the part of a Section 16 officer or any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16 Clawback Policy is a “no fault” policy and does not require any misconduct on the part of a Section 16 officer or any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0" name="Frame1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11" name="Frame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granted, earned or vested based wholly, or in part, upon the Company attaining a financial reporting measure. The Section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granted, earned or vested based wholly, or in part, upon the Company attaining a financial reporting measure. The Section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312" name="Frame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October 2024, the Board adopted a Compensation Clawback Policy (“Section 16 Clawback Policy”) to comply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October 2024, the Board adopted a Compensation Clawback Policy (“Section 16 Clawback Policy”) to comply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313" name="Frame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correct in the first instance (without regard to any taxes paid). Incentive-based compensation includes any 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correct in the first instance (without regard to any taxes paid). Incentive-based compensation includes any 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4" name="Frame1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315" name="Frame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excess of the amount actually received over the amount that would have been received had the financial statements been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excess of the amount actually received over the amount that would have been received had the financial statements been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6" name="Frame1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17" name="Frame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current or former executive officers of the Company (“Section 16 officers”) incentive-based compensation representing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current or former executive officers of the Company (“Section 16 officers”) incentive-based compensation representing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8" name="Frame1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19" name="Frame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Clawback Policy, in the event of certain accounting restatements, we will be generally required to recover from certain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Clawback Policy, in the event of certain accounting restatements, we will be generally required to recover from certain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0" name="Frame1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21" name="Frame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the mandatory compensation “clawback” requirements under Nasdaq Listing Rule 5608. Under the Section 16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the mandatory compensation “clawback” requirements under Nasdaq Listing Rule 5608. Under the Section 16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2" name="Frame1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17</w:t>
      </w:r>
      <w:r>
        <mc:AlternateContent>
          <mc:Choice Requires="wps">
            <w:drawing>
              <wp:anchor behindDoc="0" distT="0" distB="0" distL="0" distR="0" simplePos="0" locked="0" layoutInCell="1" allowOverlap="1" relativeHeight="202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3" name="Frame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75970" cy="293370"/>
                <wp:effectExtent l="0" t="0" r="0" b="0"/>
                <wp:wrapNone/>
                <wp:docPr id="1324" name="Frame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April 14,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April 14,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5" name="Frame1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326" name="Frame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copy of our Insider Trading Policy is filed as Exhibit 19.1 to our 2024 Annual Report, filed with the SEC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copy of our Insider Trading Policy is filed as Exhibit 19.1 to our 2024 Annual Report, filed with the SEC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0540" cy="293370"/>
                <wp:effectExtent l="0" t="0" r="0" b="0"/>
                <wp:wrapNone/>
                <wp:docPr id="1327" name="Frame1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securities.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securities.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8" name="Frame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29" name="Frame1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margin account as collateral for a margin loan and (iii) discourages placing standing or limit orders on the Company’s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margin account as collateral for a margin loan and (iii) discourages placing standing or limit orders on the Company’s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30" name="Frame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331" name="Frame1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collateral for a loan or other form of indebtedness, including, without limitation, holding the Company’s securities in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collateral for a loan or other form of indebtedness, including, without limitation, holding the Company’s securities in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32" name="Frame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33" name="Frame1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Company’s securities, (ii) discourages pledging, hypothecating or otherwise using the Company’s securities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Company’s securities, (ii) discourages pledging, hypothecating or otherwise using the Company’s securities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34" name="Frame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335" name="Frame1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funds or through other transactions that hedge or offset, or are designed to hedge or offset, any decrease in the market value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funds or through other transactions that hedge or offset, or are designed to hedge or offset, any decrease in the market value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95935" cy="146685"/>
                <wp:effectExtent l="0" t="0" r="0" b="0"/>
                <wp:wrapNone/>
                <wp:docPr id="1336" name="Frame1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9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We have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0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We have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37" name="Frame1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financial instruments such as prepaid variable forwards, equity swaps, short sale instruments, puts, collars and exchange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financial instruments such as prepaid variable forwards, equity swaps, short sale instruments, puts, collars and exchange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38" name="Frame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339" name="Frame1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Insider Trading Policy also (i) imposes prohibitions on hedging or monetization transactions, including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Insider Trading Policy also (i) imposes prohibitions on hedging or monetization transactions, including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8">
                <wp:simplePos x="0" y="0"/>
                <wp:positionH relativeFrom="page">
                  <wp:posOffset>2106930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0" name="Frame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6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63980" cy="293370"/>
                <wp:effectExtent l="0" t="0" r="0" b="0"/>
                <wp:wrapNone/>
                <wp:docPr id="1341" name="Frame1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Nasdaq’s listing standards.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Nasdaq’s listing standards.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2" name="Frame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43" name="Frame1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us, that we believe are reasonably designed to promote compliance with insider trading laws, rules, and regulations,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us, that we believe are reasonably designed to promote compliance with insider trading laws, rules, and regulations,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4" name="Frame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45" name="Frame1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officers, employees, and other covered persons (including family members), and have implemented processes applicable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officers, employees, and other covered persons (including family members), and have implemented processes applicable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6" name="Frame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1">
                <wp:simplePos x="0" y="0"/>
                <wp:positionH relativeFrom="page">
                  <wp:posOffset>2098040</wp:posOffset>
                </wp:positionH>
                <wp:positionV relativeFrom="line">
                  <wp:posOffset>635</wp:posOffset>
                </wp:positionV>
                <wp:extent cx="4930775" cy="146685"/>
                <wp:effectExtent l="0" t="0" r="0" b="0"/>
                <wp:wrapNone/>
                <wp:docPr id="1347" name="Frame1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07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insider trading policy (the “Insider Trading Policy”) and procedures applicable to directors,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8.25pt;height:11.55pt;mso-wrap-distance-left:0pt;mso-wrap-distance-right:0pt;mso-wrap-distance-top:0pt;mso-wrap-distance-bottom:0pt;margin-top:0pt;mso-position-vertical:top;mso-position-vertical-relative:text;margin-left:16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insider trading policy (the “Insider Trading Policy”) and procedures applicable to directors,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0">
                <wp:simplePos x="0" y="0"/>
                <wp:positionH relativeFrom="page">
                  <wp:posOffset>1696085</wp:posOffset>
                </wp:positionH>
                <wp:positionV relativeFrom="line">
                  <wp:posOffset>635</wp:posOffset>
                </wp:positionV>
                <wp:extent cx="401955" cy="293370"/>
                <wp:effectExtent l="0" t="0" r="0" b="0"/>
                <wp:wrapNone/>
                <wp:docPr id="1348" name="Frame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adopted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65pt;height:23.1pt;mso-wrap-distance-left:0pt;mso-wrap-distance-right:0pt;mso-wrap-distance-top:0pt;mso-wrap-distance-bottom:0pt;margin-top:0pt;mso-position-vertical:top;mso-position-vertical-relative:text;margin-left:13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adopted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CERTAIN RELATIONSHIPS AND RELATED PARTY TRANSACTIONS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Transactions with AeroFlexx, Accelsius, Innventus ESG Fund I, L.P., and Innventure1, LLC </w:t>
      </w:r>
      <w:r>
        <mc:AlternateContent>
          <mc:Choice Requires="wps">
            <w:drawing>
              <wp:anchor behindDoc="0" distT="0" distB="0" distL="0" distR="0" simplePos="0" locked="0" layoutInCell="1" allowOverlap="1" relativeHeight="20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1349" name="Frame1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Unless otherwise indicated, all dollar amounts (“$”) in this section are expressed in thousands, except share and per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Unless otherwise indicated, all dollar amounts (“$”) in this section are expressed in thousands, except share and per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50" name="Frame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2280" cy="293370"/>
                <wp:effectExtent l="0" t="0" r="0" b="0"/>
                <wp:wrapNone/>
                <wp:docPr id="1351" name="Frame1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2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293370"/>
                <wp:effectExtent l="0" t="0" r="0" b="0"/>
                <wp:wrapNone/>
                <wp:docPr id="1352" name="Frame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is a description of each transaction since January 1, 2023 and each currently proposed transaction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is a description of each transaction since January 1, 2023 and each currently proposed transaction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53" name="Frame1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54" name="Frame1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Innventure LLC, Innventure or AeroFlexx, Accelsius Holdings LLC (“Accelsius”) and Refinity Olefins, LLC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Innventure LLC, Innventure or AeroFlexx, Accelsius Holdings LLC (“Accelsius”) and Refinity Olefins, LLC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55" name="Frame1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99175" cy="293370"/>
                <wp:effectExtent l="0" t="0" r="0" b="0"/>
                <wp:wrapNone/>
                <wp:docPr id="1356" name="Frame1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91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(“Refinity,” together with AeroFlexx and Accelsius, the “Innventure Companies”) has been or is to be a participant and: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0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(“Refinity,” together with AeroFlexx and Accelsius, the “Innventure Companies”) has been or is to be a participant and: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357" name="Frame1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53665" cy="293370"/>
                <wp:effectExtent l="0" t="0" r="0" b="0"/>
                <wp:wrapNone/>
                <wp:docPr id="1358" name="Frame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6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amount involved exceeded or exceeds $120;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9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amount involved exceeded or exceeds $120;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359" name="Frame1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360" name="Frame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of such company’s directors, executive officers, or holders of more than 5% of its capital stock, or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of such company’s directors, executive officers, or holders of more than 5% of its capital stock, or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1" name="Frame1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362" name="Frame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immediate family member of, or person sharing the household with, any of these individuals, had or will 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immediate family member of, or person sharing the household with, any of these individuals, had or will 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3" name="Frame1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817370" cy="293370"/>
                <wp:effectExtent l="0" t="0" r="0" b="0"/>
                <wp:wrapNone/>
                <wp:docPr id="1364" name="Frame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7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direct or indirect material interest.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3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direct or indirect material interest.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Management Services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Option Agreement</w:t>
      </w:r>
      <w:r>
        <mc:AlternateContent>
          <mc:Choice Requires="wps">
            <w:drawing>
              <wp:anchor behindDoc="0" distT="0" distB="0" distL="0" distR="0" simplePos="0" locked="0" layoutInCell="1" allowOverlap="1" relativeHeight="206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5" name="Frame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63040" cy="293370"/>
                <wp:effectExtent l="0" t="0" r="0" b="0"/>
                <wp:wrapNone/>
                <wp:docPr id="1366" name="Frame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 and 2023, 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 and 2023, 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7" name="Frame1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68" name="Frame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ESG Fund’s expenses exceed $800, for a total of $0 and $0 of costs reimbursed in the fiscal years ended December 31,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ESG Fund’s expenses exceed $800, for a total of $0 and $0 of costs reimbursed in the fiscal years ended December 31,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9" name="Frame1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70" name="Frame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may offset the management services fees owed to Innventure GP and Management Services by the amount in which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may offset the management services fees owed to Innventure GP and Management Services by the amount in which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1" name="Frame1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372" name="Frame1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Additionally, pursuant to the ESG Fund’s Amended and Restated Limited Partnership Agreement, the ESG Fund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Additionally, pursuant to the ESG Fund’s Amended and Restated Limited Partnership Agreement, the ESG Fund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44365" cy="293370"/>
                <wp:effectExtent l="0" t="0" r="0" b="0"/>
                <wp:wrapNone/>
                <wp:docPr id="1373" name="Frame1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43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ESG Fund owed to Management Services approximately $600 and $0, 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ESG Fund owed to Management Services approximately $600 and $0, 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374" name="Frame1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a Management Services Agreement dated August 17, 2018, among Innventure Management Services,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a Management Services Agreement dated August 17, 2018, among Innventure Management Services,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75" name="Frame1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2023, the ESG Fund paid $800 and $800, respectively, for these management services. As of December 31, 2024 and 2023,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2023, the ESG Fund paid $800 and $800, respectively, for these management services. As of December 31, 2024 and 2023,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6" name="Frame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77" name="Frame1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accounting services and other back-office functions for the ESG Fund. For the years ended December 31, 2024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accounting services and other back-office functions for the ESG Fund. For the years ended December 31, 2024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8" name="Frame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79" name="Frame1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Innventus ESG Fund I, L.P. (the “ESG Fund”), Innventure earns management fees for providing administrative, finance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Innventus ESG Fund I, L.P. (the “ESG Fund”), Innventure earns management fees for providing administrative, finance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0" name="Frame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81" name="Frame1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LLC (“Management Services”), a wholly owned subsidiary of Innventure LLC, Innventure GP LLC (“Innventure GP”)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LLC (“Management Services”), a wholly owned subsidiary of Innventure LLC, Innventure GP LLC (“Innventure GP”)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2" name="Frame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Indebtedness</w:t>
      </w:r>
      <w:r>
        <mc:AlternateContent>
          <mc:Choice Requires="wps">
            <w:drawing>
              <wp:anchor behindDoc="0" distT="0" distB="0" distL="0" distR="0" simplePos="0" locked="0" layoutInCell="1" allowOverlap="1" relativeHeight="208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3" name="Frame1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71470" cy="293370"/>
                <wp:effectExtent l="0" t="0" r="0" b="0"/>
                <wp:wrapNone/>
                <wp:docPr id="1384" name="Frame1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14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are released from contractual lock-up obligations.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are released from contractual lock-up obligations.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5" name="Frame1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86" name="Frame1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approximately half of the Option Shares have been delivered to ESG Fund, with the remainder to be delivered once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approximately half of the Option Shares have been delivered to ESG Fund, with the remainder to be delivered once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7" name="Frame1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88" name="Frame1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restrictions. The option was exercised in full on March 16, 2022 for 145,161 shares of PCT’s common stock and, to date,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restrictions. The option was exercised in full on March 16, 2022 for 145,161 shares of PCT’s common stock and, to date,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9" name="Frame1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1390" name="Frame1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 transactions and may only be delivered to the ESG Fund upon the periodic expiration of such lock-up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 transactions and may only be delivered to the ESG Fund upon the periodic expiration of such lock-up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1" name="Frame1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92" name="Frame1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Option Shares are subject to a contractual lock-up agreement that Innventure LLC entered into in connection with PCT’s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Option Shares are subject to a contractual lock-up agreement that Innventure LLC entered into in connection with PCT’s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3" name="Frame1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94" name="Frame1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prior to the consummation of certain business combination transactions involving PCT, held by Innventure LLC.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prior to the consummation of certain business combination transactions involving PCT, held by Innventure LLC.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395" name="Frame1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12, 2021, Innventure LLC entered into a purchase option agreement with the ESG Fund (then known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12, 2021, Innventure LLC entered into a purchase option agreement with the ESG Fund (then known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96" name="Frame1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Shares”) or (ii) 13,798 Class A units of PCT at an exercise price of $1.00 per Class A Unit, if the option was exercised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Shares”) or (ii) 13,798 Class A units of PCT at an exercise price of $1.00 per Class A Unit, if the option was exercised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7" name="Frame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98" name="Frame1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consummation of certain business combination transactions involving PCT held by Innventure LLC (the “Option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consummation of certain business combination transactions involving PCT held by Innventure LLC (the “Option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9" name="Frame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00" name="Frame1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stock, par value $0.001 per share, of PCT at an exercise price of $1.00 per share, if the option was exercised after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stock, par value $0.001 per share, of PCT at an exercise price of $1.00 per share, if the option was exercised after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1" name="Frame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02" name="Frame1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Units of Innventure LLC in exchange for the grant of an irrevocable option to purchase (i) 145,161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Units of Innventure LLC in exchange for the grant of an irrevocable option to purchase (i) 145,161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3" name="Frame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1404" name="Frame1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Innventus Fund I, L.P.), pursuant to which the ESG Fund agreed to forfeit previously issued warrants to purchase Class B-1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Innventus Fund I, L.P.), pursuant to which the ESG Fund agreed to forfeit previously issued warrants to purchase Class B-1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5" name="Frame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18</w:t>
      </w:r>
      <w:r>
        <mc:AlternateContent>
          <mc:Choice Requires="wps">
            <w:drawing>
              <wp:anchor behindDoc="0" distT="0" distB="0" distL="0" distR="0" simplePos="0" locked="0" layoutInCell="1" allowOverlap="1" relativeHeight="21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6" name="Frame1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7" name="Frame1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08" name="Frame1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interest-free loans that had not previously been formally documented is included as an amount outstanding under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interest-free loans that had not previously been formally documented is included as an amount outstanding under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9" name="Frame1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10" name="Frame1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aggregate principal amount of $7,600 that Innventure LLC previously loaned to AeroFlexx for working capital pursuant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aggregate principal amount of $7,600 that Innventure LLC previously loaned to AeroFlexx for working capital pursuant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11" name="Frame1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12" name="Frame1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$2,400 from time to time until the Maturity Date (as defined in the AeroFlexx Loan Agreement). Additionally,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$2,400 from time to time until the Maturity Date (as defined in the AeroFlexx Loan Agreement). Additionally,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13" name="Frame1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14" name="Frame1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Agreement”). Under the terms of the AeroFlexx Loan Agreement, Innventure LLC agreed to lend to AeroFlexx up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Agreement”). Under the terms of the AeroFlexx Loan Agreement, Innventure LLC agreed to lend to AeroFlexx up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15" name="Frame1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16" name="Frame1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LLC, as Lender (as defined in the AeroFlexx Loan Agreement), entered into a Loan Agreement (the “AeroFlexx Loan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LLC, as Lender (as defined in the AeroFlexx Loan Agreement), entered into a Loan Agreement (the “AeroFlexx Loan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417" name="Frame1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fiscal year ended December 31, 2023, Innventure LLC loaned AeroFlexx $2,600 through a series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fiscal year ended December 31, 2023, Innventure LLC loaned AeroFlexx $2,600 through a series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18" name="Frame1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LLC, (“AeroFlexx Packaging”) as Guarantor (as defined in the AeroFlexx Loan Agreement), and Innventure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LLC, (“AeroFlexx Packaging”) as Guarantor (as defined in the AeroFlexx Loan Agreement), and Innventure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19" name="Frame1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420" name="Frame1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July 1, 2024, AeroFlexx, as Borrower (as defined in the AeroFlexx Loan Agreement), AeroFlexx Packaging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July 1, 2024, AeroFlexx, as Borrower (as defined in the AeroFlexx Loan Agreement), AeroFlexx Packaging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57320" cy="293370"/>
                <wp:effectExtent l="0" t="0" r="0" b="0"/>
                <wp:wrapNone/>
                <wp:docPr id="1421" name="Frame1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7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included in the AeroFlexx Loan Agreement (as defined and described below).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1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included in the AeroFlexx Loan Agreement (as defined and described below).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2" name="Frame1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23" name="Frame1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$4,400. The loans were expected to be repaid in full by June 2024 and bear no interest and, instead, were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$4,400. The loans were expected to be repaid in full by June 2024 and bear no interest and, instead, were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4" name="Frame1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25" name="Frame1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informal intercompany loans. During the fiscal year ended December 31, 2024, Innventure informally loaned AeroFlexx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informal intercompany loans. During the fiscal year ended December 31, 2024, Innventure informally loaned AeroFlexx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6" name="Frame1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19</w:t>
      </w:r>
      <w:r>
        <mc:AlternateContent>
          <mc:Choice Requires="wps">
            <w:drawing>
              <wp:anchor behindDoc="0" distT="0" distB="0" distL="0" distR="0" simplePos="0" locked="0" layoutInCell="1" allowOverlap="1" relativeHeight="217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7" name="Frame1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428" name="Frame1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December 21, 2023, Mike Otworth, Innventure LLC’s executive chairman, loaned the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December 21, 2023, Mike Otworth, Innventure LLC’s executive chairman, loaned the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550535" cy="293370"/>
                <wp:effectExtent l="0" t="0" r="0" b="0"/>
                <wp:wrapNone/>
                <wp:docPr id="1429" name="Frame1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05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fiscal year ended December 31, 2024, Innventure LLC informally loaned Refinity Holdings $530.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7.0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fiscal year ended December 31, 2024, Innventure LLC informally loaned Refinity Holdings $530.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20565" cy="293370"/>
                <wp:effectExtent l="0" t="0" r="0" b="0"/>
                <wp:wrapNone/>
                <wp:docPr id="1430" name="Frame1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05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consolidation, including those related to this loan and security agreement with Accelsius.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5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consolidation, including those related to this loan and security agreement with Accelsius.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1" name="Frame1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32" name="Frame1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$1,200. As described elsewhere in this report, all intercompany transactions and balances have been eliminated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$1,200. As described elsewhere in this report, all intercompany transactions and balances have been eliminated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3" name="Frame1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34" name="Frame1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including $408 of accrued interest. In addition, to date, Innventure LLC has informally loaned Accelsius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including $408 of accrued interest. In addition, to date, Innventure LLC has informally loaned Accelsius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5" name="Frame1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36" name="Frame1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interest has been repaid. As of December 31, 2024, approximately $12,408 was outstanding under the loan and security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interest has been repaid. As of December 31, 2024, approximately $12,408 was outstanding under the loan and security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7" name="Frame1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38" name="Frame1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purposes. To date, Accelsius has borrowed $17,075 in the aggregate, of which $5,075 of principal has been repaid and $84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purposes. To date, Accelsius has borrowed $17,075 in the aggregate, of which $5,075 of principal has been repaid and $84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9" name="Frame1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40" name="Frame1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accrued interest, fees and expenses into equity securities of Accelsius issued in a bona fide equity financing for investment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accrued interest, fees and expenses into equity securities of Accelsius issued in a bona fide equity financing for investment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1" name="Frame1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42" name="Frame1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repayment in cash, at its option, Innventure may convert the outstanding principal amount of the term loans and any unpaid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repayment in cash, at its option, Innventure may convert the outstanding principal amount of the term loans and any unpaid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3" name="Frame1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44" name="Frame1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amounts accrue interest at the annual applicable federal rate published by the IRS and are adjusted quarterly. In lieu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amounts accrue interest at the annual applicable federal rate published by the IRS and are adjusted quarterly. In lieu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5" name="Frame1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46" name="Frame1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 was amended to remove the requirement that interest under the term loans be paid in kind. Outstanding principal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 was amended to remove the requirement that interest under the term loans be paid in kind. Outstanding principal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7" name="Frame1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448" name="Frame1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amended to allow for all or any portion of the term loans to be re-borrowed. On July 1, 2024, the loan and security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amended to allow for all or any portion of the term loans to be re-borrowed. On July 1, 2024, the loan and security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9" name="Frame1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50" name="Frame1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aggregate amount available to be loaned to Accelsius to $12,000. On April 10, 2024, the loan and security agreement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aggregate amount available to be loaned to Accelsius to $12,000. On April 10, 2024, the loan and security agreement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1" name="Frame1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52" name="Frame1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minimum loan of $10 per term loan. On December 13, 2023, the loan and security agreement was amended to increase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minimum loan of $10 per term loan. On December 13, 2023, the loan and security agreement was amended to increase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3" name="Frame1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54" name="Frame1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note and a loan fee equal to $63. If the Company failed to pay any amount due under the related party note on the maturity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note and a loan fee equal to $63. If the Company failed to pay any amount due under the related party note on the maturity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95190" cy="293370"/>
                <wp:effectExtent l="0" t="0" r="0" b="0"/>
                <wp:wrapNone/>
                <wp:docPr id="1455" name="Frame1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1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issuance to Mike Otworth of 114,161 shares of Series C Preferred Stock on March 24,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issuance to Mike Otworth of 114,161 shares of Series C Preferred Stock on March 24,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6" name="Frame1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57" name="Frame1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Otworth Promissory Note in exchange for (i) Mike Otworth’s receipt in cash of $180 and (ii)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Otworth Promissory Note in exchange for (i) Mike Otworth’s receipt in cash of $180 and (ii)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8" name="Frame1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59" name="Frame1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obligations of Innventure LLC to Mike Otworth under the Otworth Promissory Note and any loan documentation executed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obligations of Innventure LLC to Mike Otworth under the Otworth Promissory Note and any loan documentation executed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0" name="Frame1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461" name="Frame1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20, 2025, Mike Otworth agreed to deem as repaid in full and otherwise terminated all loans and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20, 2025, Mike Otworth agreed to deem as repaid in full and otherwise terminated all loans and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0">
                <wp:simplePos x="0" y="0"/>
                <wp:positionH relativeFrom="page">
                  <wp:posOffset>986155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2" name="Frame1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7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3205" cy="293370"/>
                <wp:effectExtent l="0" t="0" r="0" b="0"/>
                <wp:wrapNone/>
                <wp:docPr id="1463" name="Frame1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4" name="Frame1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65" name="Frame1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thereof, interest will accrue on the amount outstanding at a rate of eight percent (8%) per annum from the maturity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thereof, interest will accrue on the amount outstanding at a rate of eight percent (8%) per annum from the maturity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6" name="Frame1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67" name="Frame1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security agreement, Innventure LLC agreed to loan, from time to time, up to $6,000 in term loans to Accelsius, with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security agreement, Innventure LLC agreed to loan, from time to time, up to $6,000 in term loans to Accelsius, with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8" name="Frame1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69" name="Frame1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on the maturity date, the Company is required to repay the outstanding principal amount of the related party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on the maturity date, the Company is required to repay the outstanding principal amount of the related party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0" name="Frame1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71" name="Frame1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provides that the indebtedness has no stated interest and matures on December 21, 2024. Per the executed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provides that the indebtedness has no stated interest and matures on December 21, 2024. Per the executed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2" name="Frame1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73" name="Frame1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at issuance. In May 2024, the Company executed an unsecured promissory note (the “Otworth Promissory Note”)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at issuance. In May 2024, the Company executed an unsecured promissory note (the “Otworth Promissory Note”)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4" name="Frame1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75" name="Frame1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consolidated balance sheets as of December 31, 2023. The related party note had no stated interest and no stated maturity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consolidated balance sheets as of December 31, 2023. The related party note had no stated interest and no stated maturity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6" name="Frame1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77" name="Frame1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 of $1,000 during the year ended December 31, 2023, which is included in notes payable to related parties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 of $1,000 during the year ended December 31, 2023, which is included in notes payable to related parties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8" name="Frame1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79" name="Frame1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approximately $1,000 for working capital purposes. The Company issued a note payable representing that loan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approximately $1,000 for working capital purposes. The Company issued a note payable representing that loan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0" name="Frame1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81" name="Frame1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units through the mandatory conversion. Based on the increase of AeroFlexx Class D preferred units,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units through the mandatory conversion. Based on the increase of AeroFlexx Class D preferred units,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2" name="Frame1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83" name="Frame1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subject to mandatory conversion. Using the price per unit of $6.83, the Company obtained 1,060,747 AeroFlexx Class 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subject to mandatory conversion. Using the price per unit of $6.83, the Company obtained 1,060,747 AeroFlexx Class 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4" name="Frame1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85" name="Frame1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outstanding Term Loans and unpaid accrued interest thereon (as calculated per the AeroFlexx Loan Agreement)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outstanding Term Loans and unpaid accrued interest thereon (as calculated per the AeroFlexx Loan Agreement)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86" name="Frame1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the target amount by January 1, 2025. Therefore, on January 2, 2025, $7,250 of outstanding principal of the then-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the target amount by January 1, 2025. Therefore, on January 2, 2025, $7,250 of outstanding principal of the then-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7" name="Frame1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88" name="Frame1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AeroFlexx Loan Agreement). As part of the AeroFlexx Loan Agreement, AeroFlexx did not raise equity financing 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AeroFlexx Loan Agreement). As part of the AeroFlexx Loan Agreement, AeroFlexx did not raise equity financing 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9" name="Frame1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90" name="Frame1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accrued interest and any fees and expenses owed by AeroFlexx may be converted into Next Equity Securities (as defined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accrued interest and any fees and expenses owed by AeroFlexx may be converted into Next Equity Securities (as defined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1" name="Frame1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92" name="Frame1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must be prepaid upon the occurrence of an Event of Default. At Innventure LLC’s option, the Term Loans and any unpaid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must be prepaid upon the occurrence of an Event of Default. At Innventure LLC’s option, the Term Loans and any unpaid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3" name="Frame1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494" name="Frame1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any portion of the Term Loans upon the written consent of Innventure LLC and the Term Loans will be accelerated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any portion of the Term Loans upon the written consent of Innventure LLC and the Term Loans will be accelerated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5" name="Frame1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96" name="Frame1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all or any portion of the Term Loans, the Term Loans may be re-borrowed. AeroFlexx will have the option to prepay 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all or any portion of the Term Loans, the Term Loans may be re-borrowed. AeroFlexx will have the option to prepay 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7" name="Frame1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98" name="Frame1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2.0% upon the occurrence of an Event of Default (as defined in the AeroFlexx Loan Agreement). After any repayment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2.0% upon the occurrence of an Event of Default (as defined in the AeroFlexx Loan Agreement). After any repayment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9" name="Frame1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00" name="Frame1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federal rate published by the Internal Revenue Service (the “IRS”) and adjusted quarterly, such interest rate to be increased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federal rate published by the Internal Revenue Service (the “IRS”) and adjusted quarterly, such interest rate to be increased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1" name="Frame1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02" name="Frame1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AeroFlexx Loan Agreement will be guaranteed by AeroFlexx Packaging and will incur interest at the annual 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AeroFlexx Loan Agreement will be guaranteed by AeroFlexx Packaging and will incur interest at the annual 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3" name="Frame1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04" name="Frame1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Term Loans (as defined in the AeroFlexx Loan Agreement) shall not exceed $10,000. The Term Loans covered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Term Loans (as defined in the AeroFlexx Loan Agreement) shall not exceed $10,000. The Term Loans covered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5" name="Frame1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06" name="Frame1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assets and AeroFlexx’s ability to merge or consolidate with another entity. Since the date of the AeroFlexx Loan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assets and AeroFlexx’s ability to merge or consolidate with another entity. Since the date of the AeroFlexx Loan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7" name="Frame1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508" name="Frame1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30, 2023, Innventure LLC entered into a loan and security agreement with Accelsius. Under the loan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30, 2023, Innventure LLC entered into a loan and security agreement with Accelsius. Under the loan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24965" cy="293370"/>
                <wp:effectExtent l="0" t="0" r="0" b="0"/>
                <wp:wrapNone/>
                <wp:docPr id="1509" name="Frame1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49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$4,155 to AeroFlexx.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7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$4,155 to AeroFlexx.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0" name="Frame1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11" name="Frame1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the $10,000 cap on the AeroFlexx Loan Agreement was achieved, Innventure has also informally loaned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the $10,000 cap on the AeroFlexx Loan Agreement was achieved, Innventure has also informally loaned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2" name="Frame1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13" name="Frame1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2, 2025 and the inclusion of the $4,400 informal loan under the AeroFlexx Loan Agreement. Subsequent to the date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2, 2025 and the inclusion of the $4,400 informal loan under the AeroFlexx Loan Agreement. Subsequent to the date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4" name="Frame1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15" name="Frame1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Loans, and as of March 31, 2025 the current amount outstanding is $10,307 following the conversion of $7,300 on January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Loans, and as of March 31, 2025 the current amount outstanding is $10,307 following the conversion of $7,300 on January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6" name="Frame1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17" name="Frame1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the largest amount of principal outstanding $10,000 and no interest or principal has been paid on the Term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the largest amount of principal outstanding $10,000 and no interest or principal has been paid on the Term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8" name="Frame1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19" name="Frame1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AeroFlexx Loan Agreement and subject to the terms of the AeroFlexx Loan Agreement. The aggregate principal amount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AeroFlexx Loan Agreement and subject to the terms of the AeroFlexx Loan Agreement. The aggregate principal amount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0" name="Frame1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21" name="Frame1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customary representations, warranties and covenants, including covenants restricting AeroFlexx’s ability to encumber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customary representations, warranties and covenants, including covenants restricting AeroFlexx’s ability to encumber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2" name="Frame1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23" name="Frame1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general business purposes, including to fund AeroFlexx’s working capital needs. The AeroFlexx Loan Agreement contains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general business purposes, including to fund AeroFlexx’s working capital needs. The AeroFlexx Loan Agreement contains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4" name="Frame1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25" name="Frame1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subject to the terms of the AeroFlexx Loan Agreement.  The proceeds of the Term Loans will be used by AeroFlexx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subject to the terms of the AeroFlexx Loan Agreement.  The proceeds of the Term Loans will be used by AeroFlexx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6" name="Frame1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27" name="Frame1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previously been formally documented is included as an amount outstanding under the AeroFlexx Loan Agreement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previously been formally documented is included as an amount outstanding under the AeroFlexx Loan Agreement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8" name="Frame1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29" name="Frame1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Innventure LLC previously loaned to AeroFlexx for working capital pursuant to interest-free loans that had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Innventure LLC previously loaned to AeroFlexx for working capital pursuant to interest-free loans that had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0" name="Frame1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31" name="Frame1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Innventure’s updated ownership percentage in AeroFlexx is 38%. Additionally, the aggregate principal amount of $7,600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Innventure’s updated ownership percentage in AeroFlexx is 38%. Additionally, the aggregate principal amount of $7,600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Transactions Involving Innventure1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ESG Fund Obligations</w:t>
      </w:r>
      <w:r>
        <mc:AlternateContent>
          <mc:Choice Requires="wps">
            <w:drawing>
              <wp:anchor behindDoc="0" distT="0" distB="0" distL="0" distR="0" simplePos="0" locked="0" layoutInCell="1" allowOverlap="1" relativeHeight="221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532" name="Frame1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From time to time, Innventure1 LLC (“Innventure1”) pays expenses on behalf of Innventure LLC pursuant to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From time to time, Innventure1 LLC (“Innventure1”) pays expenses on behalf of Innventure LLC pursuant to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3" name="Frame1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34" name="Frame1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related party note, with settlement of such amounts to be agreed upon by management of each of Innventure1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related party note, with settlement of such amounts to be agreed upon by management of each of Innventure1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5" name="Frame1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36" name="Frame1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LLC. On October 31, 2023, Innventure LLC entered into a debt conversion agreement with Innventure1.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LLC. On October 31, 2023, Innventure LLC entered into a debt conversion agreement with Innventure1.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7" name="Frame1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38" name="Frame1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year ended December 31, 2023, and pursuant to the terms of the debt conversion agreement, the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year ended December 31, 2023, and pursuant to the terms of the debt conversion agreement, the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9" name="Frame1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40" name="Frame1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extinguished the related party note with Innventure1 and converted this note in the amount of $500 into 52,010 Class 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extinguished the related party note with Innventure1 and converted this note in the amount of $500 into 52,010 Class 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1" name="Frame1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42" name="Frame1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Units based on the Class B Preferred Unit issuance price of $9.6992 per unit. The nature of this indebtedness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Units based on the Class B Preferred Unit issuance price of $9.6992 per unit. The nature of this indebtedness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3" name="Frame1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44" name="Frame1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primarily expenses paid on the Company’s behalf and settlement was agreed upon by the management of the two related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primarily expenses paid on the Company’s behalf and settlement was agreed upon by the management of the two related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5" name="Frame1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88055" cy="293370"/>
                <wp:effectExtent l="0" t="0" r="0" b="0"/>
                <wp:wrapNone/>
                <wp:docPr id="1546" name="Frame1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80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parties. The indebtedness has no stated interest and no maturity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4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parties. The indebtedness has no stated interest and no maturity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B-1 Unit Purchase Agreement</w:t>
      </w:r>
      <w:r>
        <mc:AlternateContent>
          <mc:Choice Requires="wps">
            <w:drawing>
              <wp:anchor behindDoc="0" distT="0" distB="0" distL="0" distR="0" simplePos="0" locked="0" layoutInCell="1" allowOverlap="1" relativeHeight="223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547" name="Frame1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May 24, 2023, Innventure LLC and WE-INN paid to the ESG Fund its capital call obligation of approximately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May 24, 2023, Innventure LLC and WE-INN paid to the ESG Fund its capital call obligation of approximately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8" name="Frame1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5750" cy="146685"/>
                <wp:effectExtent l="0" t="0" r="0" b="0"/>
                <wp:wrapNone/>
                <wp:docPr id="1549" name="Frame1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6">
                <wp:simplePos x="0" y="0"/>
                <wp:positionH relativeFrom="page">
                  <wp:posOffset>1028700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0" name="Frame1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Intercompany Advancement of Expenses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2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51" name="Frame1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$9.6992 per unit (based on a weighted average of the closing price on the Nasdaq Capital Market of PCT’s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$9.6992 per unit (based on a weighted average of the closing price on the Nasdaq Capital Market of PCT’s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54885" cy="293370"/>
                <wp:effectExtent l="0" t="0" r="0" b="0"/>
                <wp:wrapNone/>
                <wp:docPr id="1552" name="Frame1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8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arrangement in connection with the Closing.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arrangement in connection with the Closing.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3" name="Frame1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54" name="Frame1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closely as possible, the same economic position following the Business Combination, the parties terminated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closely as possible, the same economic position following the Business Combination, the parties terminated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5" name="Frame1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56" name="Frame1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Units totaling approximately $1,700 and $2,500, respectively. Following discussions to place the Purchasers in,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Units totaling approximately $1,700 and $2,500, respectively. Following discussions to place the Purchasers in,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7" name="Frame1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58" name="Frame1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contributing certain shares of PCT’s common stock to Innventure LLC, with the aggregate purchase price of the Class B-1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contributing certain shares of PCT’s common stock to Innventure LLC, with the aggregate purchase price of the Class B-1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9" name="Frame1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60" name="Frame1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during the 30-day period ending on the date on which the exchange closed, multiplied by 0.8) in exchange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during the 30-day period ending on the date on which the exchange closed, multiplied by 0.8) in exchange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1" name="Frame1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562" name="Frame1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August 25, 2023, Innventure LLC entered into a unit purchase agreement with each of John Scott and Michael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August 25, 2023, Innventure LLC entered into a unit purchase agreement with each of John Scott and Michael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3" name="Frame1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64" name="Frame1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between Dr. Scott and Mr. Otworth and PCT. The Purchasers agreed to purchase such Class B-1 Preferred Units at a price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between Dr. Scott and Mr. Otworth and PCT. The Purchasers agreed to purchase such Class B-1 Preferred Units at a price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5" name="Frame1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1566" name="Frame1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respectively, upon the release of Dr. Scott and Mr. Otworth’s contractual restrictions under lock-up agreements entered into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respectively, upon the release of Dr. Scott and Mr. Otworth’s contractual restrictions under lock-up agreements entered into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7" name="Frame1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68" name="Frame1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 purchase agreements, Innventure LLC agreed to issue the Purchasers 171,498 and 260,787 Class B-1 Preferred Units,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 purchase agreements, Innventure LLC agreed to issue the Purchasers 171,498 and 260,787 Class B-1 Preferred Units,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9" name="Frame1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70" name="Frame1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Otworth (each a “Purchaser” and together the “Purchasers”), who are each members of Innventure1. Under the terms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Otworth (each a “Purchaser” and together the “Purchasers”), who are each members of Innventure1. Under the terms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1" name="Frame1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AeroFlexx</w:t>
      </w:r>
      <w:r>
        <mc:AlternateContent>
          <mc:Choice Requires="wps">
            <w:drawing>
              <wp:anchor behindDoc="0" distT="0" distB="0" distL="0" distR="0" simplePos="0" locked="0" layoutInCell="1" allowOverlap="1" relativeHeight="225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572" name="Frame1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the normal course of business, Innventure LLC has made advances for certain expenses on behalf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the normal course of business, Innventure LLC has made advances for certain expenses on behalf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3" name="Frame1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74" name="Frame1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AeroFlexx, Accelsius, the ESG Fund and Refinity. These advances are typically made on a month-to-month basis, meaning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AeroFlexx, Accelsius, the ESG Fund and Refinity. These advances are typically made on a month-to-month basis, meaning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5" name="Frame1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76" name="Frame1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they are incurred one month and repaid the following month. As of December 31, 2024, $246 of the respective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they are incurred one month and repaid the following month. As of December 31, 2024, $246 of the respective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7" name="Frame1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78" name="Frame1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advances have been fully reimbursed, and the remainder is added to the respective letter-of-credit outstanding balance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advances have been fully reimbursed, and the remainder is added to the respective letter-of-credit outstanding balance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9" name="Frame1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80" name="Frame1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otherwise remains outstanding. The following table details the aggregate amount advanced to each company (in excess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otherwise remains outstanding. The following table details the aggregate amount advanced to each company (in excess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1" name="Frame1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53185" cy="293370"/>
                <wp:effectExtent l="0" t="0" r="0" b="0"/>
                <wp:wrapNone/>
                <wp:docPr id="1582" name="Frame1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$120) per year since 2023: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6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$120) per year since 2023: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1583" name="Frame1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" cy="131445"/>
                <wp:effectExtent l="0" t="0" r="0" b="0"/>
                <wp:wrapNone/>
                <wp:docPr id="1584" name="Frame1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91515" cy="262890"/>
                <wp:effectExtent l="0" t="0" r="0" b="0"/>
                <wp:wrapNone/>
                <wp:docPr id="1585" name="Frame1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Less than $120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4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Less than $120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Loan and Security Agreements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20</w:t>
      </w:r>
      <w:r>
        <mc:AlternateContent>
          <mc:Choice Requires="wps">
            <w:drawing>
              <wp:anchor behindDoc="0" distT="0" distB="0" distL="0" distR="0" simplePos="0" locked="0" layoutInCell="1" allowOverlap="1" relativeHeight="22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586" name="Frame1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February 9, 2023, AeroFlexx Packaging and Auto Now Acceptance Co., LLC (“Auto Now”) entered into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February 9, 2023, AeroFlexx Packaging and Auto Now Acceptance Co., LLC (“Auto Now”) entered into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7" name="Frame1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88" name="Frame1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Loan Agreement (the “Loan Agreement”). Under the terms of the Loan Agreement, Auto Now agreed to lend to AeroFlexx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Loan Agreement (the “Loan Agreement”). Under the terms of the Loan Agreement, Auto Now agreed to lend to AeroFlexx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9" name="Frame1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90" name="Frame1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Packaging, on a revolving basis, up to $4,000 at one time. AeroFlexx Packaging may borrow, repay and reborrow funds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Packaging, on a revolving basis, up to $4,000 at one time. AeroFlexx Packaging may borrow, repay and reborrow funds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1" name="Frame1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92" name="Frame1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from the date of the Loan Agreement until January 31, 2024 (the “Commitment Period”). The Commitment Period may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from the date of the Loan Agreement until January 31, 2024 (the “Commitment Period”). The Commitment Period may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3" name="Frame1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94" name="Frame1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renewed up to four times, each for one calendar year period, beginning on January 3 of each year, and was renewed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renewed up to four times, each for one calendar year period, beginning on January 3 of each year, and was renewed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5" name="Frame1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96" name="Frame1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2024. Loans made pursuant to the Loan Agreement will be guaranteed by AeroFlexx and will incur interest at variable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2024. Loans made pursuant to the Loan Agreement will be guaranteed by AeroFlexx and will incur interest at variable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7" name="Frame1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Accelsius</w:t>
      </w:r>
      <w:r>
        <mc:AlternateContent>
          <mc:Choice Requires="wps">
            <w:drawing>
              <wp:anchor behindDoc="0" distT="0" distB="0" distL="0" distR="0" simplePos="0" locked="0" layoutInCell="1" allowOverlap="1" relativeHeight="23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598" name="Frame1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20, 2025, Auto Now agreed to deem as repaid in full and otherwise terminated all loans and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20, 2025, Auto Now agreed to deem as repaid in full and otherwise terminated all loans and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9" name="Frame1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00" name="Frame1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Packaging’s liquid filling equipment (the “Collateral”). The Security Agreement secures (i) all indebtedness owed 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Packaging’s liquid filling equipment (the “Collateral”). The Security Agreement secures (i) all indebtedness owed 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1" name="Frame1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02" name="Frame1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Loan Agreement and future advances and promissory notes made pursuant to the Loan Agreement, (ii) all expenditures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Loan Agreement and future advances and promissory notes made pursuant to the Loan Agreement, (ii) all expenditures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3" name="Frame1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04" name="Frame1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AeroFlexx Packaging incurred for taxes, insurance and repairs to and maintenance for the Collateral and (iii) 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AeroFlexx Packaging incurred for taxes, insurance and repairs to and maintenance for the Collateral and (iii) 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5" name="Frame1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06" name="Frame1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liabilities of AeroFlexx Packaging to Auto Now presently existing or incurred in the future, whether they are matured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liabilities of AeroFlexx Packaging to Auto Now presently existing or incurred in the future, whether they are matured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7" name="Frame1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003800" cy="293370"/>
                <wp:effectExtent l="0" t="0" r="0" b="0"/>
                <wp:wrapNone/>
                <wp:docPr id="1608" name="Frame1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38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unmatured, direct or contingent, and any renewals, extensions and substitutions of those liabilities.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unmatured, direct or contingent, and any renewals, extensions and substitutions of those liabilities.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75260"/>
                <wp:effectExtent l="0" t="0" r="0" b="0"/>
                <wp:wrapNone/>
                <wp:docPr id="1609" name="Frame1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Security Agreement”) pursuant to which AeroFlexx Packaging granted to Auto Now a security interest in AeroFlexx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Security Agreement”) pursuant to which AeroFlexx Packaging granted to Auto Now a security interest in AeroFlexx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0" name="Frame1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11" name="Frame1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obligations of AeroFlexx Packaging to Auto Now under the Loan Agreement and any loan documentation executed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obligations of AeroFlexx Packaging to Auto Now under the Loan Agreement and any loan documentation executed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2" name="Frame1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13" name="Frame1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connection with the Loan Agreement in exchange for the issuance to Glockner Family Venture Fund, LP of 578,294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connection with the Loan Agreement in exchange for the issuance to Glockner Family Venture Fund, LP of 578,294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4" name="Frame1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18080" cy="293370"/>
                <wp:effectExtent l="0" t="0" r="0" b="0"/>
                <wp:wrapNone/>
                <wp:docPr id="1615" name="Frame1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80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Series C Preferred Stock on March 24,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0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Series C Preferred Stock on March 24,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3">
                <wp:simplePos x="0" y="0"/>
                <wp:positionH relativeFrom="page">
                  <wp:posOffset>3161030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6" name="Frame1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48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617" name="Frame1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James Donnally, a member of the Board, also serves as a director of Auto Now Acceptance Company, the parent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James Donnally, a member of the Board, also serves as a director of Auto Now Acceptance Company, the parent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8" name="Frame1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98880" cy="293370"/>
                <wp:effectExtent l="0" t="0" r="0" b="0"/>
                <wp:wrapNone/>
                <wp:docPr id="1619" name="Frame1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of Auto Now.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of Auto Now.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0" name="Frame1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1" name="Frame1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22" name="Frame1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annum). The loans made pursuant to the Loan Agreement will be made upon Auto Now’s receipt of executed promissory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annum). The loans made pursuant to the Loan Agreement will be made upon Auto Now’s receipt of executed promissory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3" name="Frame1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24" name="Frame1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notes and security instruments satisfactory to Auto Now and upon Auto Now’s satisfaction that certain collateral securing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notes and security instruments satisfactory to Auto Now and upon Auto Now’s satisfaction that certain collateral securing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5" name="Frame1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26" name="Frame1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AeroFlexx Packaging’s indebtedness is sufficient. Upon AeroFlexx Packaging’s request, one or more promissory notes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AeroFlexx Packaging’s indebtedness is sufficient. Upon AeroFlexx Packaging’s request, one or more promissory notes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7" name="Frame1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28" name="Frame1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evidencing loans under the Loan Agreement may be converted to term loans, solely at the discretion of Auto Now.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evidencing loans under the Loan Agreement may be converted to term loans, solely at the discretion of Auto Now.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9" name="Frame1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30" name="Frame1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terms loans will proportionately decrease the availability of funds under the Loan Agreement. The proceeds of the loans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terms loans will proportionately decrease the availability of funds under the Loan Agreement. The proceeds of the loans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31" name="Frame1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 rates based on the prime rate, as published by The Wall Street Journal, plus 5.0% (such rates not to exceed 12%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 rates based on the prime rate, as published by The Wall Street Journal, plus 5.0% (such rates not to exceed 12%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32" name="Frame1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be used to purchase liquid filing equipment as part of AeroFlexx Packaging’s liquid packaging operations. As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be used to purchase liquid filing equipment as part of AeroFlexx Packaging’s liquid packaging operations. As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3" name="Frame1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34" name="Frame1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December 31, 2024, approximately $2,700 was outstanding under the Loan Agreement. Since the date of the Loan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December 31, 2024, approximately $2,700 was outstanding under the Loan Agreement. Since the date of the Loan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5" name="Frame1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36" name="Frame1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no principal has been paid, $500 of interest has been paid, and the largest amount of principal outstanding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no principal has been paid, $500 of interest has been paid, and the largest amount of principal outstanding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7" name="Frame1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1000" cy="146685"/>
                <wp:effectExtent l="0" t="0" r="0" b="0"/>
                <wp:wrapNone/>
                <wp:docPr id="1638" name="Frame1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$2,800.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$2,800.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639" name="Frame1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Additionally, on February 9, 2023, AeroFlexx Packaging and Auto Now entered into a Security Agreement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Additionally, on February 9, 2023, AeroFlexx Packaging and Auto Now entered into a Security Agreement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0" name="Frame1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Convertible Notes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A Series 2 Units</w:t>
      </w:r>
      <w:r>
        <mc:AlternateContent>
          <mc:Choice Requires="wps">
            <w:drawing>
              <wp:anchor behindDoc="0" distT="0" distB="0" distL="0" distR="0" simplePos="0" locked="0" layoutInCell="1" allowOverlap="1" relativeHeight="23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41" name="Frame1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aggregate amount of principal indebtedness evidenced by all of the Accelsius Convertible Notes issued and sold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aggregate amount of principal indebtedness evidenced by all of the Accelsius Convertible Notes issued and sold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2" name="Frame1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40175" cy="293370"/>
                <wp:effectExtent l="0" t="0" r="0" b="0"/>
                <wp:wrapNone/>
                <wp:docPr id="1643" name="Frame1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01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total amount of interest accrued and due to the ESG Fund in 2024 was $0.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0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total amount of interest accrued and due to the ESG Fund in 2024 was $0.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644" name="Frame1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June 2, 2023, the Series I Note Purchase Agreement was amended and restated to permit Accelsius to issue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June 2, 2023, the Series I Note Purchase Agreement was amended and restated to permit Accelsius to issue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5" name="Frame1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46" name="Frame1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sell additional Accelsius Convertible Notes to such persons or entities (including to the ESG Fund if the ESG Fund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sell additional Accelsius Convertible Notes to such persons or entities (including to the ESG Fund if the ESG Fund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7" name="Frame1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48" name="Frame1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desires to acquire additional Accelsius Convertible Notes) as determined by Accelsius, until the earlier of (i) such time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desires to acquire additional Accelsius Convertible Notes) as determined by Accelsius, until the earlier of (i) such time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9" name="Frame1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50" name="Frame1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due to the ESG Fund in the fiscal year ended December 31, 2023 was approximately $500. As of December 31, 2024,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due to the ESG Fund in the fiscal year ended December 31, 2023 was approximately $500. As of December 31, 2024,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1" name="Frame1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52" name="Frame1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note purchase agreement equals a total of $6,000 or (ii) July 31, 2023. In March 2024, the Accelsius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note purchase agreement equals a total of $6,000 or (ii) July 31, 2023. In March 2024, the Accelsius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3" name="Frame1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54" name="Frame1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Notes were converted into 693,480 Accelsius Series A units at a conversion price of $9.74 per unit. Since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Notes were converted into 693,480 Accelsius Series A units at a conversion price of $9.74 per unit. Since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5" name="Frame1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56" name="Frame1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of the Accelsius Convertible Notes, the largest aggregate amount of principal amount outstanding was approximately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of the Accelsius Convertible Notes, the largest aggregate amount of principal amount outstanding was approximately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7" name="Frame1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1000" cy="146685"/>
                <wp:effectExtent l="0" t="0" r="0" b="0"/>
                <wp:wrapNone/>
                <wp:docPr id="1658" name="Frame1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$6,000.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$6,000.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9" name="Frame1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60" name="Frame1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61" name="Frame1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among Accelsius, the ESG Fund and the other parties thereto, Accelsius issued a convertible promissory note to the ESG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among Accelsius, the ESG Fund and the other parties thereto, Accelsius issued a convertible promissory note to the ESG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62" name="Frame1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63" name="Frame1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Fund in an aggregate principal amount of $4,000 (the “Accelsius Convertible Notes”). The Accelsius Convertible Notes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Fund in an aggregate principal amount of $4,000 (the “Accelsius Convertible Notes”). The Accelsius Convertible Notes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64" name="Frame1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65" name="Frame1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accrue interest at a rate of 8% per year and are convertible into equity securities of Accelsius issued in a bona fide 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accrue interest at a rate of 8% per year and are convertible into equity securities of Accelsius issued in a bona fide 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66" name="Frame1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67" name="Frame1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offering for investment purposes at a conversion price equal to the lesser of 80% of the per unit price paid by the investors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offering for investment purposes at a conversion price equal to the lesser of 80% of the per unit price paid by the investors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668" name="Frame1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August 18, 2022, pursuant to a note purchase agreement (the “Series I Note Purchase Agreement”), by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August 18, 2022, pursuant to a note purchase agreement (the “Series I Note Purchase Agreement”), by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69" name="Frame1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purchasing such equity in the such offering or (b) the quotient of $200,000 divided by the aggregate number of outstanding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purchasing such equity in the such offering or (b) the quotient of $200,000 divided by the aggregate number of outstanding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0" name="Frame1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71" name="Frame1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Class A Units and Accelsius Incentive Units (as defined below) as of immediately prior to the initial closing of such 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Class A Units and Accelsius Incentive Units (as defined below) as of immediately prior to the initial closing of such 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2" name="Frame1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73" name="Frame1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securities. The Accelsius Convertible Notes mature on the earlier of August 18, 2025 or the date on which a change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securities. The Accelsius Convertible Notes mature on the earlier of August 18, 2025 or the date on which a change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4" name="Frame1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75" name="Frame1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control transaction (as defined in the Accelsius Convertible Notes) is consummated. The total amount of interest accrued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control transaction (as defined in the Accelsius Convertible Notes) is consummated. The total amount of interest accrued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6" name="Frame1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21</w:t>
      </w:r>
      <w:r>
        <mc:AlternateContent>
          <mc:Choice Requires="wps">
            <w:drawing>
              <wp:anchor behindDoc="0" distT="0" distB="0" distL="0" distR="0" simplePos="0" locked="0" layoutInCell="1" allowOverlap="1" relativeHeight="23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677" name="Frame1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February 1, 2023, the ESG Fund purchased 23,712 Class A Series 2 Units of Accelsius for aggregate proceeds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February 1, 2023, the ESG Fund purchased 23,712 Class A Series 2 Units of Accelsius for aggregate proceeds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8" name="Frame1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8085" cy="293370"/>
                <wp:effectExtent l="0" t="0" r="0" b="0"/>
                <wp:wrapNone/>
                <wp:docPr id="1679" name="Frame1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80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approximately $100.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approximately $100.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Other Related Party 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Investor Rights Agreement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Lock-Up Agreements</w:t>
      </w:r>
      <w:r>
        <mc:AlternateContent>
          <mc:Choice Requires="wps">
            <w:drawing>
              <wp:anchor behindDoc="0" distT="0" distB="0" distL="0" distR="0" simplePos="0" locked="0" layoutInCell="1" allowOverlap="1" relativeHeight="236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680" name="Frame1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terms of the Business Combination Agreement, at the Closing, Innventure and Founding Investors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terms of the Business Combination Agreement, at the Closing, Innventure and Founding Investors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1" name="Frame1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35705" cy="146685"/>
                <wp:effectExtent l="0" t="0" r="0" b="0"/>
                <wp:wrapNone/>
                <wp:docPr id="1682" name="Frame1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57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entered into the Investor Rights Agreement. See the section entitled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.1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entered into the Investor Rights Agreement. See the section entitled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9">
                <wp:simplePos x="0" y="0"/>
                <wp:positionH relativeFrom="page">
                  <wp:posOffset>4478655</wp:posOffset>
                </wp:positionH>
                <wp:positionV relativeFrom="line">
                  <wp:posOffset>635</wp:posOffset>
                </wp:positionV>
                <wp:extent cx="2549525" cy="146685"/>
                <wp:effectExtent l="0" t="0" r="0" b="0"/>
                <wp:wrapNone/>
                <wp:docPr id="1683" name="Frame1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95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Nominations—Agreements to Nominate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75pt;height:11.55pt;mso-wrap-distance-left:0pt;mso-wrap-distance-right:0pt;mso-wrap-distance-top:0pt;mso-wrap-distance-bottom:0pt;margin-top:0pt;mso-position-vertical:top;mso-position-vertical-relative:text;margin-left:35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Nominations—Agreements to Nominate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4" name="Frame1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05510" cy="293370"/>
                <wp:effectExtent l="0" t="0" r="0" b="0"/>
                <wp:wrapNone/>
                <wp:docPr id="1685" name="Frame1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Directors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Directors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2">
                <wp:simplePos x="0" y="0"/>
                <wp:positionH relativeFrom="page">
                  <wp:posOffset>1648460</wp:posOffset>
                </wp:positionH>
                <wp:positionV relativeFrom="line">
                  <wp:posOffset>635</wp:posOffset>
                </wp:positionV>
                <wp:extent cx="1744345" cy="321945"/>
                <wp:effectExtent l="0" t="0" r="0" b="0"/>
                <wp:wrapNone/>
                <wp:docPr id="1686" name="Frame1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4345" cy="321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Item 10 for more information.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7.35pt;height:25.35pt;mso-wrap-distance-left:0pt;mso-wrap-distance-right:0pt;mso-wrap-distance-top:0pt;mso-wrap-distance-bottom:0pt;margin-top:0pt;mso-position-vertical:top;mso-position-vertical-relative:text;margin-left:12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Item 10 for more information.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3">
                <wp:simplePos x="0" y="0"/>
                <wp:positionH relativeFrom="page">
                  <wp:posOffset>3392805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7" name="Frame1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67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Employee Family Relationship</w:t>
      </w:r>
      <w:r>
        <mc:AlternateContent>
          <mc:Choice Requires="wps">
            <w:drawing>
              <wp:anchor behindDoc="0" distT="0" distB="0" distL="0" distR="0" simplePos="0" locked="0" layoutInCell="1" allowOverlap="1" relativeHeight="241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8" name="Frame2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9" name="Frame2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90" name="Frame2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consummation of Learn CW’s initial public offering until the earlier of (A) one year after the completion of the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consummation of Learn CW’s initial public offering until the earlier of (A) one year after the completion of the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1" name="Frame2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92" name="Frame2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Class B ordinary shares of Learn CW, par value $0.0001 per share (the “Founder Shares”), outstanding prior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Class B ordinary shares of Learn CW, par value $0.0001 per share (the “Founder Shares”), outstanding prior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3" name="Frame2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93370"/>
                <wp:effectExtent l="0" t="0" r="0" b="0"/>
                <wp:wrapNone/>
                <wp:docPr id="1694" name="Frame2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Sponsor LLC (the “Sponsor”), pursuant to which the Sponsor and certain Insiders (as defined therein) agreed not to transfer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Sponsor LLC (the “Sponsor”), pursuant to which the Sponsor and certain Insiders (as defined therein) agreed not to transfer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5" name="Frame2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96" name="Frame2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Letter Agreement”), dated October 7, 2021, among Learn CW and its officers, directors, director nominees and the CWAM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Letter Agreement”), dated October 7, 2021, among Learn CW and its officers, directors, director nominees and the CWAM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97" name="Frame2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Combination and (B) the date following the completion of the Business Combination on which Learn CW completes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Combination and (B) the date following the completion of the Business Combination on which Learn CW completes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698" name="Frame2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Learn CW’s initial public offering, Learn CW entered into a Letter Agreement (the “2021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Learn CW’s initial public offering, Learn CW entered into a Letter Agreement (the “2021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1645" cy="293370"/>
                <wp:effectExtent l="0" t="0" r="0" b="0"/>
                <wp:wrapNone/>
                <wp:docPr id="1699" name="Frame2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property.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property.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0" name="Frame2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01" name="Frame2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public stockholders of Innventure having the right to exchange their shares of Common Stock for cash securities or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public stockholders of Innventure having the right to exchange their shares of Common Stock for cash securities or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2" name="Frame2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03" name="Frame2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merger, liquidation, stock exchange, reorganization or other similar transaction after the Closing that results in all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merger, liquidation, stock exchange, reorganization or other similar transaction after the Closing that results in all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4" name="Frame2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05" name="Frame2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30-trading day period commencing at least 150 days after the Closing or (ii) the date which Innventure completes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30-trading day period commencing at least 150 days after the Closing or (ii) the date which Innventure completes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6" name="Frame2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07" name="Frame2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liquidation, merger, share exchange or other similar transaction that results in all of Learn CW’s shareholders having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liquidation, merger, share exchange or other similar transaction that results in all of Learn CW’s shareholders having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8" name="Frame2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09" name="Frame2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right to exchange their Learn CW Class A ordinary shares, par value $0.0001 per share (the “Ordinary Shares”), for cash,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right to exchange their Learn CW Class A ordinary shares, par value $0.0001 per share (the “Ordinary Shares”), for cash,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0" name="Frame2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11" name="Frame2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securities or other property.  The Founder Shares and the Ordinary Shares were each converted into shares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securities or other property.  The Founder Shares and the Ordinary Shares were each converted into shares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2" name="Frame2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1713" name="Frame2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at the Closing. Pursuant to the terms of the 2021 Letter Agreement, and notwithstanding the foregoing, if, subsequent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at the Closing. Pursuant to the terms of the 2021 Letter Agreement, and notwithstanding the foregoing, if, subsequent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4" name="Frame2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15" name="Frame2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the Closing, the closing price of the Common Stock equals or exceeds $12.00 per share (as adjusted for share sub-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the Closing, the closing price of the Common Stock equals or exceeds $12.00 per share (as adjusted for share sub-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16" name="Frame2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divisions, share capitalizations, share consolidations, reorganizations, recapitalizations and the like) for any 20 trading days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divisions, share capitalizations, share consolidations, reorganizations, recapitalizations and the like) for any 20 trading days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7" name="Frame2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18" name="Frame2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within any 30-trading day period commencing at least 150 days after the Business Combination, the shares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within any 30-trading day period commencing at least 150 days after the Business Combination, the shares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9" name="Frame2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845175" cy="293370"/>
                <wp:effectExtent l="0" t="0" r="0" b="0"/>
                <wp:wrapNone/>
                <wp:docPr id="1720" name="Frame2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51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held by the parties to the 2021 Letter Agreement or their permitted transferees will be released from lock-up.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0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held by the parties to the 2021 Letter Agreement or their permitted transferees will be released from lock-up.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1" name="Frame1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722" name="Frame1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until the end of the period beginning on the date of the Closing and ending on the date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until the end of the period beginning on the date of the Closing and ending on the date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3" name="Frame1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24" name="Frame1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membership interests, warrants or other equity interests of Innventure LLC were prohibited from transferring any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membership interests, warrants or other equity interests of Innventure LLC were prohibited from transferring any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5" name="Frame1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26" name="Frame1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consideration (including any Earnout Shares, as defined in the Business Combination Agreement) to former holders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consideration (including any Earnout Shares, as defined in the Business Combination Agreement) to former holders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7" name="Frame1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728" name="Frame1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Innventure’s Certificate of Incorporation, the holders of shares of Common Stock issued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Innventure’s Certificate of Incorporation, the holders of shares of Common Stock issued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01820" cy="293370"/>
                <wp:effectExtent l="0" t="0" r="0" b="0"/>
                <wp:wrapNone/>
                <wp:docPr id="1729" name="Frame1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18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lapsed with respect to the shares of Common Stock held by the MSA Lock-Up Parties.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6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lapsed with respect to the shares of Common Stock held by the MSA Lock-Up Parties.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0" name="Frame1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31" name="Frame1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Combination.  On April 1, 2025, the restrictions pursuant to the lock-up under the Member Support Agreement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Combination.  On April 1, 2025, the restrictions pursuant to the lock-up under the Member Support Agreement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2" name="Frame1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33" name="Frame1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day lock-up period following the Closing with respect to any shares of Common Stock received as consideration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day lock-up period following the Closing with respect to any shares of Common Stock received as consideration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34" name="Frame1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Innventure, and Holdco  pursuant to which the MSA Lock-Up Parties agreed to, among other things, be subject to a 180-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Innventure, and Holdco  pursuant to which the MSA Lock-Up Parties agreed to, among other things, be subject to a 180-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5" name="Frame1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75260"/>
                <wp:effectExtent l="0" t="0" r="0" b="0"/>
                <wp:wrapNone/>
                <wp:docPr id="1736" name="Frame1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MSA Lock-Up Parties”) entered into a Member Support Agreement (the “Member Support Agreement”) with Learn CW,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MSA Lock-Up Parties”) entered into a Member Support Agreement (the “Member Support Agreement”) with Learn CW,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7" name="Frame1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738" name="Frame1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entry into the Business Combination Agreement, certain members of Innventure LLC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entry into the Business Combination Agreement, certain members of Innventure LLC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39" name="Frame1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opening of the first trading window at least 180 days after the Closing.  On April 1, 2025, the restrictions pursuant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opening of the first trading window at least 180 days after the Closing.  On April 1, 2025, the restrictions pursuant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0" name="Frame1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41" name="Frame1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lock-up under the Certificate of Incorporation lapsed with respect to the shares of Common Stock held by the former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lock-up under the Certificate of Incorporation lapsed with respect to the shares of Common Stock held by the former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2" name="Frame1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11980" cy="293370"/>
                <wp:effectExtent l="0" t="0" r="0" b="0"/>
                <wp:wrapNone/>
                <wp:docPr id="1743" name="Frame1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19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holders of membership interests, warrants, or other equity interests of Innventure LLC.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7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holders of membership interests, warrants, or other equity interests of Innventure LLC.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744" name="Frame1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entry into the Business Combination Agreement, certain insiders of Innventure entered into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entry into the Business Combination Agreement, certain insiders of Innventure entered into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5" name="Frame1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46" name="Frame1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lock-up agreements, pursuant to which such persons have agreed to restrictions on the transfer of their shares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lock-up agreements, pursuant to which such persons have agreed to restrictions on the transfer of their shares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7" name="Frame2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748" name="Frame2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Stock, subject to certain exceptions, for a period ending upon the earlier of (A) the expiration of one year after the Closing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Stock, subject to certain exceptions, for a period ending upon the earlier of (A) the expiration of one year after the Closing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9" name="Frame2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293370"/>
                <wp:effectExtent l="0" t="0" r="0" b="0"/>
                <wp:wrapNone/>
                <wp:docPr id="1750" name="Frame2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(B) subsequent to the Closing, (i) if the closing price of Common Stock equals or exceeds $12.00 per share (as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(B) subsequent to the Closing, (i) if the closing price of Common Stock equals or exceeds $12.00 per share (as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1" name="Frame2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52" name="Frame2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share subdivisions, share capitalizations, reorganizations, recapitalizations and the like) for any 20 trading days within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share subdivisions, share capitalizations, reorganizations, recapitalizations and the like) for any 20 trading days within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3" name="Frame2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Aircraft Time Sharing Agreements</w:t>
      </w:r>
      <w:r>
        <mc:AlternateContent>
          <mc:Choice Requires="wps">
            <w:drawing>
              <wp:anchor behindDoc="0" distT="0" distB="0" distL="0" distR="0" simplePos="0" locked="0" layoutInCell="1" allowOverlap="1" relativeHeight="244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754" name="Frame2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Colin Scott (the son of Dr. John Scott, our Chief Strategy Officer) is an employee of Innventure and serves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Colin Scott (the son of Dr. John Scott, our Chief Strategy Officer) is an employee of Innventure and serves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5" name="Frame2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56" name="Frame2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Accelsius board of directors. Mr. Colin Scott earned $325 and $216 for the years ended December 31, 2024 and 2023,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Accelsius board of directors. Mr. Colin Scott earned $325 and $216 for the years ended December 31, 2024 and 2023,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7" name="Frame2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44525" cy="293370"/>
                <wp:effectExtent l="0" t="0" r="0" b="0"/>
                <wp:wrapNone/>
                <wp:docPr id="1758" name="Frame2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5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22</w:t>
      </w:r>
      <w:r>
        <mc:AlternateContent>
          <mc:Choice Requires="wps">
            <w:drawing>
              <wp:anchor behindDoc="0" distT="0" distB="0" distL="0" distR="0" simplePos="0" locked="0" layoutInCell="1" allowOverlap="1" relativeHeight="244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759" name="Frame2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May 6, 2024, Innventure LLC entered into aircraft time sharing agreements with entities affiliated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May 6, 2024, Innventure LLC entered into aircraft time sharing agreements with entities affiliated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0" name="Frame2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61" name="Frame2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Michael Otworth and John Scott, each of whom owns a partial interest in a private airplane, whereby they, as partial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Michael Otworth and John Scott, each of whom owns a partial interest in a private airplane, whereby they, as partial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2" name="Frame2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Bridge Financing</w:t>
      </w:r>
      <w:r>
        <mc:AlternateContent>
          <mc:Choice Requires="wps">
            <w:drawing>
              <wp:anchor behindDoc="0" distT="0" distB="0" distL="0" distR="0" simplePos="0" locked="0" layoutInCell="1" allowOverlap="1" relativeHeight="24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63" name="Frame2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owners of the plane, would be reimbursed for its use by Innventure LLC and its employees and directors.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owners of the plane, would be reimbursed for its use by Innventure LLC and its employees and directors.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4" name="Frame2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65" name="Frame2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reimbursements are only to be granted for Innventure LLC business use. The aircraft time sharing agreements each have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reimbursements are only to be granted for Innventure LLC business use. The aircraft time sharing agreements each have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6" name="Frame2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67" name="Frame2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initial term of one year and automatically renew for one month terms until terminated by either party. Each agreement 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initial term of one year and automatically renew for one month terms until terminated by either party. Each agreement 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8" name="Frame2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69" name="Frame2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terminated by either party with 30 days’ prior written notice. In 2024, Innventure LLC made reimbursements to each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terminated by either party with 30 days’ prior written notice. In 2024, Innventure LLC made reimbursements to each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0" name="Frame2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71" name="Frame2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Otworth and Dr. Scott in the amounts of $142 and $122, respectively. Mr. Otworth was the Executive Chairman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Otworth and Dr. Scott in the amounts of $142 and $122, respectively. Mr. Otworth was the Executive Chairman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2" name="Frame2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73" name="Frame2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and is now Innventure’s Executive Chairman. Dr. Scott was the Chief Strategy Officer of Innventure LLC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and is now Innventure’s Executive Chairman. Dr. Scott was the Chief Strategy Officer of Innventure LLC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4" name="Frame2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21255" cy="293370"/>
                <wp:effectExtent l="0" t="0" r="0" b="0"/>
                <wp:wrapNone/>
                <wp:docPr id="1775" name="Frame2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1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is now Innventure’s Chief Strategy Officer.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0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is now Innventure’s Chief Strategy Officer.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23</w:t>
      </w:r>
      <w:r>
        <mc:AlternateContent>
          <mc:Choice Requires="wps">
            <w:drawing>
              <wp:anchor behindDoc="0" distT="0" distB="0" distL="0" distR="0" simplePos="0" locked="0" layoutInCell="1" allowOverlap="1" relativeHeight="251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6" name="Frame2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777" name="Frame2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1, 2024, the Company and Dr. John Scott agreed to amend and restate the Scott Bridge Note 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1, 2024, the Company and Dr. John Scott agreed to amend and restate the Scott Bridge Note 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95035" cy="293370"/>
                <wp:effectExtent l="0" t="0" r="0" b="0"/>
                <wp:wrapNone/>
                <wp:docPr id="1778" name="Frame2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50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for the issuance to the Glockner Lender of 1,392,059 shares of Series C Preferred Stock on March 24,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for the issuance to the Glockner Lender of 1,392,059 shares of Series C Preferred Stock on March 24,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9" name="Frame2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80" name="Frame2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Bridge Note and any loan documentation executed in connection with the A&amp;R Glockner Bridge Note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Bridge Note and any loan documentation executed in connection with the A&amp;R Glockner Bridge Note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1" name="Frame2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82" name="Frame2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full and otherwise terminated all loans and other obligations of Innventure LLC to the Glockner Lender under the A&amp;R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full and otherwise terminated all loans and other obligations of Innventure LLC to the Glockner Lender under the A&amp;R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3" name="Frame2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84" name="Frame2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general partner, Bellringer Consulting Group LLC. On March 20, 2025, the Glockner Lender agreed to deem as repaid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general partner, Bellringer Consulting Group LLC. On March 20, 2025, the Glockner Lender agreed to deem as repaid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5" name="Frame2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86" name="Frame2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Bridge Note. As described above, Mr. Donnally serves as the managing member of the Glockner Lender’s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Bridge Note. As described above, Mr. Donnally serves as the managing member of the Glockner Lender’s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7" name="Frame2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88" name="Frame2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are met. The Company also agreed to pay the Glockner Lender $1,000 as a loan fee in connection with entry into the A&amp;R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are met. The Company also agreed to pay the Glockner Lender $1,000 as a loan fee in connection with entry into the A&amp;R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9" name="Frame2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90" name="Frame2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the A&amp;R Glockner Bridge Note, such failure will not constitute an event of default unless certain other conditions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the A&amp;R Glockner Bridge Note, such failure will not constitute an event of default unless certain other conditions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1" name="Frame2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92" name="Frame2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day of each calendar month, beginning on November 1, 2024. In the event of a failure to pay any amount due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day of each calendar month, beginning on November 1, 2024. In the event of a failure to pay any amount due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3" name="Frame2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94" name="Frame2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of the A&amp;R Glockner Bridge Note, such note will bear interest at 15.99% per annum, payable in arrears on the 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of the A&amp;R Glockner Bridge Note, such note will bear interest at 15.99% per annum, payable in arrears on the 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5" name="Frame2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96" name="Frame2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its expected working capital needs, as determined by the Company in its reasonable discretion. From and after the issuance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its expected working capital needs, as determined by the Company in its reasonable discretion. From and after the issuance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7" name="Frame2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5">
                <wp:simplePos x="0" y="0"/>
                <wp:positionH relativeFrom="page">
                  <wp:posOffset>3954780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8" name="Frame2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1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11830" cy="293370"/>
                <wp:effectExtent l="0" t="0" r="0" b="0"/>
                <wp:wrapNone/>
                <wp:docPr id="1799" name="Frame2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226,334 shares of Series C Preferred Stock on March 24,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226,334 shares of Series C Preferred Stock on March 24,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0" name="Frame2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01" name="Frame2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A&amp;R Scott Bridge Note in exchange for (i) Dr. Scott’s receipt in cash of $195 and (ii) the issuance to Dr. Scott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A&amp;R Scott Bridge Note in exchange for (i) Dr. Scott’s receipt in cash of $195 and (ii) the issuance to Dr. Scott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2" name="Frame2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03" name="Frame2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to Dr. Scott under the A&amp;R Scott Bridge Note and any loan documentation executed in connection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to Dr. Scott under the A&amp;R Scott Bridge Note and any loan documentation executed in connection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4" name="Frame2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05" name="Frame2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20, 2025, Dr. Scott agreed to deem as repaid in full and otherwise terminated all loans and other obligations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20, 2025, Dr. Scott agreed to deem as repaid in full and otherwise terminated all loans and other obligations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6" name="Frame2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07" name="Frame2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also agreed to pay Dr. John Scott, the Company’s Chief Strategy Officer, $1,000 under the Scott Bridge Note.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also agreed to pay Dr. John Scott, the Company’s Chief Strategy Officer, $1,000 under the Scott Bridge Note.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8" name="Frame2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09" name="Frame2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A&amp;R Scott Bridge Note, such failure will not constitute an event of default unless certain other conditions are met.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A&amp;R Scott Bridge Note, such failure will not constitute an event of default unless certain other conditions are met.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0" name="Frame2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11" name="Frame2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A&amp;R Scott Bridge Note accrued at a rate of 13.5% per annum. In the event of a failure to pay any amount due under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A&amp;R Scott Bridge Note accrued at a rate of 13.5% per annum. In the event of a failure to pay any amount due under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2" name="Frame2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13" name="Frame2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the A&amp;R Scott Bridge Note accrued at a rate of 11.5% per annum, and from and after October 1, 2024, interest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the A&amp;R Scott Bridge Note accrued at a rate of 11.5% per annum, and from and after October 1, 2024, interest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4" name="Frame2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15" name="Frame2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borrowings are due at maturity on January 31, 2025. From August 22, 2024 to but excluding October 1, 2024, interest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borrowings are due at maturity on January 31, 2025. From August 22, 2024 to but excluding October 1, 2024, interest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6" name="Frame2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17" name="Frame2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amended, the “A&amp;R Scott Bridge Note”). The A&amp;R Scott Bridge Note was reissued in the principal amount of $1,000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amended, the “A&amp;R Scott Bridge Note”). The A&amp;R Scott Bridge Note was reissued in the principal amount of $1,000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18" name="Frame2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Bridge Note, advances under the note shall be made in multiple installments as follows: (i) $3,000 on August 20,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Bridge Note, advances under the note shall be made in multiple installments as follows: (i) $3,000 on August 20,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19" name="Frame2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Innventure, is the Managing Member of Bellringer Consulting Group, LLC, the General Partner of the Glockner Lender,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Innventure, is the Managing Member of Bellringer Consulting Group, LLC, the General Partner of the Glockner Lender,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0" name="Frame2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21" name="Frame2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Innventure’s Class B-1 Preferred Units. James Donnally was a director of Innventure LLC and is now a director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Innventure’s Class B-1 Preferred Units. James Donnally was a director of Innventure LLC and is now a director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2" name="Frame2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23" name="Frame2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 be re-borrowed. Glockner Enterprises is affiliated with persons or entities that collectively own greater than 10%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 be re-borrowed. Glockner Enterprises is affiliated with persons or entities that collectively own greater than 10%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4" name="Frame2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25" name="Frame2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(iii) $4,000 on September 3, 2024 (and was received on September 3, 2024). Amounts that are borrowed and repaid 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(iii) $4,000 on September 3, 2024 (and was received on September 3, 2024). Amounts that are borrowed and repaid 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6" name="Frame2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27" name="Frame2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 (and was received on August 20, 2024), (ii) $3,000 on August 27, 2024 (and was received on August 27, 2024)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 (and was received on August 20, 2024), (ii) $3,000 on August 27, 2024 (and was received on August 27, 2024)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8" name="Frame2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9" name="Frame2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0" name="Frame2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31" name="Frame2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Bridge Note carries a loan fee of $1,000 and does not bear interest except during an event of default. Pursuant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Bridge Note carries a loan fee of $1,000 and does not bear interest except during an event of default. Pursuant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2" name="Frame2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33" name="Frame2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 and loan fee were due upon the later of October 15, 2024 or the first business day following Closing. The Glockner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 and loan fee were due upon the later of October 15, 2024 or the first business day following Closing. The Glockner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4" name="Frame2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35" name="Frame2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affiliated with Glockner Enterprises, as bridge financing until the Closing of the Transactions. The outstanding principal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affiliated with Glockner Enterprises, as bridge financing until the Closing of the Transactions. The outstanding principal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6" name="Frame2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37" name="Frame2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borrowed $10,000 from Glockner Family Venture Fund, LP (the “Glockner Lender”), a Florida limited partnership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borrowed $10,000 from Glockner Family Venture Fund, LP (the “Glockner Lender”), a Florida limited partnership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8" name="Frame2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9" name="Frame2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40" name="Frame2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the Company has sufficient capital to be able to repay all amounts outstanding under such note and otherwise meet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the Company has sufficient capital to be able to repay all amounts outstanding under such note and otherwise meet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41" name="Frame2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42" name="Frame2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$10,000 and such borrowings are due upon the earlier of January 31, 2025 and the first business day following the date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$10,000 and such borrowings are due upon the earlier of January 31, 2025 and the first business day following the date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43" name="Frame2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44" name="Frame2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amended, the “A&amp;R Glockner Bridge Note”). The A&amp;R Glockner Bridge Note was issued in the principal amount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amended, the “A&amp;R Glockner Bridge Note”). The A&amp;R Glockner Bridge Note was issued in the principal amount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45" name="Frame2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846" name="Frame2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1, 2024, the Company and the Glockner Lender amended and restated the Glockner Bridge Note 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1, 2024, the Company and the Glockner Lender amended and restated the Glockner Bridge Note 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37485" cy="293370"/>
                <wp:effectExtent l="0" t="0" r="0" b="0"/>
                <wp:wrapNone/>
                <wp:docPr id="1847" name="Frame2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74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Note has terms identical to the Glockner Bridge Note.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Note has terms identical to the Glockner Bridge Note.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48" name="Frame2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49" name="Frame2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 annum, amounts will be advanced under the Scott Bridge Note upon written request and, otherwise, the Scott Bridge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 annum, amounts will be advanced under the Scott Bridge Note upon written request and, otherwise, the Scott Bridge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850" name="Frame2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August 20, 2024, pursuant to an unsecured promissory note (the “Glockner Bridge Note”), Innventure LLC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August 20, 2024, pursuant to an unsecured promissory note (the “Glockner Bridge Note”), Innventure LLC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51" name="Frame2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rate of eleven and half percent (11.5%) per annum plus, in the case of an event of default, an additional two percent (2%)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rate of eleven and half percent (11.5%) per annum plus, in the case of an event of default, an additional two percent (2%)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52" name="Frame2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53" name="Frame2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borrowed $2,000 from Dr. John Scott, Innventure’s Chief Strategy Officer. Interest will accrue on the Scott Bridge Note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borrowed $2,000 from Dr. John Scott, Innventure’s Chief Strategy Officer. Interest will accrue on the Scott Bridge Note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54" name="Frame2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855" name="Frame2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August 22, 2024, pursuant to an unsecured promissory note (the “Scott Bridge Note”), Innventure LLC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August 22, 2024, pursuant to an unsecured promissory note (the “Scott Bridge Note”), Innventure LLC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77235" cy="293370"/>
                <wp:effectExtent l="0" t="0" r="0" b="0"/>
                <wp:wrapNone/>
                <wp:docPr id="1856" name="Frame2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72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making with respect to equity or debt investments in Innventure.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8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making with respect to equity or debt investments in Innventure.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57" name="Frame2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Enterprises from 1996 to 2023. Mr. Donnally currently has no authority over the Glockner Lender’s decision-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Enterprises from 1996 to 2023. Mr. Donnally currently has no authority over the Glockner Lender’s decision-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58" name="Frame2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59" name="Frame2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equity holder of the Glockner Lender, and previously served as the Vice President and Chief Financial Officer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equity holder of the Glockner Lender, and previously served as the Vice President and Chief Financial Officer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Review, Approval or Ratification of Transactions with Related Parties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Limitation of Liability and Indemnification of Directors and Executive Officers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254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860" name="Frame2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Audit Committee has the primary responsibility for reviewing and approving or disapproving “related party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Audit Committee has the primary responsibility for reviewing and approving or disapproving “related party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61" name="Frame2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62" name="Frame2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transactions,” which are transactions between the Company and related parties in which the aggregate amount involved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transactions,” which are transactions between the Company and related parties in which the aggregate amount involved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63" name="Frame2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64" name="Frame2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exceeds or may be expected to exceed $120 and in which a related party has or will have a direct or indirect material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exceeds or may be expected to exceed $120 and in which a related party has or will have a direct or indirect material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65" name="Frame2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93370"/>
                <wp:effectExtent l="0" t="0" r="0" b="0"/>
                <wp:wrapNone/>
                <wp:docPr id="1866" name="Frame2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interest. The written charter of the Audit Committee provides that the Audit Committee will review and approve in advance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interest. The written charter of the Audit Committee provides that the Audit Committee will review and approve in advance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67" name="Frame2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72565" cy="293370"/>
                <wp:effectExtent l="0" t="0" r="0" b="0"/>
                <wp:wrapNone/>
                <wp:docPr id="1868" name="Frame2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5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related party transaction.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related party transaction.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Related Party Transaction Policy</w:t>
      </w:r>
      <w:r>
        <mc:AlternateContent>
          <mc:Choice Requires="wps">
            <w:drawing>
              <wp:anchor behindDoc="0" distT="0" distB="0" distL="0" distR="0" simplePos="0" locked="0" layoutInCell="1" allowOverlap="1" relativeHeight="255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869" name="Frame2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has entered into indemnification agreements with each of Innventure’s directors and executive officers,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has entered into indemnification agreements with each of Innventure’s directors and executive officers,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0" name="Frame2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71" name="Frame2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form of which is attached as an exhibit to our 2024 Annual Report, filed with the SEC on April 14, 2025.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form of which is attached as an exhibit to our 2024 Annual Report, filed with the SEC on April 14, 2025.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2" name="Frame2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73" name="Frame2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indemnification agreements require Innventure to indemnify its directors and executive officers to the fullest extent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indemnification agreements require Innventure to indemnify its directors and executive officers to the fullest extent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4" name="Frame2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09065" cy="293370"/>
                <wp:effectExtent l="0" t="0" r="0" b="0"/>
                <wp:wrapNone/>
                <wp:docPr id="1875" name="Frame2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0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permitted by Delaware law.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permitted by Delaware law.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24</w:t>
      </w:r>
      <w:r>
        <mc:AlternateContent>
          <mc:Choice Requires="wps">
            <w:drawing>
              <wp:anchor behindDoc="0" distT="0" distB="0" distL="0" distR="0" simplePos="0" locked="0" layoutInCell="1" allowOverlap="1" relativeHeight="257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6" name="Frame2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2">
                <wp:simplePos x="0" y="0"/>
                <wp:positionH relativeFrom="page">
                  <wp:posOffset>4735195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7" name="Frame2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7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92245" cy="293370"/>
                <wp:effectExtent l="0" t="0" r="0" b="0"/>
                <wp:wrapNone/>
                <wp:docPr id="1878" name="Frame2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22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director, as applicable, under the rules and regulations of the SEC and Nasdaq.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4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director, as applicable, under the rules and regulations of the SEC and Nasdaq.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9" name="Frame2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80" name="Frame2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transaction would compromise the director or director nominee’s status as an “independent” or “non-employee”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transaction would compromise the director or director nominee’s status as an “independent” or “non-employee”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81" name="Frame2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82" name="Frame2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approval of a related party transaction involving a non-employee director or director nominee, should consider whether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approval of a related party transaction involving a non-employee director or director nominee, should consider whether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83" name="Frame2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884" name="Frame2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addition, the related party transaction policy provides that the Audit Committee, in connection with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addition, the related party transaction policy provides that the Audit Committee, in connection with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470910" cy="293370"/>
                <wp:effectExtent l="0" t="0" r="0" b="0"/>
                <wp:wrapNone/>
                <wp:docPr id="1885" name="Frame2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09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management to follow in its ongoing dealings with the related party.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3.3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management to follow in its ongoing dealings with the related party.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86" name="Frame2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1887" name="Frame2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a related party transaction will be ongoing, the Audit Committee may establish guidelines for Innventure’s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a related party transaction will be ongoing, the Audit Committee may establish guidelines for Innventure’s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888" name="Frame2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052695" cy="293370"/>
                <wp:effectExtent l="0" t="0" r="0" b="0"/>
                <wp:wrapNone/>
                <wp:docPr id="1889" name="Frame2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26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potential disclosure obligations of Innventure in connection with such related party transaction;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7.8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potential disclosure obligations of Innventure in connection with such related party transaction;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90" name="Frame2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891" name="Frame2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all material information regarding such related party transaction, the interest of the related party and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all material information regarding such related party transaction, the interest of the related party and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892" name="Frame2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has adopted a formal written policy for the review and approval of transactions with related parties.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has adopted a formal written policy for the review and approval of transactions with related parties.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1893" name="Frame2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its review of any related party transaction, Innventure shall provide the Audit 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its review of any related party transaction, Innventure shall provide the Audit 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894" name="Frame2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892550" cy="293370"/>
                <wp:effectExtent l="0" t="0" r="0" b="0"/>
                <wp:wrapNone/>
                <wp:docPr id="1895" name="Frame2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25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circumstances and the extent of the related party’s interest in the transaction;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6.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circumstances and the extent of the related party’s interest in the transaction;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96" name="Frame2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897" name="Frame2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than terms generally available in a transaction with an unaffiliated third-party under the same or similar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than terms generally available in a transaction with an unaffiliated third-party under the same or similar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98" name="Frame2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899" name="Frame2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it deems appropriate, whether the related party transaction is on terms no less favorable to Innventure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it deems appropriate, whether the related party transaction is on terms no less favorable to Innventure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00" name="Frame2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1901" name="Frame2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reviewing any related party transaction, the Audit Committee will take into account, among other factors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reviewing any related party transaction, the Audit Committee will take into account, among other factors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902" name="Frame2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262120" cy="293370"/>
                <wp:effectExtent l="0" t="0" r="0" b="0"/>
                <wp:wrapNone/>
                <wp:docPr id="1903" name="Frame2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21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Audit Committee shall review the material facts of all related party transactions;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6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Audit Committee shall review the material facts of all related party transactions;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904" name="Frame2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375535" cy="293370"/>
                <wp:effectExtent l="0" t="0" r="0" b="0"/>
                <wp:wrapNone/>
                <wp:docPr id="1905" name="Frame2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policy requires, among other things, that: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policy requires, among other things, that: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06" name="Frame2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PROPOSAL TWO—RATIFY BDO USA, P.C. AS OUR INDEPENDENT REGISTERED PUBLIC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ACCOUNTING FIRM FOR THE FISCAL YEAR ENDING DECEMBER 21, 2025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Recommendation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259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907" name="Frame2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Audit Committee has appointed BDO USA, P.C. (“BDO”) as our independent registered public 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Audit Committee has appointed BDO USA, P.C. (“BDO”) as our independent registered public 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08" name="Frame2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09" name="Frame2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firm for the fiscal year ending December 31, 2025, and we are submitting that appointment to our stockholders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firm for the fiscal year ending December 31, 2025, and we are submitting that appointment to our stockholders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0" name="Frame2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11" name="Frame2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ratification on an advisory basis at the meeting.  Although shareholder ratification of BDO’s appointment is not legally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ratification on an advisory basis at the meeting.  Although shareholder ratification of BDO’s appointment is not legally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2" name="Frame2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13" name="Frame2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required, we are submitting this matter to our stockholders, as a matter of good corporate practice.  In determining whether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required, we are submitting this matter to our stockholders, as a matter of good corporate practice.  In determining whether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4" name="Frame2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15" name="Frame2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appoint BDO as our independent registered public accounting firm, the Audit Committee considered a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appoint BDO as our independent registered public accounting firm, the Audit Committee considered a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6" name="Frame2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17" name="Frame2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factors, including, among others, the firm’s qualifications, industry expertise, prior performance, control procedures,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factors, including, among others, the firm’s qualifications, industry expertise, prior performance, control procedures,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8" name="Frame2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919" name="Frame2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proposed staffing and the reasonableness of its fees on an absolute basis and as compared with fees paid by comparable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proposed staffing and the reasonableness of its fees on an absolute basis and as compared with fees paid by comparable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20" name="Frame2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4040" cy="293370"/>
                <wp:effectExtent l="0" t="0" r="0" b="0"/>
                <wp:wrapNone/>
                <wp:docPr id="1921" name="Frame2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0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Vote Required</w:t>
      </w:r>
      <w:r>
        <mc:AlternateContent>
          <mc:Choice Requires="wps">
            <w:drawing>
              <wp:anchor behindDoc="0" distT="0" distB="0" distL="0" distR="0" simplePos="0" locked="0" layoutInCell="1" allowOverlap="1" relativeHeight="260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809240" cy="146685"/>
                <wp:effectExtent l="0" t="0" r="0" b="0"/>
                <wp:wrapNone/>
                <wp:docPr id="1922" name="Frame2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2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unanimously recommends that you vote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unanimously recommends that you vote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9">
                <wp:simplePos x="0" y="0"/>
                <wp:positionH relativeFrom="page">
                  <wp:posOffset>4009390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923" name="Frame2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31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0">
                <wp:simplePos x="0" y="0"/>
                <wp:positionH relativeFrom="page">
                  <wp:posOffset>4277360</wp:posOffset>
                </wp:positionH>
                <wp:positionV relativeFrom="line">
                  <wp:posOffset>635</wp:posOffset>
                </wp:positionV>
                <wp:extent cx="2751455" cy="175260"/>
                <wp:effectExtent l="0" t="0" r="0" b="0"/>
                <wp:wrapNone/>
                <wp:docPr id="1924" name="Frame2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14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ratification of the appointment of BDO as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6.65pt;height:13.8pt;mso-wrap-distance-left:0pt;mso-wrap-distance-right:0pt;mso-wrap-distance-top:0pt;mso-wrap-distance-bottom:0pt;margin-top:0pt;mso-position-vertical:top;mso-position-vertical-relative:text;margin-left:33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ratification of the appointment of BDO as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25" name="Frame2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700270" cy="293370"/>
                <wp:effectExtent l="0" t="0" r="0" b="0"/>
                <wp:wrapNone/>
                <wp:docPr id="1926" name="Frame2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02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registered public accounting firm for the fiscal year ending December 31,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0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registered public accounting firm for the fiscal year ending December 31,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927" name="Frame2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stockholders fail to vote on an advisory basis in favor of the appointment, the Audit Committee will reconsider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stockholders fail to vote on an advisory basis in favor of the appointment, the Audit Committee will reconsider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28" name="Frame2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29" name="Frame2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whether to retain BDO and may appoint that firm or another without re-submitting the matter to the stockholders.  Even if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whether to retain BDO and may appoint that firm or another without re-submitting the matter to the stockholders.  Even if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0" name="Frame2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31" name="Frame2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ratify the appointment, the Audit Committee may, in its discretion, select a different independent registered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ratify the appointment, the Audit Committee may, in its discretion, select a different independent registered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2" name="Frame2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33" name="Frame2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public accounting firm at any time during the year if it determines that such a change would be in the Company’s best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public accounting firm at any time during the year if it determines that such a change would be in the Company’s best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4" name="Frame2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4660" cy="293370"/>
                <wp:effectExtent l="0" t="0" r="0" b="0"/>
                <wp:wrapNone/>
                <wp:docPr id="1935" name="Frame2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Audit Matters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262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936" name="Frame2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ratification of the appointment of BDO as our independent registered public accounting firm for the fiscal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ratification of the appointment of BDO as our independent registered public accounting firm for the fiscal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7" name="Frame2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938" name="Frame2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year ending December 31, 2025 requires the affirmative vote of the majority of the votes cast (meaning the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year ending December 31, 2025 requires the affirmative vote of the majority of the votes cast (meaning the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9" name="Frame2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940" name="Frame2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voted “for” the proposal must exceed the number of shares voted “against” the proposal). Abstentions and broker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voted “for” the proposal must exceed the number of shares voted “against” the proposal). Abstentions and broker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41" name="Frame2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42" name="Frame2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non-votes, if any, are not considered votes cast for the foregoing purpose, and will have no effect on the vote for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non-votes, if any, are not considered votes cast for the foregoing purpose, and will have no effect on the vote for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43" name="Frame2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8630" cy="293370"/>
                <wp:effectExtent l="0" t="0" r="0" b="0"/>
                <wp:wrapNone/>
                <wp:docPr id="1944" name="Frame2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1">
                <wp:simplePos x="0" y="0"/>
                <wp:positionH relativeFrom="page">
                  <wp:posOffset>1211580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45" name="Frame2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9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25</w:t>
      </w:r>
      <w:r>
        <mc:AlternateContent>
          <mc:Choice Requires="wps">
            <w:drawing>
              <wp:anchor behindDoc="0" distT="0" distB="0" distL="0" distR="0" simplePos="0" locked="0" layoutInCell="1" allowOverlap="1" relativeHeight="264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946" name="Frame2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18540" cy="293370"/>
                <wp:effectExtent l="0" t="0" r="0" b="0"/>
                <wp:wrapNone/>
                <wp:docPr id="1947" name="Frame2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they desire to do so.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they desire to do so.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48" name="Frame2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49" name="Frame2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representatives will be available to respond to appropriate questions and will have an opportunity to make a statement if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representatives will be available to respond to appropriate questions and will have an opportunity to make a statement if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50" name="Frame2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951" name="Frame2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BDO has advised us that one or more of its partners will be present at the meeting. We understand that these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BDO has advised us that one or more of its partners will be present at the meeting. We understand that these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428625" cy="131445"/>
                <wp:effectExtent l="0" t="0" r="0" b="0"/>
                <wp:wrapNone/>
                <wp:docPr id="1952" name="Frame2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31, 2023.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31, 2023.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953" name="Frame2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1954" name="Frame2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Includes fees for all services other than those covered above under “Audit Fees.” No such fees existed for the year ended December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Includes fees for all services other than those covered above under “Audit Fees.” No such fees existed for the year ended December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087755" cy="262890"/>
                <wp:effectExtent l="0" t="0" r="0" b="0"/>
                <wp:wrapNone/>
                <wp:docPr id="1955" name="Frame2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75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can reasonably provide.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6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can reasonably provide.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956" name="Frame2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1957" name="Frame2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and consents for securities offerings and for other services that only the Company’s independent registered public accounting firm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and consents for securities offerings and for other services that only the Company’s independent registered public accounting firm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958" name="Frame2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1959" name="Frame2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of the consolidated financial statements included in the Company’s Quarterly Report on Form 10-Q, issuances of comfort letters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of the consolidated financial statements included in the Company’s Quarterly Report on Form 10-Q, issuances of comfort letters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960" name="Frame2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sets forth the amount of audit fees, audit-related fees, tax fees, and all other fees billed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sets forth the amount of audit fees, audit-related fees, tax fees, and all other fees billed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1961" name="Frame2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Includes fees for professional services rendered for the audit of the Company’s annual consolidated financial statements and review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Includes fees for professional services rendered for the audit of the Company’s annual consolidated financial statements and review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1962" name="Frame2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32755" cy="293370"/>
                <wp:effectExtent l="0" t="0" r="0" b="0"/>
                <wp:wrapNone/>
                <wp:docPr id="1963" name="Frame2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27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registered public accounting firm to the Company in 2024 after the completion of the Business Combination.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registered public accounting firm to the Company in 2024 after the completion of the Business Combination.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64" name="Frame2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65" name="Frame2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Audit Committee pre-approved all services and fees charged by BDO USA, P.C. as the Company’s independent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Audit Committee pre-approved all services and fees charged by BDO USA, P.C. as the Company’s independent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66" name="Frame2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67" name="Frame2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Audit Committee considers the provision of such non-audit services when evaluating the accounting firm’s independence.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Audit Committee considers the provision of such non-audit services when evaluating the accounting firm’s independence.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68" name="Frame2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69" name="Frame2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Company by the independent registered public accounting firm are pre-approved by the Audit Committee,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Company by the independent registered public accounting firm are pre-approved by the Audit Committee,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0" name="Frame2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971" name="Frame2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services by BDO USA, P.C. for the years ended December 31, 2024 and 2023. All audit and non-audit services provided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services by BDO USA, P.C. for the years ended December 31, 2024 and 2023. All audit and non-audit services provided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2" name="Frame2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Change in Auditor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Report of the Audit Committee of the Board</w:t>
      </w:r>
      <w:r>
        <mc:AlternateContent>
          <mc:Choice Requires="wps">
            <w:drawing>
              <wp:anchor behindDoc="0" distT="0" distB="0" distL="0" distR="0" simplePos="0" locked="0" layoutInCell="1" allowOverlap="1" relativeHeight="269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3" name="Frame2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82390" cy="293370"/>
                <wp:effectExtent l="0" t="0" r="0" b="0"/>
                <wp:wrapNone/>
                <wp:docPr id="1974" name="Frame2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23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event that it was unable to complete a business combination by that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5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event that it was unable to complete a business combination by that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975" name="Frame2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years ended December 31, 2023 and 2022, and the subsequent interim period through October 2, 2024,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years ended December 31, 2023 and 2022, and the subsequent interim period through October 2, 2024,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6" name="Frame2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77" name="Frame2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 were no (i) disagreements with Marcum on any matter of accounting principles or practices, financial statement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 were no (i) disagreements with Marcum on any matter of accounting principles or practices, financial statement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8" name="Frame2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79" name="Frame2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disclosure, or auditing scope or procedure, which disagreements if not resolved to their satisfaction, would have caused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disclosure, or auditing scope or procedure, which disagreements if not resolved to their satisfaction, would have caused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0" name="Frame2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981" name="Frame2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them to make reference to the subject matter of the disagreement in connection with their report, or (ii) reportable events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them to make reference to the subject matter of the disagreement in connection with their report, or (ii) reportable events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2" name="Frame2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55900" cy="293370"/>
                <wp:effectExtent l="0" t="0" r="0" b="0"/>
                <wp:wrapNone/>
                <wp:docPr id="1983" name="Frame2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(as described in Item 304(a)(1)(v) of Regulation S-K).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(as described in Item 304(a)(1)(v) of Regulation S-K).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984" name="Frame2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years ended December 31, 2023 and 2022, and the subsequent interim period through October 2, 2024,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years ended December 31, 2023 and 2022, and the subsequent interim period through October 2, 2024,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5" name="Frame2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86" name="Frame2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neither Learn CW nor anyone on its behalf consulted BDO regarding either (i) the application of accounting principles to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neither Learn CW nor anyone on its behalf consulted BDO regarding either (i) the application of accounting principles to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7" name="Frame2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988" name="Frame2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specified transaction, either completed or proposed, or the type of audit opinion that might be rendered on Learn CW’s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specified transaction, either completed or proposed, or the type of audit opinion that might be rendered on Learn CW’s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9" name="Frame2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90" name="Frame2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financial statements, and neither a written report nor oral advice was provided to Learn CW that BDO concluded was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financial statements, and neither a written report nor oral advice was provided to Learn CW that BDO concluded was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1" name="Frame2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992" name="Frame2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important factor considered by Learn CW in reaching a decision as to any accounting, auditing or financial reporting issue,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important factor considered by Learn CW in reaching a decision as to any accounting, auditing or financial reporting issue,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3" name="Frame2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994" name="Frame2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(ii) any matter that was either the subject of a “disagreement” or a “reportable event,” each as defined in Regulation S-K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(ii) any matter that was either the subject of a “disagreement” or a “reportable event,” each as defined in Regulation S-K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5" name="Frame2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508885" cy="293370"/>
                <wp:effectExtent l="0" t="0" r="0" b="0"/>
                <wp:wrapNone/>
                <wp:docPr id="1996" name="Frame2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Item 304(a)(1)(iv) and 304(a)(1)(v), 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Item 304(a)(1)(iv) and 304(a)(1)(v), 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7" name="Frame2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8" name="Frame2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99" name="Frame2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approved and the Board ratified, the appointment of BDO as the Company’s independent registered public accounting firm,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approved and the Board ratified, the appointment of BDO as the Company’s independent registered public accounting firm,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0" name="Frame2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01" name="Frame2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subject to satisfactory completion of their client acceptance procedures.  BDO served as Innventure’s independent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subject to satisfactory completion of their client acceptance procedures.  BDO served as Innventure’s independent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2" name="Frame2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03" name="Frame2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registered public accounting firm prior to the Business Combination.  Accordingly, following the filing of the Company’s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registered public accounting firm prior to the Business Combination.  Accordingly, following the filing of the Company’s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4" name="Frame2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05" name="Frame2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Quarterly Report on Form 10-Q for the quarter ended September 30, 2023, we dismissed Marcum, LLP (“Marcum”)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Quarterly Report on Form 10-Q for the quarter ended September 30, 2023, we dismissed Marcum, LLP (“Marcum”)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6" name="Frame2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42335" cy="293370"/>
                <wp:effectExtent l="0" t="0" r="0" b="0"/>
                <wp:wrapNone/>
                <wp:docPr id="2007" name="Frame2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23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Learn CW’s and our independent registered public accounting firm.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Learn CW’s and our independent registered public accounting firm.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008" name="Frame2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reports of Marcum on Learn CW’s balance sheets as of December 31, 2023 and 2022 and the related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reports of Marcum on Learn CW’s balance sheets as of December 31, 2023 and 2022 and the related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009" name="Frame2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2, 2024, in connection with the consummation of the Business Combination, the Audit 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2, 2024, in connection with the consummation of the Business Combination, the Audit 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10" name="Frame2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statements of operations, changes in stockholders’ equity and cash flows for the years ended December 31, 2023 and 2022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statements of operations, changes in stockholders’ equity and cash flows for the years ended December 31, 2023 and 2022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11" name="Frame2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12" name="Frame2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the related notes (collectively referred to as the “Learn CW financial statements”) did not contain any adverse opinion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the related notes (collectively referred to as the “Learn CW financial statements”) did not contain any adverse opinion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13" name="Frame2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11545" cy="293370"/>
                <wp:effectExtent l="0" t="0" r="0" b="0"/>
                <wp:wrapNone/>
                <wp:docPr id="2014" name="Frame2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15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a disclaimer of opinion, nor were they qualified or modified as to uncertainty, audit scope, or accounting principles.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3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a disclaimer of opinion, nor were they qualified or modified as to uncertainty, audit scope, or accounting principles.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015" name="Frame2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reports of Marcum on the Learn CW financial statements contained an explanatory paragraph which noted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reports of Marcum on the Learn CW financial statements contained an explanatory paragraph which noted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16" name="Frame2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93370"/>
                <wp:effectExtent l="0" t="0" r="0" b="0"/>
                <wp:wrapNone/>
                <wp:docPr id="2017" name="Frame2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there was substantial doubt as to Learn CW’s ability to continue as a going concern as Learn CW had no approved plan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there was substantial doubt as to Learn CW’s ability to continue as a going concern as Learn CW had no approved plan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18" name="Frame2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19" name="Frame2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place to extend the business combination deadline and fund operations for any period of time after October 13, 2024,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place to extend the business combination deadline and fund operations for any period of time after October 13, 2024,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26</w:t>
      </w:r>
      <w:r>
        <mc:AlternateContent>
          <mc:Choice Requires="wps">
            <w:drawing>
              <wp:anchor behindDoc="0" distT="0" distB="0" distL="0" distR="0" simplePos="0" locked="0" layoutInCell="1" allowOverlap="1" relativeHeight="27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20" name="Frame2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registered public accounting firm the accounting firm’s independence. Based on the foregoing, the Audit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registered public accounting firm the accounting firm’s independence. Based on the foregoing, the Audit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32095" cy="293370"/>
                <wp:effectExtent l="0" t="0" r="0" b="0"/>
                <wp:wrapNone/>
                <wp:docPr id="2021" name="Frame2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20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before or after the date hereof and irrespective of any general incorporation language in any such filing.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before or after the date hereof and irrespective of any general incorporation language in any such filing.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22" name="Frame2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23" name="Frame2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reference in any filing of Innventure under the Securities Act of 1933, as amended, or the Exchange Act, whether made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reference in any filing of Innventure under the Securities Act of 1933, as amended, or the Exchange Act, whether made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24" name="Frame2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2025" name="Frame2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material in this report is not “soliciting material,” is not deemed “filed” with the SEC and is not to be incorporated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material in this report is not “soliciting material,” is not deemed “filed” with the SEC and is not to be incorporated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975360" cy="293370"/>
                <wp:effectExtent l="0" t="0" r="0" b="0"/>
                <wp:wrapNone/>
                <wp:docPr id="2026" name="Frame2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Elizabeth Williams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8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Elizabeth Williams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4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975995" cy="293370"/>
                <wp:effectExtent l="0" t="0" r="0" b="0"/>
                <wp:wrapNone/>
                <wp:docPr id="2027" name="Frame2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9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Daniel J. Hennessy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85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Daniel J. Hennessy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1367155" cy="293370"/>
                <wp:effectExtent l="0" t="0" r="0" b="0"/>
                <wp:wrapNone/>
                <wp:docPr id="2028" name="Frame2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1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James O. Donnally (Chair)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65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James O. Donnally (Chair)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7190" cy="293370"/>
                <wp:effectExtent l="0" t="0" r="0" b="0"/>
                <wp:wrapNone/>
                <wp:docPr id="2029" name="Frame2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Report.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Report.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0" name="Frame2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31" name="Frame2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has recommended to the Board that the audited financial statements be included in Innventure’s 2024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has recommended to the Board that the audited financial statements be included in Innventure’s 2024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2" name="Frame2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033" name="Frame2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Audit Committee has reviewed and discussed the audited financial statements for the year ended December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Audit Committee has reviewed and discussed the audited financial statements for the year ended December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4" name="Frame2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35" name="Frame2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accountant’s communications with the Audit Committee concerning independence, and has discussed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accountant’s communications with the Audit Committee concerning independence, and has discussed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6" name="Frame2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37" name="Frame2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registered public accounting firm required by applicable requirements of the PCAOB regarding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registered public accounting firm required by applicable requirements of the PCAOB regarding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8" name="Frame2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39" name="Frame2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(“PCAOB”) and the SEC. The Audit Committee has also received the written disclosures and the letter from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(“PCAOB”) and the SEC. The Audit Committee has also received the written disclosures and the letter from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0" name="Frame2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41" name="Frame2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matters required to be discussed by the applicable requirements of the Public Company Accounting Oversight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matters required to be discussed by the applicable requirements of the Public Company Accounting Oversight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2" name="Frame2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43" name="Frame2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31, 2024 with management. The Audit Committee has discussed with the independent registered public accounting firm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31, 2024 with management. The Audit Committee has discussed with the independent registered public accounting firm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4" name="Frame2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PROPOSAL THREE—SEPA SHARE ISSUANCE PROPOSAL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Background</w:t>
      </w:r>
      <w:r>
        <mc:AlternateContent>
          <mc:Choice Requires="wps">
            <w:drawing>
              <wp:anchor behindDoc="0" distT="0" distB="0" distL="0" distR="0" simplePos="0" locked="0" layoutInCell="1" allowOverlap="1" relativeHeight="273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2045" name="Frame2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seeking approval of the potential issuance of a number of shares of Common Stock to Yorkville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seeking approval of the potential issuance of a number of shares of Common Stock to Yorkville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6" name="Frame2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047" name="Frame2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SEPA Exchange Cap (as defined below). As of the Record Date, we had issued 208,993 shares of Common Stock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SEPA Exchange Cap (as defined below). As of the Record Date, we had issued 208,993 shares of Common Stock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8" name="Frame2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87825" cy="293370"/>
                <wp:effectExtent l="0" t="0" r="0" b="0"/>
                <wp:wrapNone/>
                <wp:docPr id="2049" name="Frame2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78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 pursuant to the SEPA at prices ranging from $11.93 to $12.86 per 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9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 pursuant to the SEPA at prices ranging from $11.93 to $12.86 per 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6">
                <wp:simplePos x="0" y="0"/>
                <wp:positionH relativeFrom="page">
                  <wp:posOffset>4930775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50" name="Frame2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27</w:t>
      </w:r>
      <w:r>
        <mc:AlternateContent>
          <mc:Choice Requires="wps">
            <w:drawing>
              <wp:anchor behindDoc="0" distT="0" distB="0" distL="0" distR="0" simplePos="0" locked="0" layoutInCell="1" allowOverlap="1" relativeHeight="27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51" name="Frame2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52" name="Frame2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Advance shall be used as an Advance Payment (as defined in the Convertible Debentures), provided that, if all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Advance shall be used as an Advance Payment (as defined in the Convertible Debentures), provided that, if all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53" name="Frame2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293370"/>
                <wp:effectExtent l="0" t="0" r="0" b="0"/>
                <wp:wrapNone/>
                <wp:docPr id="2054" name="Frame2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agreed by Yorkville, (1) we may only request an Option 2 Pricing Period in such Advance, and, (2) all of the proceeds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agreed by Yorkville, (1) we may only request an Option 2 Pricing Period in such Advance, and, (2) all of the proceeds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55" name="Frame2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56" name="Frame2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any amounts remain outstanding under the Convertible Debentures, if we request an Advance then, unless otherwise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any amounts remain outstanding under the Convertible Debentures, if we request an Advance then, unless otherwise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57" name="Frame2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293370"/>
                <wp:effectExtent l="0" t="0" r="0" b="0"/>
                <wp:wrapNone/>
                <wp:docPr id="2058" name="Frame2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entry into the Securities Purchase Agreement (as defined below), we agreed that for so long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entry into the Securities Purchase Agreement (as defined below), we agreed that for so long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5750" cy="146685"/>
                <wp:effectExtent l="0" t="0" r="0" b="0"/>
                <wp:wrapNone/>
                <wp:docPr id="2059" name="Frame2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0" name="Frame2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61" name="Frame2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filed a post-effective amendment to the registration statement on April 15, 2025, which was declared effective on April 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filed a post-effective amendment to the registration statement on April 15, 2025, which was declared effective on April 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2" name="Frame2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63" name="Frame2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registration statement on November 4, 2024, and received notice of effectiveness on November 12, 2024. Furthermore, we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registration statement on November 4, 2024, and received notice of effectiveness on November 12, 2024. Furthermore, we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4" name="Frame2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65" name="Frame2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Advance under the Securities Act, and that the Registration Statement is declared effective by the SEC. We filed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Advance under the Securities Act, and that the Registration Statement is declared effective by the SEC. We filed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6" name="Frame2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67" name="Frame2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conditions, including that a registration statement be filed with the SEC, registering the shares to be issued pursuant to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conditions, including that a registration statement be filed with the SEC, registering the shares to be issued pursuant to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8" name="Frame2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069" name="Frame2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Yorkville’s obligation to purchase shares of Common Stock pursuant to the SEPA is subject to a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Yorkville’s obligation to purchase shares of Common Stock pursuant to the SEPA is subject to a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56995" cy="293370"/>
                <wp:effectExtent l="0" t="0" r="0" b="0"/>
                <wp:wrapNone/>
                <wp:docPr id="2070" name="Frame2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9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 equal to $375,000.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6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 equal to $375,000.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71" name="Frame2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72" name="Frame2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terms and subject to the conditions set forth in the SEPA, we paid Yorkville certain fees, including a commitment fee in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terms and subject to the conditions set forth in the SEPA, we paid Yorkville certain fees, including a commitment fee in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73" name="Frame2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52170" cy="293370"/>
                <wp:effectExtent l="0" t="0" r="0" b="0"/>
                <wp:wrapNone/>
                <wp:docPr id="2074" name="Frame2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reference herein.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reference herein.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75" name="Frame2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076" name="Frame2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information concerning the SEPA is contained in our 2024 Annual Report and is incorporated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information concerning the SEPA is contained in our 2024 Annual Report and is incorporated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64810" cy="293370"/>
                <wp:effectExtent l="0" t="0" r="0" b="0"/>
                <wp:wrapNone/>
                <wp:docPr id="2077" name="Frame2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48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 is at least 200% of the aggregate principal amount outstanding under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0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 is at least 200% of the aggregate principal amount outstanding under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78" name="Frame2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79" name="Frame2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issuable under the SEPA that remain registered for resale by Yorkville pursuant to an effective registration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issuable under the SEPA that remain registered for resale by Yorkville pursuant to an effective registration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0" name="Frame2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81" name="Frame2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principal amount outstanding under the Convertible Debentures, and (D) the market value of the number of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principal amount outstanding under the Convertible Debentures, and (D) the market value of the number of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2" name="Frame2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83" name="Frame2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available for issuance under the Convertible Debenture Exchange Cap (as defined below) is at least 200% of the aggregate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available for issuance under the Convertible Debenture Exchange Cap (as defined below) is at least 200% of the aggregate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4" name="Frame2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85" name="Frame2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subject Advance shall have been repaid, (C) the market value of the number of shares of Common Stock that remain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subject Advance shall have been repaid, (C) the market value of the number of shares of Common Stock that remain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6" name="Frame2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87" name="Frame2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Debentures that have come due and that are coming due within 31 calendar days following the closing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Debentures that have come due and that are coming due within 31 calendar days following the closing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8" name="Frame2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89" name="Frame2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aggregate principal amount outstanding under the Convertible Debentures, (B) all monthly payments under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aggregate principal amount outstanding under the Convertible Debentures, (B) all monthly payments under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0" name="Frame2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2091" name="Frame2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paid to us: (A) the Commitment Amount remaining available (after taking into account the subject Advance) exceeds 110%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paid to us: (A) the Commitment Amount remaining available (after taking into account the subject Advance) exceeds 110%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2" name="Frame2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93" name="Frame2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following conditions have been satisfied with respect to any Advance, then then the proceeds of such Advance shall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following conditions have been satisfied with respect to any Advance, then then the proceeds of such Advance shall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4" name="Frame2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095" name="Frame2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Advance may be for the greater of (i) 100% of the aggregate daily trading volume of the Common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Advance may be for the greater of (i) 100% of the aggregate daily trading volume of the Common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765675" cy="293370"/>
                <wp:effectExtent l="0" t="0" r="0" b="0"/>
                <wp:wrapNone/>
                <wp:docPr id="2096" name="Frame2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56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on Nasdaq, for such period as reported by Bloomberg L.P. through its “AQR” function.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5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on Nasdaq, for such period as reported by Bloomberg L.P. through its “AQR” function.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7" name="Frame2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98" name="Frame2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Bloomberg L.P. during regular trading hours or, for a specified period, the volume weighted average price of the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Bloomberg L.P. during regular trading hours or, for a specified period, the volume weighted average price of the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9" name="Frame2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00" name="Frame2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trading day, the daily volume weighted average price of the Common Stock for such date on Nasdaq as reported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trading day, the daily volume weighted average price of the Common Stock for such date on Nasdaq as reported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1" name="Frame2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02" name="Frame2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SEPA (an “Advance”) below which we will not be obligated to make any sales to Yorkville. “VWAP” means, for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SEPA (an “Advance”) below which we will not be obligated to make any sales to Yorkville. “VWAP” means, for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3" name="Frame2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04" name="Frame2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Pricing Period”). We may also specify a certain minimum acceptable price per share in each sale that we request under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Pricing Period”). We may also specify a certain minimum acceptable price per share in each sale that we request under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5" name="Frame2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06" name="Frame2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(ii) 97% of the lowest daily VWAP during the applicable three consecutive trading day pricing period (the “Option 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(ii) 97% of the lowest daily VWAP during the applicable three consecutive trading day pricing period (the “Option 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7" name="Frame2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08" name="Frame2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95% of the daily VWAP (as defined below) during the applicable one-day pricing period (the “Option 1 Pricing Period”)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95% of the daily VWAP (as defined below) during the applicable one-day pricing period (the “Option 1 Pricing Period”)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9" name="Frame2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10" name="Frame2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purchased at a purchase price determined by multiplying the market price of the shares of Common Stock by either 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purchased at a purchase price determined by multiplying the market price of the shares of Common Stock by either 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1" name="Frame2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12" name="Frame2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request any time during the 36 months following the Closing of the Business Combination. At our option, the shares would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request any time during the 36 months following the Closing of the Business Combination. At our option, the shares would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3" name="Frame2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14" name="Frame2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obligation, to sell to Yorkville up to $75.0 million (the “Commitment Amount”) of shares of Common Stock at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obligation, to sell to Yorkville up to $75.0 million (the “Commitment Amount”) of shares of Common Stock at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5" name="Frame2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6" name="Frame2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117" name="Frame2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consideration for Yorkville’s commitment to purchase shares of Common Stock at our direction upon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consideration for Yorkville’s commitment to purchase shares of Common Stock at our direction upon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33750" cy="293370"/>
                <wp:effectExtent l="0" t="0" r="0" b="0"/>
                <wp:wrapNone/>
                <wp:docPr id="2118" name="Frame2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under the SEPA equals or exceeds certain minimum prices.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2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under the SEPA equals or exceeds certain minimum prices.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9" name="Frame2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20" name="Frame2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SEPA Exchange Cap in accordance with the rules of Nasdaq or the average price of all applicable sales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SEPA Exchange Cap in accordance with the rules of Nasdaq or the average price of all applicable sales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1" name="Frame2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22" name="Frame2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Cap will not apply under certain circumstances, including if our stockholders have approved issuances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Cap will not apply under certain circumstances, including if our stockholders have approved issuances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3" name="Frame2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24" name="Frame2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outstanding as of the date of the Closing of the Business Combination (the “SEPA Exchange Cap”). The SEPA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outstanding as of the date of the Closing of the Business Combination (the “SEPA Exchange Cap”). The SEPA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5" name="Frame2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26" name="Frame2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under the SEPA without obtaining stockholder approval, or 19.99% of the shares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under the SEPA without obtaining stockholder approval, or 19.99% of the shares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127" name="Frame2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24, 2023, we entered into the SEPA with Yorkville. Pursuant to the SEPA, we have the right, but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24, 2023, we entered into the SEPA with Yorkville. Pursuant to the SEPA, we have the right, but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28" name="Frame2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the applicable Nasdaq Listing Rules and pursuant to the SEPA, Yorkville may not purchase more than 9,899,582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the applicable Nasdaq Listing Rules and pursuant to the SEPA, Yorkville may not purchase more than 9,899,582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9" name="Frame2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30" name="Frame2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affiliates having beneficial ownership of more than 9.99% of the then outstanding shares of Common Stock. Moreover,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affiliates having beneficial ownership of more than 9.99% of the then outstanding shares of Common Stock. Moreover,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1" name="Frame2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32" name="Frame2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previous issuances and sales of shares of Common Stock to Yorkville under the SEPA, it would result in Yorkville and 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previous issuances and sales of shares of Common Stock to Yorkville under the SEPA, it would result in Yorkville and 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3" name="Frame2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134" name="Frame2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may not issue shares of Common Stock to Yorkville pursuant to the SEPA to the extent that, as a result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may not issue shares of Common Stock to Yorkville pursuant to the SEPA to the extent that, as a result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1">
                <wp:simplePos x="0" y="0"/>
                <wp:positionH relativeFrom="page">
                  <wp:posOffset>4760595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5" name="Frame2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7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017645" cy="293370"/>
                <wp:effectExtent l="0" t="0" r="0" b="0"/>
                <wp:wrapNone/>
                <wp:docPr id="2136" name="Frame2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five trading days preceding the Advance notice or (ii) $10.0 million.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five trading days preceding the Advance notice or (ii) $10.0 million.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Reasons for Seeking Stockholder Approval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Effect on Current Stockholders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286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7" name="Frame2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8" name="Frame2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27655" cy="293370"/>
                <wp:effectExtent l="0" t="0" r="0" b="0"/>
                <wp:wrapNone/>
                <wp:docPr id="2139" name="Frame2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6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purposes of Nasdaq Listing Rules 5635(d) and 5635(b).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2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purposes of Nasdaq Listing Rules 5635(d) and 5635(b).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140" name="Frame2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determined that the SEPA and our ability to issue the shares of Common Stock thereunder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determined that the SEPA and our ability to issue the shares of Common Stock thereunder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1" name="Frame2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42" name="Frame2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excess of the SEPA Exchange Cap are in the best interests of the Company and its stockholders because the ability to sell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excess of the SEPA Exchange Cap are in the best interests of the Company and its stockholders because the ability to sell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3" name="Frame2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44" name="Frame2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to Yorkville provides us with a reliable source of capital for general corporate purposes, which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to Yorkville provides us with a reliable source of capital for general corporate purposes, which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5" name="Frame2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46" name="Frame2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may include, but are not limited to, funding working capital, capital expenditures and operating expenses, including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may include, but are not limited to, funding working capital, capital expenditures and operating expenses, including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7" name="Frame2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48" name="Frame2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expenses for the Innventure Companies and, together with the subsidiary companies that we may found, fund, and operate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expenses for the Innventure Companies and, together with the subsidiary companies that we may found, fund, and operate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9" name="Frame2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26945" cy="293370"/>
                <wp:effectExtent l="0" t="0" r="0" b="0"/>
                <wp:wrapNone/>
                <wp:docPr id="2150" name="Frame2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going forward, the “Operating Companies”.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5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going forward, the “Operating Companies”.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151" name="Frame2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cannot predict the price of the Common Stock at any future date, and therefore cannot predict the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cannot predict the price of the Common Stock at any future date, and therefore cannot predict the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52" name="Frame2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Closing of the Business Combination. Stockholder approval of this Proposal 3 will constitute stockholder approval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Closing of the Business Combination. Stockholder approval of this Proposal 3 will constitute stockholder approval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53" name="Frame2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to be issued under the SEPA or whether the applicable price for any such shares will be greater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to be issued under the SEPA or whether the applicable price for any such shares will be greater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54" name="Frame2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53130" cy="293370"/>
                <wp:effectExtent l="0" t="0" r="0" b="0"/>
                <wp:wrapNone/>
                <wp:docPr id="2155" name="Frame2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31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than the Minimum Price under the applicable Nasdaq Listing Rules.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than the Minimum Price under the applicable Nasdaq Listing Rules.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156" name="Frame2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Therefore, we are seeking stockholder approval under this Proposal 3 to issue shares of Common Stock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Therefore, we are seeking stockholder approval under this Proposal 3 to issue shares of Common Stock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57" name="Frame2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58" name="Frame2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SEPA Exchange Cap, if necessary, to Yorkville under the terms of the SEPA. The failure of our stockholders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SEPA Exchange Cap, if necessary, to Yorkville under the terms of the SEPA. The failure of our stockholders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59" name="Frame2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60" name="Frame2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approve this Proposal 3 will prevent us from selling, at less than the Minimum Price, shares of Common Stock to Yorkville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approve this Proposal 3 will prevent us from selling, at less than the Minimum Price, shares of Common Stock to Yorkville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1" name="Frame2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62" name="Frame2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excess of the SEPA Exchange Cap. However, it would be possible to sell shares to Yorkville in excess of the SEPA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excess of the SEPA Exchange Cap. However, it would be possible to sell shares to Yorkville in excess of the SEPA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3" name="Frame2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64" name="Frame2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Cap if the sale of shares covered by any Advance is equal to or greater than the Minimum Price for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Cap if the sale of shares covered by any Advance is equal to or greater than the Minimum Price for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5" name="Frame2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10860" cy="293370"/>
                <wp:effectExtent l="0" t="0" r="0" b="0"/>
                <wp:wrapNone/>
                <wp:docPr id="2166" name="Frame2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8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Advance. As of the close of business on the Record Date, the price of the Common Stock was $4.42 per 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Advance. As of the close of business on the Record Date, the price of the Common Stock was $4.42 per 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7" name="Frame2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8" name="Frame2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69" name="Frame2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connection with a transaction (or a series of related transactions) other than a public offering involving the sale, issuance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connection with a transaction (or a series of related transactions) other than a public offering involving the sale, issuance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0" name="Frame2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71" name="Frame2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potential issuance of Common Stock (or securities convertible into or exercisable for Common Stock) equal to 20%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potential issuance of Common Stock (or securities convertible into or exercisable for Common Stock) equal to 20%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2" name="Frame2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73" name="Frame2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more of the shares of Common Stock or 20% or more of the voting power outstanding before the issuance at a price that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more of the shares of Common Stock or 20% or more of the voting power outstanding before the issuance at a price that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4" name="Frame2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75" name="Frame2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less than the lower of (i) the Nasdaq Official Closing Price (as reflected on Nasdaq.com) immediately preceding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less than the lower of (i) the Nasdaq Official Closing Price (as reflected on Nasdaq.com) immediately preceding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6" name="Frame2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77" name="Frame2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signing of the binding agreement; or (ii) the average Nasdaq Official Closing Price of the Common Stock (as reflected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signing of the binding agreement; or (ii) the average Nasdaq Official Closing Price of the Common Stock (as reflected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8" name="Frame2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79" name="Frame2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Nasdaq.com) for the five trading days immediately preceding the signing of the binding agreement (the “Minimum Price”).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Nasdaq.com) for the five trading days immediately preceding the signing of the binding agreement (the “Minimum Price”).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0" name="Frame2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81" name="Frame2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23, 2023, the date immediately preceding the date of the execution of the SEPA, our Common Stock was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23, 2023, the date immediately preceding the date of the execution of the SEPA, our Common Stock was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182" name="Frame2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Nasdaq Listing Rule 5635(d), stockholder approval is required prior to the issuance of securities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Nasdaq Listing Rule 5635(d), stockholder approval is required prior to the issuance of securities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48715" cy="293370"/>
                <wp:effectExtent l="0" t="0" r="0" b="0"/>
                <wp:wrapNone/>
                <wp:docPr id="2183" name="Frame2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7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yet trading on Nasdaq.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yet trading on Nasdaq.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184" name="Frame2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Nasdaq Listing Rule 5635(b), stockholder approval is required prior to the issuance of securities when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Nasdaq Listing Rule 5635(b), stockholder approval is required prior to the issuance of securities when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5" name="Frame2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86" name="Frame2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issuance or potential issuance will result in a change of control of a company. This rule does not specifically define when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issuance or potential issuance will result in a change of control of a company. This rule does not specifically define when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7" name="Frame2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88" name="Frame2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 in control of a company may be deemed to occur for this purpose; however, Nasdaq suggests in its guidance that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 in control of a company may be deemed to occur for this purpose; however, Nasdaq suggests in its guidance that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9" name="Frame2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90" name="Frame2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 of control would occur, subject to certain limited exceptions, if after a transaction an investor (or a group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 of control would occur, subject to certain limited exceptions, if after a transaction an investor (or a group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91" name="Frame2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96890" cy="293370"/>
                <wp:effectExtent l="0" t="0" r="0" b="0"/>
                <wp:wrapNone/>
                <wp:docPr id="2192" name="Frame2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68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investors) would own or have the right to acquire 20% or more of a company’s then-outstanding capital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investors) would own or have the right to acquire 20% or more of a company’s then-outstanding capital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193" name="Frame2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Until this Proposal 3 is approved by our stockholders, Yorkville may not purchase more than 9,899,582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Until this Proposal 3 is approved by our stockholders, Yorkville may not purchase more than 9,899,582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94" name="Frame2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195" name="Frame2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pursuant to the SEPA, representing 19.99% of the shares of Common Stock outstanding as of the date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pursuant to the SEPA, representing 19.99% of the shares of Common Stock outstanding as of the date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96" name="Frame2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28</w:t>
      </w:r>
      <w:r>
        <mc:AlternateContent>
          <mc:Choice Requires="wps">
            <w:drawing>
              <wp:anchor behindDoc="0" distT="0" distB="0" distL="0" distR="0" simplePos="0" locked="0" layoutInCell="1" allowOverlap="1" relativeHeight="288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197" name="Frame2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Upon stockholder approval of this Proposal 3, the issuance of shares of Common Stock under the SEPA will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Upon stockholder approval of this Proposal 3, the issuance of shares of Common Stock under the SEPA will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98" name="Frame2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99" name="Frame2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subject to the SEPA Exchange Cap and such issuance of shares would dilute, and thereby reduce, each existing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subject to the SEPA Exchange Cap and such issuance of shares would dilute, and thereby reduce, each existing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0" name="Frame2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01" name="Frame2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stockholder’s proportionate ownership in the Common Stock. Because the number of shares of Common Stock that may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stockholder’s proportionate ownership in the Common Stock. Because the number of shares of Common Stock that may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2" name="Frame2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03" name="Frame2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issued to Yorkville pursuant to the SEPA is determined based on the price of our Common Stock at the time of issuance,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issued to Yorkville pursuant to the SEPA is determined based on the price of our Common Stock at the time of issuance,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4" name="Frame2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05" name="Frame2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exact magnitude of the dilutive effect cannot be conclusively determined. However, the dilutive effect may be material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exact magnitude of the dilutive effect cannot be conclusively determined. However, the dilutive effect may be material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6" name="Frame2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5730" cy="293370"/>
                <wp:effectExtent l="0" t="0" r="0" b="0"/>
                <wp:wrapNone/>
                <wp:docPr id="2207" name="Frame2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57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our current stockholders.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our current stockholders.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4">
                <wp:simplePos x="0" y="0"/>
                <wp:positionH relativeFrom="page">
                  <wp:posOffset>2138680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8" name="Frame2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6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Consequences of Non-Approval</w:t>
      </w:r>
      <w:r>
        <mc:AlternateContent>
          <mc:Choice Requires="wps">
            <w:drawing>
              <wp:anchor behindDoc="0" distT="0" distB="0" distL="0" distR="0" simplePos="0" locked="0" layoutInCell="1" allowOverlap="1" relativeHeight="289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209" name="Frame2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illustrative purposes only, the table below shows the maximum number of shares of Common Stock that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illustrative purposes only, the table below shows the maximum number of shares of Common Stock that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0" name="Frame2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11" name="Frame2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would be issuable under the SEPA at various assumed effective sale prices per share. This example is based on the original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would be issuable under the SEPA at various assumed effective sale prices per share. This example is based on the original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2" name="Frame2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344420" cy="293370"/>
                <wp:effectExtent l="0" t="0" r="0" b="0"/>
                <wp:wrapNone/>
                <wp:docPr id="2213" name="Frame2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44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SEPA Commitment Amount of $75.0 million.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SEPA Commitment Amount of $75.0 million.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Recommendation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290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214" name="Frame2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this Proposal 3 is not approved by our stockholders at the Annual Meeting, it may impair our working capital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this Proposal 3 is not approved by our stockholders at the Annual Meeting, it may impair our working capital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5" name="Frame2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16" name="Frame2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our ability to fund capital expenditures and operating expenses, including the expenses for the Innventure Companies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our ability to fund capital expenditures and operating expenses, including the expenses for the Innventure Companies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7" name="Frame2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18" name="Frame2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the Operating Companies. Our Board has determined that the SEPA, with such modifications, amendments, or changes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the Operating Companies. Our Board has determined that the SEPA, with such modifications, amendments, or changes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9" name="Frame2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2220" name="Frame2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(consistent with the intent and purpose of this proposal) agreed upon by the parties to the SEPA, and in accordance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(consistent with the intent and purpose of this proposal) agreed upon by the parties to the SEPA, and in accordance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1" name="Frame2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22" name="Frame2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 approval requirements of Nasdaq Listing Rules 5635(d) and 5635(b) is in the best interests of us and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 approval requirements of Nasdaq Listing Rules 5635(d) and 5635(b) is in the best interests of us and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3" name="Frame2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24" name="Frame2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because the flexibility to issue shares of Common Stock in excess of the SEPA Exchange Cap provides 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because the flexibility to issue shares of Common Stock in excess of the SEPA Exchange Cap provides 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5" name="Frame2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45610" cy="293370"/>
                <wp:effectExtent l="0" t="0" r="0" b="0"/>
                <wp:wrapNone/>
                <wp:docPr id="2226" name="Frame2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56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a reliable source of capital for working capital and general corporate purposes.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4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a reliable source of capital for working capital and general corporate purposes.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3">
                <wp:simplePos x="0" y="0"/>
                <wp:positionH relativeFrom="page">
                  <wp:posOffset>4988560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7" name="Frame2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9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Vote Required</w:t>
      </w:r>
      <w:r>
        <mc:AlternateContent>
          <mc:Choice Requires="wps">
            <w:drawing>
              <wp:anchor behindDoc="0" distT="0" distB="0" distL="0" distR="0" simplePos="0" locked="0" layoutInCell="1" allowOverlap="1" relativeHeight="291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874010" cy="146685"/>
                <wp:effectExtent l="0" t="0" r="0" b="0"/>
                <wp:wrapNone/>
                <wp:docPr id="2228" name="Frame2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0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unanimously recommends that you vote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3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unanimously recommends that you vote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5">
                <wp:simplePos x="0" y="0"/>
                <wp:positionH relativeFrom="page">
                  <wp:posOffset>4074160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2229" name="Frame2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32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6">
                <wp:simplePos x="0" y="0"/>
                <wp:positionH relativeFrom="page">
                  <wp:posOffset>4342130</wp:posOffset>
                </wp:positionH>
                <wp:positionV relativeFrom="line">
                  <wp:posOffset>635</wp:posOffset>
                </wp:positionV>
                <wp:extent cx="2686685" cy="175260"/>
                <wp:effectExtent l="0" t="0" r="0" b="0"/>
                <wp:wrapNone/>
                <wp:docPr id="2230" name="Frame2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6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potential issuance of a number of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5pt;height:13.8pt;mso-wrap-distance-left:0pt;mso-wrap-distance-right:0pt;mso-wrap-distance-top:0pt;mso-wrap-distance-bottom:0pt;margin-top:0pt;mso-position-vertical:top;mso-position-vertical-relative:text;margin-left:34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potential issuance of a number of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1" name="Frame2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01060" cy="293370"/>
                <wp:effectExtent l="0" t="0" r="0" b="0"/>
                <wp:wrapNone/>
                <wp:docPr id="2232" name="Frame2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0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to Yorkville in excess of the SEPA Exchange Cap.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to Yorkville in excess of the SEPA Exchange Cap.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29</w:t>
      </w:r>
      <w:r>
        <mc:AlternateContent>
          <mc:Choice Requires="wps">
            <w:drawing>
              <wp:anchor behindDoc="0" distT="0" distB="0" distL="0" distR="0" simplePos="0" locked="0" layoutInCell="1" allowOverlap="1" relativeHeight="291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233" name="Frame2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approval of the potential issuance of a number of shares of Common Stock to Yorkville in excess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approval of the potential issuance of a number of shares of Common Stock to Yorkville in excess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4" name="Frame2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35" name="Frame2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SEPA Exchange Cap requires the affirmative vote of the majority of the votes cast (meaning the number of shares voted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SEPA Exchange Cap requires the affirmative vote of the majority of the votes cast (meaning the number of shares voted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6" name="Frame2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75260"/>
                <wp:effectExtent l="0" t="0" r="0" b="0"/>
                <wp:wrapNone/>
                <wp:docPr id="2237" name="Frame2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for” the proposal must exceed the number of shares voted “against” the proposal). Abstentions and broker non-votes, if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for” the proposal must exceed the number of shares voted “against” the proposal). Abstentions and broker non-votes, if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8" name="Frame2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39" name="Frame2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any, are not considered votes cast for the foregoing purpose, and will have no effect on the vote for this proposal.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any, are not considered votes cast for the foregoing purpose, and will have no effect on the vote for this proposal.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0" name="Frame2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41" name="Frame2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Subsequent to the date of this proxy statement, we intend to enter into voting agreements with holders of a majority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Subsequent to the date of this proxy statement, we intend to enter into voting agreements with holders of a majority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2" name="Frame2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43" name="Frame2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voting power of our Common Stock to grant us an irrevocable proxy to vote their shares of Common Stock in favor of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voting power of our Common Stock to grant us an irrevocable proxy to vote their shares of Common Stock in favor of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4" name="Frame2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0" cy="146685"/>
                <wp:effectExtent l="0" t="0" r="0" b="0"/>
                <wp:wrapNone/>
                <wp:docPr id="2245" name="Frame2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 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 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246" name="Frame2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applicable Nasdaq Listing Rules, the shares of Common Stock issued pursuant to the SEPA, of which there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applicable Nasdaq Listing Rules, the shares of Common Stock issued pursuant to the SEPA, of which there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7" name="Frame2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006725" cy="293370"/>
                <wp:effectExtent l="0" t="0" r="0" b="0"/>
                <wp:wrapNone/>
                <wp:docPr id="2248" name="Frame2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7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were 208,993 shares, are not entitled to vote on Proposal 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6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were 208,993 shares, are not entitled to vote on Proposal 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PROPOSAL FOUR—CONVERTIBLE DEBENTURES SHARE ISSUANCE PROPOSAL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Background</w:t>
      </w:r>
      <w:r>
        <mc:AlternateContent>
          <mc:Choice Requires="wps">
            <w:drawing>
              <wp:anchor behindDoc="0" distT="0" distB="0" distL="0" distR="0" simplePos="0" locked="0" layoutInCell="1" allowOverlap="1" relativeHeight="293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2249" name="Frame2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seeking approval of the potential issuance of a number of shares of Common Stock to Yorkville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seeking approval of the potential issuance of a number of shares of Common Stock to Yorkville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0" name="Frame2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51" name="Frame2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Convertible Debentures Exchange Cap (as defined below). As of the Record Date, no shares of Common Stock 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Convertible Debentures Exchange Cap (as defined below). As of the Record Date, no shares of Common Stock 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2" name="Frame2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53" name="Frame2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been issued to Yorkville upon conversion of any amounts under the Convertible Debentures and the outstanding aggregate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been issued to Yorkville upon conversion of any amounts under the Convertible Debentures and the outstanding aggregate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4" name="Frame2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04235" cy="293370"/>
                <wp:effectExtent l="0" t="0" r="0" b="0"/>
                <wp:wrapNone/>
                <wp:docPr id="2255" name="Frame2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2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principal amount of the Convertible Debentures was $20.0 million.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8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principal amount of the Convertible Debentures was $20.0 million.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2">
                <wp:simplePos x="0" y="0"/>
                <wp:positionH relativeFrom="page">
                  <wp:posOffset>4147185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6" name="Frame2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2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30</w:t>
      </w:r>
      <w:r>
        <mc:AlternateContent>
          <mc:Choice Requires="wps">
            <w:drawing>
              <wp:anchor behindDoc="0" distT="0" distB="0" distL="0" distR="0" simplePos="0" locked="0" layoutInCell="1" allowOverlap="1" relativeHeight="29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57" name="Frame2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Cap in accordance with the rules of Nasdaq or we obtain a written opinion from an outside law firm that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Cap in accordance with the rules of Nasdaq or we obtain a written opinion from an outside law firm that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258" name="Frame2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day, and (ii) the VWAP of the Common Stock was less than the Conversion Price on the day the Redemption Notice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day, and (ii) the VWAP of the Common Stock was less than the Conversion Price on the day the Redemption Notice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9" name="Frame2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60" name="Frame2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whole or in part, so long as (i) the Redemption Notice is delivered to Yorkville after the close of trading hours on a trading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whole or in part, so long as (i) the Redemption Notice is delivered to Yorkville after the close of trading hours on a trading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1" name="Frame2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62" name="Frame2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which we, upon 10 trading days’ prior written notice to Yorkville (the “Redemption Notice”), may redeem in cash,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which we, upon 10 trading days’ prior written notice to Yorkville (the “Redemption Notice”), may redeem in cash,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3" name="Frame2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264" name="Frame2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Convertible Debentures provide us, subject to certain conditions, with an optional redemption right pursuant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Convertible Debentures provide us, subject to certain conditions, with an optional redemption right pursuant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0">
                <wp:simplePos x="0" y="0"/>
                <wp:positionH relativeFrom="page">
                  <wp:posOffset>1983740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5" name="Frame2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5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40790" cy="293370"/>
                <wp:effectExtent l="0" t="0" r="0" b="0"/>
                <wp:wrapNone/>
                <wp:docPr id="2266" name="Frame2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7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approval is not required.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approval is not required.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7" name="Frame2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8" name="Frame2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9" name="Frame2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70" name="Frame2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circumstances, including if our stockholders have approved issuances in excess of the Convertible Debentures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circumstances, including if our stockholders have approved issuances in excess of the Convertible Debentures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1" name="Frame2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2272" name="Frame2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 (the “Convertible Debentures Exchange Cap”). The Convertible Debentures Exchange Cap will not apply 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 (the “Convertible Debentures Exchange Cap”). The Convertible Debentures Exchange Cap will not apply 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3" name="Frame2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74" name="Frame2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Stock, or 19.99% of the shares of Common Stock outstanding as of the date of the Securities Purchase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Stock, or 19.99% of the shares of Common Stock outstanding as of the date of the Securities Purchase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5" name="Frame2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76" name="Frame2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Nasdaq, the aggregate number of shares of Common Stock that we may issue in a transaction is 9,415,549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Nasdaq, the aggregate number of shares of Common Stock that we may issue in a transaction is 9,415,549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7" name="Frame2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278" name="Frame2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 less than 65 days’ prior notice to us. Additionally, in compliance with our obligations under the rules and regulations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 less than 65 days’ prior notice to us. Additionally, in compliance with our obligations under the rules and regulations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9" name="Frame2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0" name="Frame2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81" name="Frame2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Agreement”) pursuant to which we are required to file a registration statement registering the resale by Yorkville of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Agreement”) pursuant to which we are required to file a registration statement registering the resale by Yorkville of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2" name="Frame2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283" name="Frame2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April 14, 2025, we and Yorkville entered into a registration rights agreement (the “Registration Rights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April 14, 2025, we and Yorkville entered into a registration rights agreement (the “Registration Rights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5">
                <wp:simplePos x="0" y="0"/>
                <wp:positionH relativeFrom="page">
                  <wp:posOffset>5213985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4" name="Frame2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1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71035" cy="293370"/>
                <wp:effectExtent l="0" t="0" r="0" b="0"/>
                <wp:wrapNone/>
                <wp:docPr id="2285" name="Frame2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10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 being paid) and (iii) any accrued and unpaid interest as of each installment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2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 being paid) and (iii) any accrued and unpaid interest as of each installment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6" name="Frame2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87" name="Frame2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(i) the installment principal amount set forth on the Repayment Schedule, (ii) a 5% payment premium (of the principal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(i) the installment principal amount set forth on the Repayment Schedule, (ii) a 5% payment premium (of the principal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8" name="Frame2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89" name="Frame2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Schedule”) on which the Company shall repay a portion of the outstanding balance of the Convertible Debentures equal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Schedule”) on which the Company shall repay a portion of the outstanding balance of the Convertible Debentures equal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0" name="Frame2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291" name="Frame2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Convertible Debentures include a monthly repayment schedule of installment dates (the “Repayment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Convertible Debentures include a monthly repayment schedule of installment dates (the “Repayment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74645" cy="293370"/>
                <wp:effectExtent l="0" t="0" r="0" b="0"/>
                <wp:wrapNone/>
                <wp:docPr id="2292" name="Frame2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after the twelve-month anniversary of the Issuance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after the twelve-month anniversary of the Issuance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3" name="Frame2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94" name="Frame2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issuance date of the Convertible Debentures (the “Issuance Date”), and 10% of the principal amount being redeemed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issuance date of the Convertible Debentures (the “Issuance Date”), and 10% of the principal amount being redeemed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5" name="Frame2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96" name="Frame2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(c) a redemption premium of 5% of the principal amount being redeemed on or before the twelve-month anniversary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(c) a redemption premium of 5% of the principal amount being redeemed on or before the twelve-month anniversary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7" name="Frame2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98" name="Frame2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redeemed, (b) all accrued and unpaid interest under the applicable Convertible Debenture as of the date of such redemption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redeemed, (b) all accrued and unpaid interest under the applicable Convertible Debenture as of the date of such redemption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9" name="Frame2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00" name="Frame2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given, any of the outstanding principal and interest thereon at a redemption price equal to (a) the principal amount being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given, any of the outstanding principal and interest thereon at a redemption price equal to (a) the principal amount being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1" name="Frame2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02" name="Frame2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occurrence and during the continuance of an event of default (as defined in the Convertible Debentures). The Convertible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occurrence and during the continuance of an event of default (as defined in the Convertible Debentures). The Convertible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3" name="Frame2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04" name="Frame2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may be extended at the option of Yorkville. The interest rate will increase to an annual rate of 18.0% upon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may be extended at the option of Yorkville. The interest rate will increase to an annual rate of 18.0% upon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5" name="Frame2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06" name="Frame2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Convertible Debentures bear interest at an annual rate of 0.0%, and have a maturity date of July 14, 2026,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Convertible Debentures bear interest at an annual rate of 0.0%, and have a maturity date of July 14, 2026,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47360" cy="293370"/>
                <wp:effectExtent l="0" t="0" r="0" b="0"/>
                <wp:wrapNone/>
                <wp:docPr id="2307" name="Frame2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73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 or irrevocable proxies to do the same by a majority of the voting power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6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 or irrevocable proxies to do the same by a majority of the voting power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8" name="Frame2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09" name="Frame2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 and (ii) the Company has received approval of this Proposal 4 either through affirmative votes for this Proposal 4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 and (ii) the Company has received approval of this Proposal 4 either through affirmative votes for this Proposal 4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0" name="Frame2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2311" name="Frame2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registration statement is filed with the SEC registering the resale of the Conversion Shares and is declared effective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registration statement is filed with the SEC registering the resale of the Conversion Shares and is declared effective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2" name="Frame2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2313" name="Frame2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$10.0 million in principal amount of Convertible Debentures (the “Second Convertible Debenture”) after both 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$10.0 million in principal amount of Convertible Debentures (the “Second Convertible Debenture”) after both 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4" name="Frame2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15" name="Frame2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 a Convertible Debenture in the principal amount of $20.0 million. Yorkville will purchase and we will issue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 a Convertible Debenture in the principal amount of $20.0 million. Yorkville will purchase and we will issue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6" name="Frame2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75260"/>
                <wp:effectExtent l="0" t="0" r="0" b="0"/>
                <wp:wrapNone/>
                <wp:docPr id="2317" name="Frame2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Debentures”). On April 14, 2025, pursuant to the Securities Purchase Agreement, we sold and issued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Debentures”). On April 14, 2025, pursuant to the Securities Purchase Agreement, we sold and issued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8" name="Frame2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19" name="Frame2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subject to certain conditions and limitations, in the aggregate principal amount of up to $30.0 million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subject to certain conditions and limitations, in the aggregate principal amount of up to $30.0 million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0" name="Frame2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21" name="Frame2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 in connection with our issuance and sale to Yorkville of convertible debentures, convertible into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 in connection with our issuance and sale to Yorkville of convertible debentures, convertible into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2" name="Frame2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5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3" name="Frame2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24" name="Frame2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Common Stock after giving effect to such conversion; provided that this limitation may be waived by Yorkville upon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Common Stock after giving effect to such conversion; provided that this limitation may be waived by Yorkville upon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5" name="Frame2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26" name="Frame2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would result in Yorkville and its affiliates having beneficial ownership of more than 4.99% of the then outstanding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would result in Yorkville and its affiliates having beneficial ownership of more than 4.99% of the then outstanding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7" name="Frame2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28" name="Frame2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Convertible Debentures may not be converted into shares of Common Stock to the extent such conversion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Convertible Debentures may not be converted into shares of Common Stock to the extent such conversion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32890" cy="293370"/>
                <wp:effectExtent l="0" t="0" r="0" b="0"/>
                <wp:wrapNone/>
                <wp:docPr id="2329" name="Frame2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28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 to the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 to the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30" name="Frame2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31" name="Frame2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appropriate adjustment in the event of any stock dividend, stock split, combination or other similar recapitalization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appropriate adjustment in the event of any stock dividend, stock split, combination or other similar recapitalization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32" name="Frame2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33" name="Frame2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ten consecutive trading days immediately preceding the applicable Reset Date. The Conversion Price is 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ten consecutive trading days immediately preceding the applicable Reset Date. The Conversion Price is 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334" name="Frame2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25, 2025, we entered into a securities purchase agreement (the “Securities Purchase Agreement”)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25, 2025, we entered into a securities purchase agreement (the “Securities Purchase Agreement”)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335" name="Frame2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(downwards only) to the lower of (i) the Conversion Price then in effect, or (ii) the average VWAP of the Common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(downwards only) to the lower of (i) the Conversion Price then in effect, or (ii) the average VWAP of the Common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36" name="Frame2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37" name="Frame2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that, on each of October 14, 2025 and January 14, 2026 (each, a “Reset Date”), the Conversion Price shall be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that, on each of October 14, 2025 and January 14, 2026 (each, a “Reset Date”), the Conversion Price shall be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38" name="Frame2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39" name="Frame2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from time to time into the Common Stock at a conversion price equal to $10.00 (the “Conversion Price”), provided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from time to time into the Common Stock at a conversion price equal to $10.00 (the “Conversion Price”), provided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0" name="Frame2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41" name="Frame2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together with any interest or other amounts outstanding under the Convertible Debentures, may be converted at any time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together with any interest or other amounts outstanding under the Convertible Debentures, may be converted at any time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2" name="Frame2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43" name="Frame2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Debentures provide a conversion right, at Yorkville’s option, in which any portion of the principal amount of the debt,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Debentures provide a conversion right, at Yorkville’s option, in which any portion of the principal amount of the debt,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Reasons for Seeking Stockholder Approval</w:t>
      </w:r>
      <w:r>
        <mc:AlternateContent>
          <mc:Choice Requires="wps">
            <w:drawing>
              <wp:anchor behindDoc="0" distT="0" distB="0" distL="0" distR="0" simplePos="0" locked="0" layoutInCell="1" allowOverlap="1" relativeHeight="30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44" name="Frame2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issuable upon conversion of the Convertible Debentures. We filed the registration statement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issuable upon conversion of the Convertible Debentures. We filed the registration statement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5" name="Frame2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59810" cy="293370"/>
                <wp:effectExtent l="0" t="0" r="0" b="0"/>
                <wp:wrapNone/>
                <wp:docPr id="2346" name="Frame2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98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April 15, 2025 and received notice of effectiveness on April 23,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0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April 15, 2025 and received notice of effectiveness on April 23,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47" name="Frame2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information concerning the Securities Purchase Agreement, Registration Rights Agreement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information concerning the Securities Purchase Agreement, Registration Rights Agreement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8" name="Frame2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49" name="Frame2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Debentures is contained in our Current Reports on Form 8-K filed with the SEC on March 26, 2025 and April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Debentures is contained in our Current Reports on Form 8-K filed with the SEC on March 26, 2025 and April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0" name="Frame2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20340" cy="293370"/>
                <wp:effectExtent l="0" t="0" r="0" b="0"/>
                <wp:wrapNone/>
                <wp:docPr id="2351" name="Frame2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3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14, 2025, which are incorporated by reference herein.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14, 2025, which are incorporated by reference herein.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8">
                <wp:simplePos x="0" y="0"/>
                <wp:positionH relativeFrom="page">
                  <wp:posOffset>3463290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2" name="Frame2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7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Effect on Current Stockholders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30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06370" cy="293370"/>
                <wp:effectExtent l="0" t="0" r="0" b="0"/>
                <wp:wrapNone/>
                <wp:docPr id="2353" name="Frame2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6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prepayments pursuant to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prepayments pursuant to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4" name="Frame2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55" name="Frame2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more than 9,415,549 shares of Common Stock, representing 19.99% of the outstanding shares of Common Stock as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more than 9,415,549 shares of Common Stock, representing 19.99% of the outstanding shares of Common Stock as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6" name="Frame2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57" name="Frame2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of the Securities Purchase Agreement. Stockholder approval of this Proposal 4 will constitute stockholder approval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of the Securities Purchase Agreement. Stockholder approval of this Proposal 4 will constitute stockholder approval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8" name="Frame2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27655" cy="293370"/>
                <wp:effectExtent l="0" t="0" r="0" b="0"/>
                <wp:wrapNone/>
                <wp:docPr id="2359" name="Frame2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6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purposes of Nasdaq Listing Rules 5635(d) and 5635(b).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2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purposes of Nasdaq Listing Rules 5635(d) and 5635(b).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360" name="Frame2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determined that the Securities Purchase Agreement and the Convertible Debentures and our ability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determined that the Securities Purchase Agreement and the Convertible Debentures and our ability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1" name="Frame2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62" name="Frame2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issue the shares of Common Stock thereunder in excess of the Convertible Debentures Exchange Cap are in the best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issue the shares of Common Stock thereunder in excess of the Convertible Debentures Exchange Cap are in the best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3" name="Frame2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64" name="Frame2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interests of the Company and its stockholders because it will decrease the likelihood that we will have to make monthly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interests of the Company and its stockholders because it will decrease the likelihood that we will have to make monthly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5" name="Frame2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366" name="Frame2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Until this Proposal 4 is approved by our stockholders, Yorkville may not convert its Convertible Debentures into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Until this Proposal 4 is approved by our stockholders, Yorkville may not convert its Convertible Debentures into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67" name="Frame2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cannot predict the price of the Common Stock at any future date, and therefore cannot predict the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cannot predict the price of the Common Stock at any future date, and therefore cannot predict the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8" name="Frame2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89985" cy="293370"/>
                <wp:effectExtent l="0" t="0" r="0" b="0"/>
                <wp:wrapNone/>
                <wp:docPr id="2369" name="Frame2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9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to be issued under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0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to be issued under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70" name="Frame2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Therefore, we are seeking stockholder approval under this Proposal 4 to issue shares of Common Stock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Therefore, we are seeking stockholder approval under this Proposal 4 to issue shares of Common Stock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1" name="Frame2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72" name="Frame2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Convertible Debentures Exchange Cap, if necessary, to Yorkville under the terms of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Convertible Debentures Exchange Cap, if necessary, to Yorkville under the terms of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3" name="Frame2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74" name="Frame2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failure of our stockholders to approve this Proposal 4 will prevent us from issuing shares of Common Stock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failure of our stockholders to approve this Proposal 4 will prevent us from issuing shares of Common Stock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5" name="Frame2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76" name="Frame2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 in excess of the Convertible Debentures Exchange Cap, which may require us to make monthly prepayments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 in excess of the Convertible Debentures Exchange Cap, which may require us to make monthly prepayments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7" name="Frame2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81065" cy="293370"/>
                <wp:effectExtent l="0" t="0" r="0" b="0"/>
                <wp:wrapNone/>
                <wp:docPr id="2378" name="Frame2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0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described above. As of the close of business on the Record Date, the price of the Common Stock was $4.42 per 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0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described above. As of the close of business on the Record Date, the price of the Common Stock was $4.42 per 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9" name="Frame2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0" name="Frame2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81" name="Frame2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connection with a transaction (or a series of related transactions) other than a public offering involving the sale, issuance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connection with a transaction (or a series of related transactions) other than a public offering involving the sale, issuance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2" name="Frame2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83" name="Frame2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potential issuance of Common Stock (or securities convertible into or exercisable for Common Stock) equal to 20%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potential issuance of Common Stock (or securities convertible into or exercisable for Common Stock) equal to 20%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4" name="Frame2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85" name="Frame2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more of the shares of Common Stock or 20% or more of the voting power outstanding before the issuance at a price that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more of the shares of Common Stock or 20% or more of the voting power outstanding before the issuance at a price that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6" name="Frame2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87" name="Frame2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less than the lower of (i) the Nasdaq Official Closing Price (as reflected on Nasdaq.com) immediately preceding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less than the lower of (i) the Nasdaq Official Closing Price (as reflected on Nasdaq.com) immediately preceding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8" name="Frame2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89" name="Frame2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signing of the binding agreement; or (ii) the Minimum Price. On March 24, 2025, the date immediately preceding the 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signing of the binding agreement; or (ii) the Minimum Price. On March 24, 2025, the date immediately preceding the 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0" name="Frame2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91" name="Frame2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execution of the Securities Purchase Agreement, the closing price of the Common Stock was $7.93 and the average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execution of the Securities Purchase Agreement, the closing price of the Common Stock was $7.93 and the average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92" name="Frame2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Nasdaq Listing Rule 5635(d), stockholder approval is required prior to the issuance of securities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Nasdaq Listing Rule 5635(d), stockholder approval is required prior to the issuance of securities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67375" cy="293370"/>
                <wp:effectExtent l="0" t="0" r="0" b="0"/>
                <wp:wrapNone/>
                <wp:docPr id="2393" name="Frame2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73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closing price of the Common Stock for the five trading days immediately preceding March 25, 2025 was $7.77.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6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closing price of the Common Stock for the five trading days immediately preceding March 25, 2025 was $7.77.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4">
                <wp:simplePos x="0" y="0"/>
                <wp:positionH relativeFrom="page">
                  <wp:posOffset>6410325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4" name="Frame2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95" name="Frame2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Nasdaq Listing Rule 5635(b), stockholder approval is required prior to the issuance of securities when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Nasdaq Listing Rule 5635(b), stockholder approval is required prior to the issuance of securities when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6" name="Frame2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97" name="Frame2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issuance or potential issuance will result in a change of control of a company. This rule does not specifically define when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issuance or potential issuance will result in a change of control of a company. This rule does not specifically define when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8" name="Frame2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99" name="Frame2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 in control of a company may be deemed to occur for this purpose; however, Nasdaq suggests in its guidance that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 in control of a company may be deemed to occur for this purpose; however, Nasdaq suggests in its guidance that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0" name="Frame2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01" name="Frame2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 of control would occur, subject to certain limited exceptions, if after a transaction an investor (or a group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 of control would occur, subject to certain limited exceptions, if after a transaction an investor (or a group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2" name="Frame2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96890" cy="293370"/>
                <wp:effectExtent l="0" t="0" r="0" b="0"/>
                <wp:wrapNone/>
                <wp:docPr id="2403" name="Frame2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68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investors) would own or have the right to acquire 20% or more of a company’s then-outstanding capital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investors) would own or have the right to acquire 20% or more of a company’s then-outstanding capital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4">
                <wp:simplePos x="0" y="0"/>
                <wp:positionH relativeFrom="page">
                  <wp:posOffset>6339840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4" name="Frame2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9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31</w:t>
      </w:r>
      <w:r>
        <mc:AlternateContent>
          <mc:Choice Requires="wps">
            <w:drawing>
              <wp:anchor behindDoc="0" distT="0" distB="0" distL="0" distR="0" simplePos="0" locked="0" layoutInCell="1" allowOverlap="1" relativeHeight="31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99510" cy="293370"/>
                <wp:effectExtent l="0" t="0" r="0" b="0"/>
                <wp:wrapNone/>
                <wp:docPr id="2405" name="Frame2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95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However, the dilutive effect may be material to our current stockholders.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However, the dilutive effect may be material to our current stockholders.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6" name="Frame2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07" name="Frame2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the conversion of the original aggregate principal amount of $30.0 million and does not reflect the conversion of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the conversion of the original aggregate principal amount of $30.0 million and does not reflect the conversion of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8" name="Frame2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409" name="Frame2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$10.00 per share, thereby resulting in the issuance of more than 9,415,549 shares of Common Stock. This example is based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$10.00 per share, thereby resulting in the issuance of more than 9,415,549 shares of Common Stock. This example is based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0" name="Frame2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11" name="Frame2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issuable upon conversion of Convertible Debentures if we issue securities at an effective price per share that is lower than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issuable upon conversion of Convertible Debentures if we issue securities at an effective price per share that is lower than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2" name="Frame2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413" name="Frame2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illustrative purposes only, the table below shows the number of shares of Common Stock that would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illustrative purposes only, the table below shows the number of shares of Common Stock that would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2">
                <wp:simplePos x="0" y="0"/>
                <wp:positionH relativeFrom="page">
                  <wp:posOffset>4442460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4" name="Frame2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4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415" name="Frame2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Upon stockholder approval of this Proposal 4, the issuance of shares of Common Stock under the Convertible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Upon stockholder approval of this Proposal 4, the issuance of shares of Common Stock under the Convertible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6" name="Frame2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17" name="Frame2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our Common Stock at the time of issuance, the exact magnitude of the dilutive effect cannot be conclusively determined.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our Common Stock at the time of issuance, the exact magnitude of the dilutive effect cannot be conclusively determined.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8" name="Frame2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19" name="Frame2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Common Stock that may be issued to Yorkville pursuant to the Convertible Debentures is determined based on the price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Common Stock that may be issued to Yorkville pursuant to the Convertible Debentures is determined based on the price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0" name="Frame2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21" name="Frame2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thereby reduce, each existing stockholder’s proportionate ownership in the Common Stock. Because the number of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thereby reduce, each existing stockholder’s proportionate ownership in the Common Stock. Because the number of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2" name="Frame2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23" name="Frame2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Debentures will not be subject to the Convertible Debentures Exchange Cap and such issuance of shares would dilute,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Debentures will not be subject to the Convertible Debentures Exchange Cap and such issuance of shares would dilute,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4" name="Frame2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Consequences of Non-Approval</w:t>
      </w:r>
      <w:r>
        <mc:AlternateContent>
          <mc:Choice Requires="wps">
            <w:drawing>
              <wp:anchor behindDoc="0" distT="0" distB="0" distL="0" distR="0" simplePos="0" locked="0" layoutInCell="1" allowOverlap="1" relativeHeight="31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25" name="Frame2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accrued but unpaid interest. As of the Record Date, the outstanding aggregate principal amount of the Convertible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accrued but unpaid interest. As of the Record Date, the outstanding aggregate principal amount of the Convertible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6" name="Frame2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54480" cy="293370"/>
                <wp:effectExtent l="0" t="0" r="0" b="0"/>
                <wp:wrapNone/>
                <wp:docPr id="2427" name="Frame2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Debentures was $20.0 million.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Debentures was $20.0 million.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Recommendation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1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428" name="Frame2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accordance with the stockholder approval requirements of Nasdaq Listing Rules 5635(d) and 5635(b), is in the best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accordance with the stockholder approval requirements of Nasdaq Listing Rules 5635(d) and 5635(b), is in the best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229225" cy="293370"/>
                <wp:effectExtent l="0" t="0" r="0" b="0"/>
                <wp:wrapNone/>
                <wp:docPr id="2429" name="Frame2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received by us upon issuance of the Second Convertible Debenture will not be made available to 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1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received by us upon issuance of the Second Convertible Debenture will not be made available to 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0" name="Frame2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31" name="Frame2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purchase, and we will not issue, the Second Convertible Debenture. Accordingly, the additional $10.0 million of funds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purchase, and we will not issue, the Second Convertible Debenture. Accordingly, the additional $10.0 million of funds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2" name="Frame2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433" name="Frame2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Furthermore, if this Proposal 4 is not approved by our stockholders at the Annual Meeting, Yorkville will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Furthermore, if this Proposal 4 is not approved by our stockholders at the Annual Meeting, Yorkville will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9">
                <wp:simplePos x="0" y="0"/>
                <wp:positionH relativeFrom="page">
                  <wp:posOffset>2769235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4" name="Frame2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1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26285" cy="293370"/>
                <wp:effectExtent l="0" t="0" r="0" b="0"/>
                <wp:wrapNone/>
                <wp:docPr id="2435" name="Frame2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2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6" name="Frame2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37" name="Frame2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interests of us and our stockholders because it will decrease the likelihood we will have to make monthly prepayments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interests of us and our stockholders because it will decrease the likelihood we will have to make monthly prepayments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8" name="Frame2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439" name="Frame2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this Proposal 4 is not approved by our stockholders at the Annual Meeting, we may be required to make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this Proposal 4 is not approved by our stockholders at the Annual Meeting, we may be required to make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0" name="Frame2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41" name="Frame2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amendments, or changes (consistent with the intent and purpose of this proposal) agreed upon by the parties thereto, and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amendments, or changes (consistent with the intent and purpose of this proposal) agreed upon by the parties thereto, and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2" name="Frame2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43" name="Frame2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determined that the Securities Purchase Agreement and Convertible Debentures, with such modifications,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determined that the Securities Purchase Agreement and Convertible Debentures, with such modifications,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4" name="Frame2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45" name="Frame2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expenditures and operating expenses, including the expenses for the Innventure Companies and the Operating Companies.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expenditures and operating expenses, including the expenses for the Innventure Companies and the Operating Companies.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6" name="Frame2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47" name="Frame2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monthly prepayments as described above, which may impair our working capital and our ability to fund capital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monthly prepayments as described above, which may impair our working capital and our ability to fund capital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8" name="Frame2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Vote Required</w:t>
      </w:r>
      <w:r>
        <mc:AlternateContent>
          <mc:Choice Requires="wps">
            <w:drawing>
              <wp:anchor behindDoc="0" distT="0" distB="0" distL="0" distR="0" simplePos="0" locked="0" layoutInCell="1" allowOverlap="1" relativeHeight="313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874010" cy="146685"/>
                <wp:effectExtent l="0" t="0" r="0" b="0"/>
                <wp:wrapNone/>
                <wp:docPr id="2449" name="Frame2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0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unanimously recommends that you vote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3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unanimously recommends that you vote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6">
                <wp:simplePos x="0" y="0"/>
                <wp:positionH relativeFrom="page">
                  <wp:posOffset>4074160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2450" name="Frame2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32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7">
                <wp:simplePos x="0" y="0"/>
                <wp:positionH relativeFrom="page">
                  <wp:posOffset>4342130</wp:posOffset>
                </wp:positionH>
                <wp:positionV relativeFrom="line">
                  <wp:posOffset>635</wp:posOffset>
                </wp:positionV>
                <wp:extent cx="2686685" cy="175260"/>
                <wp:effectExtent l="0" t="0" r="0" b="0"/>
                <wp:wrapNone/>
                <wp:docPr id="2451" name="Frame2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6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potential issuance of a number of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5pt;height:13.8pt;mso-wrap-distance-left:0pt;mso-wrap-distance-right:0pt;mso-wrap-distance-top:0pt;mso-wrap-distance-bottom:0pt;margin-top:0pt;mso-position-vertical:top;mso-position-vertical-relative:text;margin-left:34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potential issuance of a number of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2" name="Frame2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99585" cy="293370"/>
                <wp:effectExtent l="0" t="0" r="0" b="0"/>
                <wp:wrapNone/>
                <wp:docPr id="2453" name="Frame2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95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to Yorkville in excess of the Convertible Debentures Exchange Cap.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to Yorkville in excess of the Convertible Debentures Exchange Cap.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32</w:t>
      </w:r>
      <w:r>
        <mc:AlternateContent>
          <mc:Choice Requires="wps">
            <w:drawing>
              <wp:anchor behindDoc="0" distT="0" distB="0" distL="0" distR="0" simplePos="0" locked="0" layoutInCell="1" allowOverlap="1" relativeHeight="314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454" name="Frame2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approval of the potential issuance of a number of shares of Common Stock to Yorkville in excess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approval of the potential issuance of a number of shares of Common Stock to Yorkville in excess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5" name="Frame2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56" name="Frame2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Debentures Exchange Cap requires the affirmative vote of the majority of the votes cast (meaning the 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Debentures Exchange Cap requires the affirmative vote of the majority of the votes cast (meaning the 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7" name="Frame2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58" name="Frame2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shares voted “for” the proposal must exceed the number of shares voted “against” the proposal). Abstentions and broker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shares voted “for” the proposal must exceed the number of shares voted “against” the proposal). Abstentions and broker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9" name="Frame2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60" name="Frame2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non-votes, if any, are not considered votes cast for the foregoing purpose, and will have no effect on the vote for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non-votes, if any, are not considered votes cast for the foregoing purpose, and will have no effect on the vote for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61" name="Frame2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62" name="Frame2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proposal.  Subsequent to the date of this proxy statement, we intend to enter into voting agreements with holders of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proposal.  Subsequent to the date of this proxy statement, we intend to enter into voting agreements with holders of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63" name="Frame2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64" name="Frame2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majority in voting power of our Common Stock to grant us an irrevocable proxy to vote their shares of Common Stock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majority in voting power of our Common Stock to grant us an irrevocable proxy to vote their shares of Common Stock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65" name="Frame2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23645" cy="293370"/>
                <wp:effectExtent l="0" t="0" r="0" b="0"/>
                <wp:wrapNone/>
                <wp:docPr id="2466" name="Frame2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favor of this Proposal 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favor of this Proposal 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467" name="Frame2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applicable Nasdaq Listing Rules, the shares of Common Stock issued pursuant to conversion of all or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applicable Nasdaq Listing Rules, the shares of Common Stock issued pursuant to conversion of all or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68" name="Frame2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91685" cy="293370"/>
                <wp:effectExtent l="0" t="0" r="0" b="0"/>
                <wp:wrapNone/>
                <wp:docPr id="2469" name="Frame2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6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portion of the Convertible Debentures, if applicable, are not entitled to vote on Proposal 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1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portion of the Convertible Debentures, if applicable, are not entitled to vote on Proposal 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EXECUTIVE AND DIRECTOR 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2024 Business Combination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16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470" name="Frame2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Gregory W. (Bill) Haskell was Innventure’s principal executive officer for the entirety of 2024. The two most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Gregory W. (Bill) Haskell was Innventure’s principal executive officer for the entirety of 2024. The two most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959610" cy="293370"/>
                <wp:effectExtent l="0" t="0" r="0" b="0"/>
                <wp:wrapNone/>
                <wp:docPr id="2471" name="Frame2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96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Dr. John Scott, Chief Strategy Officer.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3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Dr. John Scott, Chief Strategy Officer.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472" name="Frame2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075180" cy="293370"/>
                <wp:effectExtent l="0" t="0" r="0" b="0"/>
                <wp:wrapNone/>
                <wp:docPr id="2473" name="Frame2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51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Mike Otworth, Executive Chairman;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4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Mike Otworth, Executive Chairman;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474" name="Frame2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347085" cy="293370"/>
                <wp:effectExtent l="0" t="0" r="0" b="0"/>
                <wp:wrapNone/>
                <wp:docPr id="2475" name="Frame2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0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Gregory W. (Bill) Haskell, Chief Executive Officer and Manager;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3.5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Gregory W. (Bill) Haskell, Chief Executive Officer and Manager;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476" name="Frame2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178935" cy="293370"/>
                <wp:effectExtent l="0" t="0" r="0" b="0"/>
                <wp:wrapNone/>
                <wp:docPr id="2477" name="Frame2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89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Therefore, for the fiscal year ended December 31, 2024, Innventure’s NEOs were: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9.0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Therefore, for the fiscal year ended December 31, 2024, Innventure’s NEOs were: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70785" cy="293370"/>
                <wp:effectExtent l="0" t="0" r="0" b="0"/>
                <wp:wrapNone/>
                <wp:docPr id="2478" name="Frame2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7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Haskell) were Mike Otworth and Dr. John Scott.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Haskell) were Mike Otworth and Dr. John Scott.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79" name="Frame2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80" name="Frame2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highly compensated executive officers of Innventure that were serving in such capacity at the end of 2024 (other than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highly compensated executive officers of Innventure that were serving in such capacity at the end of 2024 (other than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1" name="Frame2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07385" cy="293370"/>
                <wp:effectExtent l="0" t="0" r="0" b="0"/>
                <wp:wrapNone/>
                <wp:docPr id="2482" name="Frame2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All dollar amounts (“$”) in this section reflect actual amounts.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All dollar amounts (“$”) in this section reflect actual amounts.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371090" cy="293370"/>
                <wp:effectExtent l="0" t="0" r="0" b="0"/>
                <wp:wrapNone/>
                <wp:docPr id="2483" name="Frame2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our named executive officers (the “NEOs”).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our named executive officers (the “NEOs”).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4" name="Frame2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85" name="Frame2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Innventure’s principal executive officer and its two other most highly compensated executive officers are referred to herein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Innventure’s principal executive officer and its two other most highly compensated executive officers are referred to herein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6" name="Frame2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87" name="Frame2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disclosure for Innventure’s principal executive officer and its two other most highly compensated executive officers.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disclosure for Innventure’s principal executive officer and its two other most highly compensated executive officers.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8" name="Frame2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89" name="Frame2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such term is defined in the rules promulgated under the Securities Act, which, in general, require 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such term is defined in the rules promulgated under the Securities Act, which, in general, require 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0" name="Frame2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91" name="Frame2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executive compensation disclosure rules applicable to “emerging growth companies” and “smaller reporting companies”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executive compensation disclosure rules applicable to “emerging growth companies” and “smaller reporting companies”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2" name="Frame2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493" name="Frame2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an emerging growth company and smaller reporting company, Innventure has opted to comply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an emerging growth company and smaller reporting company, Innventure has opted to comply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2024 Summary Compensation Table</w:t>
      </w:r>
      <w:r>
        <mc:AlternateContent>
          <mc:Choice Requires="wps">
            <w:drawing>
              <wp:anchor behindDoc="0" distT="0" distB="0" distL="0" distR="0" simplePos="0" locked="0" layoutInCell="1" allowOverlap="1" relativeHeight="318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494" name="Frame2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2, 2024, we consummated our Business Combination. The information provided in this disclosure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2, 2024, we consummated our Business Combination. The information provided in this disclosure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5" name="Frame2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96" name="Frame2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reflects both compensation from Innventure LLC (up until the date of the Business Combination, as applicable)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reflects both compensation from Innventure LLC (up until the date of the Business Combination, as applicable)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7" name="Frame2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98" name="Frame2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compensation from the Company (from the date of the Business Combination through the end of 2024). Messrs. Haskell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compensation from the Company (from the date of the Business Combination through the end of 2024). Messrs. Haskell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9" name="Frame2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500" name="Frame2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Otworth and Dr. Scott are still serving as executive officers of Innventure following the consummation of the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Otworth and Dr. Scott are still serving as executive officers of Innventure following the consummation of the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01" name="Frame2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94055" cy="293370"/>
                <wp:effectExtent l="0" t="0" r="0" b="0"/>
                <wp:wrapNone/>
                <wp:docPr id="2502" name="Frame2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Combination.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Combination.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33</w:t>
      </w:r>
      <w:r>
        <mc:AlternateContent>
          <mc:Choice Requires="wps">
            <w:drawing>
              <wp:anchor behindDoc="0" distT="0" distB="0" distL="0" distR="0" simplePos="0" locked="0" layoutInCell="1" allowOverlap="1" relativeHeight="320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189855" cy="233680"/>
                <wp:effectExtent l="0" t="0" r="0" b="0"/>
                <wp:wrapNone/>
                <wp:docPr id="2503" name="Frame2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985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 in this column for Mr. Haskell represents a transaction bonus earned in connection with the Business Combination.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8.6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 in this column for Mr. Haskell represents a transaction bonus earned in connection with the Business Combination.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103755" cy="233680"/>
                <wp:effectExtent l="0" t="0" r="0" b="0"/>
                <wp:wrapNone/>
                <wp:docPr id="2504" name="Frame2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75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section had an aggregate grant date fair value of $0.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6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section had an aggregate grant date fair value of $0.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05" name="Frame2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506" name="Frame2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awards disclosed in this column, see “2024 Equity-Based Compensation” below. The Refinity Incentive Units (as defined below) discussed in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awards disclosed in this column, see “2024 Equity-Based Compensation” below. The Refinity Incentive Units (as defined below) discussed in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07" name="Frame2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508" name="Frame2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consolidated financial statements included in our 2024 Annual Report, filed with the SEC on April 14, 2025. For more information regarding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consolidated financial statements included in our 2024 Annual Report, filed with the SEC on April 14, 2025. For more information regarding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09" name="Frame2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510" name="Frame2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Codification (“FASB ASC”) Topic 718. For information regarding the assumptions used in calculating the value of these awards, see Note 14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Codification (“FASB ASC”) Topic 718. For information regarding the assumptions used in calculating the value of these awards, see Note 14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11" name="Frame2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12" name="Frame2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Units granted by Accelsius to him in 2024, each calculated in accordance with Financial Accounting Standards Board Accounting Standards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Units granted by Accelsius to him in 2024, each calculated in accordance with Financial Accounting Standards Board Accounting Standards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13" name="Frame2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16840"/>
                <wp:effectExtent l="0" t="0" r="0" b="0"/>
                <wp:wrapNone/>
                <wp:docPr id="2514" name="Frame2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Company to the NEOs in 2024 and, with respect to Mr. Otworth, the amount includes the aggregate grant date fair value of the Accelsius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Company to the NEOs in 2024 and, with respect to Mr. Otworth, the amount includes the aggregate grant date fair value of the Accelsius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15" name="Frame2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16" name="Frame2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amounts in this column reflect the aggregate grant date fair value of service-based restricted stock unit (“RSU”) awards granted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amounts in this column reflect the aggregate grant date fair value of service-based restricted stock unit (“RSU”) awards granted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17" name="Frame2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(3)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(3)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518" name="Frame2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provides information regarding the compensation of Innventure’s NEOs for 2024 and 2023,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provides information regarding the compensation of Innventure’s NEOs for 2024 and 2023,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19" name="Frame2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978150" cy="233680"/>
                <wp:effectExtent l="0" t="0" r="0" b="0"/>
                <wp:wrapNone/>
                <wp:docPr id="2520" name="Frame2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with respect to Mr. Otworth’s consulting services to Innventure for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with respect to Mr. Otworth’s consulting services to Innventure for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21" name="Frame2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522" name="Frame2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Mr. Otworth, the amount in this column for 2024 represents payments to Sugar Grove Ventures, LLC (a company 100% owned by Mr. Otworth)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Mr. Otworth, the amount in this column for 2024 represents payments to Sugar Grove Ventures, LLC (a company 100% owned by Mr. Otworth)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23" name="Frame2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524" name="Frame2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Corporate Development Group (a company 100% owned by Dr. Scott) with respect to Dr. Scott’s consulting services to Innventure during 2024.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Corporate Development Group (a company 100% owned by Dr. Scott) with respect to Dr. Scott’s consulting services to Innventure during 2024.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25" name="Frame2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16840"/>
                <wp:effectExtent l="0" t="0" r="0" b="0"/>
                <wp:wrapNone/>
                <wp:docPr id="2526" name="Frame2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 in this column for 2024 for Mr. Haskell represents base salary earned during 2024. For Dr. Scott, the amount represents payments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 in this column for 2024 for Mr. Haskell represents base salary earned during 2024. For Dr. Scott, the amount represents payments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27" name="Frame2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528" name="Frame2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2">
                <wp:simplePos x="0" y="0"/>
                <wp:positionH relativeFrom="page">
                  <wp:posOffset>1433195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29" name="Frame2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1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90245" cy="293370"/>
                <wp:effectExtent l="0" t="0" r="0" b="0"/>
                <wp:wrapNone/>
                <wp:docPr id="2530" name="Frame2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2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applicable.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applicable.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31" name="Frame2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Narrative Disclosure to 2024 Summary Compensation Table</w:t>
      </w:r>
      <w:r>
        <mc:AlternateContent>
          <mc:Choice Requires="wps">
            <w:drawing>
              <wp:anchor behindDoc="0" distT="0" distB="0" distL="0" distR="0" simplePos="0" locked="0" layoutInCell="1" allowOverlap="1" relativeHeight="32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32" name="Frame2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(6)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(6)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370965" cy="233680"/>
                <wp:effectExtent l="0" t="0" r="0" b="0"/>
                <wp:wrapNone/>
                <wp:docPr id="2533" name="Frame2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96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consulting services to Innventure.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9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consulting services to Innventure.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34" name="Frame2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535" name="Frame2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Development Group, pursuant to which Dr. Scott, the founder and principal of Corporate Development Group, provided strategic guidance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Development Group, pursuant to which Dr. Scott, the founder and principal of Corporate Development Group, provided strategic guidance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36" name="Frame2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37" name="Frame2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Dr. Scott provided services to Innventure in a consulting capacity during 2024 through a contract between Innventure LLC and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Dr. Scott provided services to Innventure in a consulting capacity during 2024 through a contract between Innventure LLC and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38" name="Frame2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34365" cy="233680"/>
                <wp:effectExtent l="0" t="0" r="0" b="0"/>
                <wp:wrapNone/>
                <wp:docPr id="2539" name="Frame2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6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Ventures, LLC.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9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Ventures, LLC.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40" name="Frame2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16840"/>
                <wp:effectExtent l="0" t="0" r="0" b="0"/>
                <wp:wrapNone/>
                <wp:docPr id="2541" name="Frame2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Mr. Otworth provided services to Innventure in a consulting capacity during 2024 through a contract between Innventure LLC and Sugar Grove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Mr. Otworth provided services to Innventure in a consulting capacity during 2024 through a contract between Innventure LLC and Sugar Grove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42" name="Frame2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(4)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(4)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775960" cy="233680"/>
                <wp:effectExtent l="0" t="0" r="0" b="0"/>
                <wp:wrapNone/>
                <wp:docPr id="2543" name="Frame2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596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 in this column represents matching contributions provided by Innventure under the 401(k) Plan (as defined and described below).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4.8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 in this column represents matching contributions provided by Innventure under the 401(k) Plan (as defined and described below).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44" name="Frame2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(5)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(5)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528310" cy="233680"/>
                <wp:effectExtent l="0" t="0" r="0" b="0"/>
                <wp:wrapNone/>
                <wp:docPr id="2545" name="Frame2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83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on April 14, 2025. For more information regarding the awards disclosed in this column, see “2024 Equity-Based Compensation” below.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3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on April 14, 2025. For more information regarding the awards disclosed in this column, see “2024 Equity-Based Compensation” below.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46" name="Frame2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47" name="Frame2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calculating the value of these awards, see Note 14 to the consolidated financial statements included in our 2024 Annual Report, filed with the SEC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calculating the value of these awards, see Note 14 to the consolidated financial statements included in our 2024 Annual Report, filed with the SEC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48" name="Frame2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549" name="Frame2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Company to the NEOs in 2024, each calculated in accordance with FASB ASC Topic 718. For information regarding the assumptions used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Company to the NEOs in 2024, each calculated in accordance with FASB ASC Topic 718. For information regarding the assumptions used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50" name="Frame2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51" name="Frame2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amounts in this column reflect the aggregate grant date fair values of option awards and stock appreciation right awards (“SARs”) granted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amounts in this column reflect the aggregate grant date fair values of option awards and stock appreciation right awards (“SARs”) granted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Key 2024 Named Executive Officer Compensation Components and Decisions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  <w:t>2024 Base Salary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  <w:t>2024 Bonus Compensation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23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552" name="Frame2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terms of their employment or consulting arrangements, as applicable, the NEOs were entitled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terms of their employment or consulting arrangements, as applicable, the NEOs were entitled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53" name="Frame2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16095" cy="293370"/>
                <wp:effectExtent l="0" t="0" r="0" b="0"/>
                <wp:wrapNone/>
                <wp:docPr id="2554" name="Frame2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60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base salaries or service fees, as applicable, at the following annual rates during 2024: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base salaries or service fees, as applicable, at the following annual rates during 2024: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555" name="Frame2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did not modify the base salary or service fee rates of any of the NEOs during 2024. However, we increased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did not modify the base salary or service fee rates of any of the NEOs during 2024. However, we increased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56" name="Frame2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50895" cy="293370"/>
                <wp:effectExtent l="0" t="0" r="0" b="0"/>
                <wp:wrapNone/>
                <wp:docPr id="2557" name="Frame2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08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base salary and service fee rates of the NEOs in January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3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base salary and service fee rates of the NEOs in January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34</w:t>
      </w:r>
      <w:r>
        <mc:AlternateContent>
          <mc:Choice Requires="wps">
            <w:drawing>
              <wp:anchor behindDoc="0" distT="0" distB="0" distL="0" distR="0" simplePos="0" locked="0" layoutInCell="1" allowOverlap="1" relativeHeight="325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58" name="Frame3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93215" cy="293370"/>
                <wp:effectExtent l="0" t="0" r="0" b="0"/>
                <wp:wrapNone/>
                <wp:docPr id="2559" name="Frame3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2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 in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 in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0" name="Frame3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561" name="Frame3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Haskell also earned a cash bonus of $2,500,000 in connection with the successful consummation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Haskell also earned a cash bonus of $2,500,000 in connection with the successful consummation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51735" cy="293370"/>
                <wp:effectExtent l="0" t="0" r="0" b="0"/>
                <wp:wrapNone/>
                <wp:docPr id="2562" name="Frame3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7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applicable service requirements have lapsed.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applicable service requirements have lapsed.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3" name="Frame3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564" name="Frame3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payment.  Such amounts are expected to be disclosed in a future Summary Compensation Table once payment is made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payment.  Such amounts are expected to be disclosed in a future Summary Compensation Table once payment is made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5" name="Frame3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566" name="Frame3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$255,000 for Dr. Scott. Payout of such amounts is generally contingent on the NEO’s continued service through the date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$255,000 for Dr. Scott. Payout of such amounts is generally contingent on the NEO’s continued service through the date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7" name="Frame3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568" name="Frame3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bonus, which corresponds to the following payout amounts: $255,000 for Mr. Haskell; $255,000 for Mr. Otworth;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bonus, which corresponds to the following payout amounts: $255,000 for Mr. Haskell; $255,000 for Mr. Otworth;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9" name="Frame3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570" name="Frame3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(or Board, as applicable), determined that each NEO notionally earned a payout percentage of 85% of the target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(or Board, as applicable), determined that each NEO notionally earned a payout percentage of 85% of the target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571" name="Frame2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of Messrs. Haskell and Otworth and Dr. Scott is eligible for a target 2024 annual bonus opportunity equal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of Messrs. Haskell and Otworth and Dr. Scott is eligible for a target 2024 annual bonus opportunity equal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572" name="Frame3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 bonus goals were achieved (as shown in the table above) and that the stretch goal was not achieved. As such,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 bonus goals were achieved (as shown in the table above) and that the stretch goal was not achieved. As such,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73" name="Frame3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574" name="Frame3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2025, the Compensation Committee (and the Board with respect to Mr. Haskell) determined that 85%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2025, the Compensation Committee (and the Board with respect to Mr. Haskell) determined that 85%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167255" cy="293370"/>
                <wp:effectExtent l="0" t="0" r="0" b="0"/>
                <wp:wrapNone/>
                <wp:docPr id="2575" name="Frame3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7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have resulted in an additional 50% payout.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have resulted in an additional 50% payout.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76" name="Frame3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0">
                <wp:simplePos x="0" y="0"/>
                <wp:positionH relativeFrom="page">
                  <wp:posOffset>5191125</wp:posOffset>
                </wp:positionH>
                <wp:positionV relativeFrom="line">
                  <wp:posOffset>635</wp:posOffset>
                </wp:positionV>
                <wp:extent cx="1837690" cy="146685"/>
                <wp:effectExtent l="0" t="0" r="0" b="0"/>
                <wp:wrapNone/>
                <wp:docPr id="2577" name="Frame3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69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) operating company), which would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4.7pt;height:11.55pt;mso-wrap-distance-left:0pt;mso-wrap-distance-right:0pt;mso-wrap-distance-top:0pt;mso-wrap-distance-bottom:0pt;margin-top:0pt;mso-position-vertical:top;mso-position-vertical-relative:text;margin-left:40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) operating company), which would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926840" cy="146685"/>
                <wp:effectExtent l="0" t="0" r="0" b="0"/>
                <wp:wrapNone/>
                <wp:docPr id="2578" name="Frame3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68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2024 bonuses were also subject to a stretch goal (formation of a new (5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9.2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2024 bonuses were also subject to a stretch goal (formation of a new (5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996815" cy="293370"/>
                <wp:effectExtent l="0" t="0" r="0" b="0"/>
                <wp:wrapNone/>
                <wp:docPr id="2579" name="Frame2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68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LLC. The 2024 bonus goals and applicable weighting percentages are set forth on the table below: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3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LLC. The 2024 bonus goals and applicable weighting percentages are set forth on the table below: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0" name="Frame2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581" name="Frame2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$300,000 based on Innventure’s performance against certain goals established by the board of directors of Innventure,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$300,000 based on Innventure’s performance against certain goals established by the board of directors of Innventure,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2" name="Frame2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  <w:t>2024 Equity-Based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Policies and Practices Related to the Grant of Certain Equity Awards</w:t>
      </w:r>
      <w:r>
        <mc:AlternateContent>
          <mc:Choice Requires="wps">
            <w:drawing>
              <wp:anchor behindDoc="0" distT="0" distB="0" distL="0" distR="0" simplePos="0" locked="0" layoutInCell="1" allowOverlap="1" relativeHeight="33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583" name="Frame3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Holdings have received the return of an amount specified with respect to the Refinity Incentive Unit award (the “Refinity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Holdings have received the return of an amount specified with respect to the Refinity Incentive Unit award (the “Refinity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584" name="Frame3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March 2024, Accelsius granted 100,000 Class C Units of Accelsius (“Accelsius Incentive Units”) to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March 2024, Accelsius granted 100,000 Class C Units of Accelsius (“Accelsius Incentive Units”) to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6">
                <wp:simplePos x="0" y="0"/>
                <wp:positionH relativeFrom="page">
                  <wp:posOffset>2959735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5" name="Frame3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3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16785" cy="293370"/>
                <wp:effectExtent l="0" t="0" r="0" b="0"/>
                <wp:wrapNone/>
                <wp:docPr id="2586" name="Frame3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7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Refinity Holdings or one of its subsidiaries.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Refinity Holdings or one of its subsidiaries.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7" name="Frame3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588" name="Frame3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one-year anniversary of the grant date and 9.375% vesting quarterly thereafter, subject to each NEO’s continued service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one-year anniversary of the grant date and 9.375% vesting quarterly thereafter, subject to each NEO’s continued service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9" name="Frame3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590" name="Frame3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Distribution Threshold”). The Refinity Incentive Units generally vest over a three-year period, with 25% vesting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Distribution Threshold”). The Refinity Incentive Units generally vest over a three-year period, with 25% vesting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1" name="Frame3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2" name="Frame3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3" name="Frame3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594" name="Frame3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entitle the holders thereof to participate in distributions of Refinity Holdings after certain members of Refinity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entitle the holders thereof to participate in distributions of Refinity Holdings after certain members of Refinity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5" name="Frame3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596" name="Frame3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 have any voting rights with respect to such Refinity Incentive Units except as required by law. The Refinity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 have any voting rights with respect to such Refinity Incentive Units except as required by law. The Refinity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7" name="Frame3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2598" name="Frame3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are intended to be “profits interests” for U.S. federal income tax purposes, and holders of Refinity Incentive Units did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are intended to be “profits interests” for U.S. federal income tax purposes, and holders of Refinity Incentive Units did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9" name="Frame3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600" name="Frame3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Incentive Units”) to each of our NEOs pursuant to the Refinity Holdings PI Unit Incentive Plan. The Refinity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Incentive Units”) to each of our NEOs pursuant to the Refinity Holdings PI Unit Incentive Plan. The Refinity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01" name="Frame3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Otworth. The Accelsius Incentive Units are intended to be “profits interests” for U.S. federal income tax purposes,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Otworth. The Accelsius Incentive Units are intended to be “profits interests” for U.S. federal income tax purposes,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2" name="Frame3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603" name="Frame3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holders of Accelsius Incentive Units do not have any voting rights with respect to such Accelsius Incentive Units except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holders of Accelsius Incentive Units do not have any voting rights with respect to such Accelsius Incentive Units except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4" name="Frame3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605" name="Frame3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required by law. The Accelsius Incentive Units entitle the holders thereof to participate in distributions of Accelsius after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required by law. The Accelsius Incentive Units entitle the holders thereof to participate in distributions of Accelsius after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6" name="Frame3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07" name="Frame3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members of Accelsius have received the return of an amount specified with respect to the Accelsius Incentive Unit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members of Accelsius have received the return of an amount specified with respect to the Accelsius Incentive Unit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8" name="Frame3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09" name="Frame3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(the “Accelsius Distribution Threshold”). Mr. Otworth’s Accelsius Incentive Units were granted with an Accelsius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(the “Accelsius Distribution Threshold”). Mr. Otworth’s Accelsius Incentive Units were granted with an Accelsius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0" name="Frame3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11" name="Frame3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Distribution Threshold of $4.41. The Accelsius Incentive Units generally vest over a three-year period, with 25% vesting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Distribution Threshold of $4.41. The Accelsius Incentive Units generally vest over a three-year period, with 25% vesting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2" name="Frame3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13" name="Frame3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the grant date and 9.375% vesting quarterly beginning on the one-year anniversary of the grant date, subject to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the grant date and 9.375% vesting quarterly beginning on the one-year anniversary of the grant date, subject to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4" name="Frame3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97250" cy="293370"/>
                <wp:effectExtent l="0" t="0" r="0" b="0"/>
                <wp:wrapNone/>
                <wp:docPr id="2615" name="Frame3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Otworth’s continued service to Accelsius or one of its subsidiaries.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Otworth’s continued service to Accelsius or one of its subsidiaries.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5">
                <wp:simplePos x="0" y="0"/>
                <wp:positionH relativeFrom="page">
                  <wp:posOffset>6479540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6" name="Frame3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1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7" name="Frame3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18" name="Frame3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Compensation Plan (the “2024 Plan”). The 2024 Plan allows for equity compensation awards to our directors, employees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Compensation Plan (the “2024 Plan”). The 2024 Plan allows for equity compensation awards to our directors, employees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9" name="Frame3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786255" cy="293370"/>
                <wp:effectExtent l="0" t="0" r="0" b="0"/>
                <wp:wrapNone/>
                <wp:docPr id="2620" name="Frame3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certain other service providers.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certain other service providers.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621" name="Frame3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December 2024, the Compensation Committee approved equity incentive awards for the NEOs consisting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December 2024, the Compensation Committee approved equity incentive awards for the NEOs consisting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22" name="Frame3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033645" cy="293370"/>
                <wp:effectExtent l="0" t="0" r="0" b="0"/>
                <wp:wrapNone/>
                <wp:docPr id="2623" name="Frame3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3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service-based RSUs and stock options under the 2024 Plan. Awards for our NEOs were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service-based RSUs and stock options under the 2024 Plan. Awards for our NEOs were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624" name="Frame3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" cy="131445"/>
                <wp:effectExtent l="0" t="0" r="0" b="0"/>
                <wp:wrapNone/>
                <wp:docPr id="2625" name="Frame3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928995" cy="262890"/>
                <wp:effectExtent l="0" t="0" r="0" b="0"/>
                <wp:wrapNone/>
                <wp:docPr id="2626" name="Frame3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89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The options set forth in the table above were granted with an exercise price of $12.20, the closing stock price on the date of grant.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6.8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The options set forth in the table above were granted with an exercise price of $12.20, the closing stock price on the date of grant.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627" name="Frame3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general, the options and RSUs granted to Mr. Otworth and Dr. Scott vest on October 2, 2025, or, if earlier,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general, the options and RSUs granted to Mr. Otworth and Dr. Scott vest on October 2, 2025, or, if earlier,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28" name="Frame3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629" name="Frame3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same date that the lock-up set forth in the contractual lock-up agreement entered into by such individual on October 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same date that the lock-up set forth in the contractual lock-up agreement entered into by such individual on October 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0" name="Frame3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36590" cy="293370"/>
                <wp:effectExtent l="0" t="0" r="0" b="0"/>
                <wp:wrapNone/>
                <wp:docPr id="2631" name="Frame3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65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2023 terminates pursuant to its terms, subject to each NEO’s continuous service until the applicable vesting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2023 terminates pursuant to its terms, subject to each NEO’s continuous service until the applicable vesting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632" name="Frame3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Business Combination, we adopted the Innventure, Inc. 2024 Equity and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Business Combination, we adopted the Innventure, Inc. 2024 Equity and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633" name="Frame3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December 2024, the Compensation Committee also approved a grant of 150,000 SARs (the “Accelsius SARs”)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December 2024, the Compensation Committee also approved a grant of 150,000 SARs (the “Accelsius SARs”)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4" name="Frame3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35" name="Frame3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each of Mr. Otworth and Dr. Scott. The Accelsius SARs each represent the right of the participant to receive a 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each of Mr. Otworth and Dr. Scott. The Accelsius SARs each represent the right of the participant to receive a 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6" name="Frame3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37" name="Frame3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shares of Common Stock with a value equal to the appreciation in the value of a Class A Common Unit of Accelsius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shares of Common Stock with a value equal to the appreciation in the value of a Class A Common Unit of Accelsius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8" name="Frame3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39" name="Frame3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over a base price of $12.175. In general, the Accelsius SARs will be automatically exercised upon the earliest to occur of: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over a base price of $12.175. In general, the Accelsius SARs will be automatically exercised upon the earliest to occur of: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0" name="Frame3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641" name="Frame3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(i) the 24-month anniversary of the grant date, (ii) the participant’s death, or (iii) the participant’s “disability” (as defined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(i) the 24-month anniversary of the grant date, (ii) the participant’s death, or (iii) the participant’s “disability” (as defined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2" name="Frame3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43" name="Frame3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applicable award agreement). The Compensation Committee may, in its discretion, determine that the participant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applicable award agreement). The Compensation Committee may, in its discretion, determine that the participant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4" name="Frame3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08505" cy="293370"/>
                <wp:effectExtent l="0" t="0" r="0" b="0"/>
                <wp:wrapNone/>
                <wp:docPr id="2645" name="Frame3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85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receive cash instead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receive cash instead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646" name="Frame3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December 11, 2024, Refinity Holdings granted 109,000 Class PI Units of Refinity Holdings (“Refinity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December 11, 2024, Refinity Holdings granted 109,000 Class PI Units of Refinity Holdings (“Refinity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7" name="Frame3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35</w:t>
      </w:r>
      <w:r>
        <mc:AlternateContent>
          <mc:Choice Requires="wps">
            <w:drawing>
              <wp:anchor behindDoc="0" distT="0" distB="0" distL="0" distR="0" simplePos="0" locked="0" layoutInCell="1" allowOverlap="1" relativeHeight="333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648" name="Frame3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Compensation Committee approves equity awards granted to our NEOs on or before the grant date, but grants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Compensation Committee approves equity awards granted to our NEOs on or before the grant date, but grants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9" name="Frame3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9550" cy="146685"/>
                <wp:effectExtent l="0" t="0" r="0" b="0"/>
                <wp:wrapNone/>
                <wp:docPr id="2650" name="Frame3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are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are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7">
                <wp:simplePos x="0" y="0"/>
                <wp:positionH relativeFrom="page">
                  <wp:posOffset>952500</wp:posOffset>
                </wp:positionH>
                <wp:positionV relativeFrom="line">
                  <wp:posOffset>635</wp:posOffset>
                </wp:positionV>
                <wp:extent cx="2583180" cy="146685"/>
                <wp:effectExtent l="0" t="0" r="0" b="0"/>
                <wp:wrapNone/>
                <wp:docPr id="2651" name="Frame3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 currently made on a predetermined schedule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3.4pt;height:11.55pt;mso-wrap-distance-left:0pt;mso-wrap-distance-right:0pt;mso-wrap-distance-top:0pt;mso-wrap-distance-bottom:0pt;margin-top:0pt;mso-position-vertical:top;mso-position-vertical-relative:text;margin-left: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 currently made on a predetermined schedule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8">
                <wp:simplePos x="0" y="0"/>
                <wp:positionH relativeFrom="page">
                  <wp:posOffset>3535680</wp:posOffset>
                </wp:positionH>
                <wp:positionV relativeFrom="line">
                  <wp:posOffset>635</wp:posOffset>
                </wp:positionV>
                <wp:extent cx="31750" cy="146685"/>
                <wp:effectExtent l="0" t="0" r="0" b="0"/>
                <wp:wrapNone/>
                <wp:docPr id="2652" name="Frame3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1.55pt;mso-wrap-distance-left:0pt;mso-wrap-distance-right:0pt;mso-wrap-distance-top:0pt;mso-wrap-distance-bottom:0pt;margin-top:0pt;mso-position-vertical:top;mso-position-vertical-relative:text;margin-left:27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9">
                <wp:simplePos x="0" y="0"/>
                <wp:positionH relativeFrom="page">
                  <wp:posOffset>3567430</wp:posOffset>
                </wp:positionH>
                <wp:positionV relativeFrom="line">
                  <wp:posOffset>635</wp:posOffset>
                </wp:positionV>
                <wp:extent cx="54610" cy="175260"/>
                <wp:effectExtent l="0" t="0" r="0" b="0"/>
                <wp:wrapNone/>
                <wp:docPr id="2653" name="Frame3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3pt;height:13.8pt;mso-wrap-distance-left:0pt;mso-wrap-distance-right:0pt;mso-wrap-distance-top:0pt;mso-wrap-distance-bottom:0pt;margin-top:0pt;mso-position-vertical:top;mso-position-vertical-relative:text;margin-left:28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0">
                <wp:simplePos x="0" y="0"/>
                <wp:positionH relativeFrom="page">
                  <wp:posOffset>3622040</wp:posOffset>
                </wp:positionH>
                <wp:positionV relativeFrom="line">
                  <wp:posOffset>635</wp:posOffset>
                </wp:positionV>
                <wp:extent cx="1657985" cy="146685"/>
                <wp:effectExtent l="0" t="0" r="0" b="0"/>
                <wp:wrapNone/>
                <wp:docPr id="2654" name="Frame3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9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The Compensation Committee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5pt;height:11.55pt;mso-wrap-distance-left:0pt;mso-wrap-distance-right:0pt;mso-wrap-distance-top:0pt;mso-wrap-distance-bottom:0pt;margin-top:0pt;mso-position-vertical:top;mso-position-vertical-relative:text;margin-left:28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The Compensation Committee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1">
                <wp:simplePos x="0" y="0"/>
                <wp:positionH relativeFrom="page">
                  <wp:posOffset>5280025</wp:posOffset>
                </wp:positionH>
                <wp:positionV relativeFrom="line">
                  <wp:posOffset>635</wp:posOffset>
                </wp:positionV>
                <wp:extent cx="715645" cy="146685"/>
                <wp:effectExtent l="0" t="0" r="0" b="0"/>
                <wp:wrapNone/>
                <wp:docPr id="2655" name="Frame3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does not take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35pt;height:11.55pt;mso-wrap-distance-left:0pt;mso-wrap-distance-right:0pt;mso-wrap-distance-top:0pt;mso-wrap-distance-bottom:0pt;margin-top:0pt;mso-position-vertical:top;mso-position-vertical-relative:text;margin-left:4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does not take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2">
                <wp:simplePos x="0" y="0"/>
                <wp:positionH relativeFrom="page">
                  <wp:posOffset>5995670</wp:posOffset>
                </wp:positionH>
                <wp:positionV relativeFrom="line">
                  <wp:posOffset>635</wp:posOffset>
                </wp:positionV>
                <wp:extent cx="1032510" cy="146685"/>
                <wp:effectExtent l="0" t="0" r="0" b="0"/>
                <wp:wrapNone/>
                <wp:docPr id="2656" name="Frame3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5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material nonpublic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3pt;height:11.55pt;mso-wrap-distance-left:0pt;mso-wrap-distance-right:0pt;mso-wrap-distance-top:0pt;mso-wrap-distance-bottom:0pt;margin-top:0pt;mso-position-vertical:top;mso-position-vertical-relative:text;margin-left:47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material nonpublic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57" name="Frame3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23205" cy="146685"/>
                <wp:effectExtent l="0" t="0" r="0" b="0"/>
                <wp:wrapNone/>
                <wp:docPr id="2658" name="Frame3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32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information into account when determining the timing and terms of such awards. The Company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1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information into account when determining the timing and terms of such awards. The Company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5">
                <wp:simplePos x="0" y="0"/>
                <wp:positionH relativeFrom="page">
                  <wp:posOffset>6066155</wp:posOffset>
                </wp:positionH>
                <wp:positionV relativeFrom="line">
                  <wp:posOffset>635</wp:posOffset>
                </wp:positionV>
                <wp:extent cx="744855" cy="146685"/>
                <wp:effectExtent l="0" t="0" r="0" b="0"/>
                <wp:wrapNone/>
                <wp:docPr id="2659" name="Frame3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 not timed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65pt;height:11.55pt;mso-wrap-distance-left:0pt;mso-wrap-distance-right:0pt;mso-wrap-distance-top:0pt;mso-wrap-distance-bottom:0pt;margin-top:0pt;mso-position-vertical:top;mso-position-vertical-relative:text;margin-left:47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 not timed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6">
                <wp:simplePos x="0" y="0"/>
                <wp:positionH relativeFrom="page">
                  <wp:posOffset>6811010</wp:posOffset>
                </wp:positionH>
                <wp:positionV relativeFrom="line">
                  <wp:posOffset>635</wp:posOffset>
                </wp:positionV>
                <wp:extent cx="217170" cy="146685"/>
                <wp:effectExtent l="0" t="0" r="0" b="0"/>
                <wp:wrapNone/>
                <wp:docPr id="2660" name="Frame3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11.55pt;mso-wrap-distance-left:0pt;mso-wrap-distance-right:0pt;mso-wrap-distance-top:0pt;mso-wrap-distance-bottom:0pt;margin-top:0pt;mso-position-vertical:top;mso-position-vertical-relative:text;margin-left:53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1" name="Frame3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05780" cy="293370"/>
                <wp:effectExtent l="0" t="0" r="0" b="0"/>
                <wp:wrapNone/>
                <wp:docPr id="2662" name="Frame3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57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disclosure of material nonpublic information for the purpose of affecting the value of executive compensation.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disclosure of material nonpublic information for the purpose of affecting the value of executive compensation.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Incentive Units Granted in Prior Years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  <w:t>Innventure LLC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  <w:t>Accelsius</w:t>
      </w:r>
      <w:r>
        <mc:AlternateContent>
          <mc:Choice Requires="wps">
            <w:drawing>
              <wp:anchor behindDoc="0" distT="0" distB="0" distL="0" distR="0" simplePos="0" locked="0" layoutInCell="1" allowOverlap="1" relativeHeight="33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3" name="Frame3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352925" cy="293370"/>
                <wp:effectExtent l="0" t="0" r="0" b="0"/>
                <wp:wrapNone/>
                <wp:docPr id="2664" name="Frame3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did not grant Innventure Incentive Units to any of the NEOs in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did not grant Innventure Incentive Units to any of the NEOs in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205730" cy="293370"/>
                <wp:effectExtent l="0" t="0" r="0" b="0"/>
                <wp:wrapNone/>
                <wp:docPr id="2665" name="Frame3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57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Haskell received 705,655 shares of Common Stock with respect to his Innventure Incentive Units.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9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Haskell received 705,655 shares of Common Stock with respect to his Innventure Incentive Units.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6" name="Frame3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67" name="Frame3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Stock. In accordance with the applicable allocation schedule pursuant to the Business Combination Agreement,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Stock. In accordance with the applicable allocation schedule pursuant to the Business Combination Agreement,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8" name="Frame3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69" name="Frame3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$2.2973. At the time of the Business Combination, these Innventure Incentive Units were exchanged for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$2.2973. At the time of the Business Combination, these Innventure Incentive Units were exchanged for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70" name="Frame3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71" name="Frame3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Combination, Mr. Haskell held 430,000 Innventure Incentive Units with an Innventure Distribution Threshold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Combination, Mr. Haskell held 430,000 Innventure Incentive Units with an Innventure Distribution Threshold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72" name="Frame3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673" name="Frame3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held by the NEOs vested in full and were canceled and exchanged for shares of Common Stock. At the time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held by the NEOs vested in full and were canceled and exchanged for shares of Common Stock. At the time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74" name="Frame3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75" name="Frame3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(the “Innventure Distribution Threshold”). At the time of the Business Combination, unvested Innventure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(the “Innventure Distribution Threshold”). At the time of the Business Combination, unvested Innventure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676" name="Frame3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prior years, Innventure LLC granted Class C Units of Innventure LLC (“Innventure Incentive Units”) to certain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prior years, Innventure LLC granted Class C Units of Innventure LLC (“Innventure Incentive Units”) to certain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77" name="Frame3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members of Innventure LLC have received the return of an amount specified with respect to the Innventure Incentive Unit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members of Innventure LLC have received the return of an amount specified with respect to the Innventure Incentive Unit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78" name="Frame3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79" name="Frame3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Innventure Incentive Units entitled the holders thereof to participate in distributions of Innventure LLC after certain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Innventure Incentive Units entitled the holders thereof to participate in distributions of Innventure LLC after certain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0" name="Frame3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681" name="Frame3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Incentive Units did not have any voting rights with respect to such Innventure Incentive Units except as required by law.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Incentive Units did not have any voting rights with respect to such Innventure Incentive Units except as required by law.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2" name="Frame3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83" name="Frame3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Incentive Units were intended to be “profits interests” for U.S. federal income tax purposes, and holders of Innventure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Incentive Units were intended to be “profits interests” for U.S. federal income tax purposes, and holders of Innventure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4" name="Frame3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685" name="Frame3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 of Innventure LLC, as subsequently amended or amended and restated from time to time. The Innventure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 of Innventure LLC, as subsequently amended or amended and restated from time to time. The Innventure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6" name="Frame3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87" name="Frame3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providers, including Mr. Haskell, pursuant to the Fourth Amended and Restated Limited Liability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providers, including Mr. Haskell, pursuant to the Fourth Amended and Restated Limited Liability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8" name="Frame3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Employment and Consulting Arrangements with our NEOs</w:t>
      </w:r>
      <w:r>
        <mc:AlternateContent>
          <mc:Choice Requires="wps">
            <w:drawing>
              <wp:anchor behindDoc="0" distT="0" distB="0" distL="0" distR="0" simplePos="0" locked="0" layoutInCell="1" allowOverlap="1" relativeHeight="337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689" name="Frame3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prior years, Accelsius granted Accelsius Incentive Units to certain service providers, including Mr. Haskell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prior years, Accelsius granted Accelsius Incentive Units to certain service providers, including Mr. Haskell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0" name="Frame3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91" name="Frame3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Dr. Scott, pursuant to the Limited Liability Company Agreement of Accelsius.  At the time of the Business Combination,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Dr. Scott, pursuant to the Limited Liability Company Agreement of Accelsius.  At the time of the Business Combination,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2" name="Frame3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693" name="Frame3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unvested Accelsius Incentive Units held by the NEOs remained outstanding in accordance with the terms of the 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unvested Accelsius Incentive Units held by the NEOs remained outstanding in accordance with the terms of the 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4" name="Frame3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40480" cy="293370"/>
                <wp:effectExtent l="0" t="0" r="0" b="0"/>
                <wp:wrapNone/>
                <wp:docPr id="2695" name="Frame3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04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agreements pursuant to which such Accelsius Incentive Units were granted.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2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agreements pursuant to which such Accelsius Incentive Units were granted.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36</w:t>
      </w:r>
      <w:r>
        <mc:AlternateContent>
          <mc:Choice Requires="wps">
            <w:drawing>
              <wp:anchor behindDoc="0" distT="0" distB="0" distL="0" distR="0" simplePos="0" locked="0" layoutInCell="1" allowOverlap="1" relativeHeight="33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6" name="Frame3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7" name="Frame3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98" name="Frame3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Agreement, Mr. Otworth serves as the primary contact and responsible party in carrying out the services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Agreement, Mr. Otworth serves as the primary contact and responsible party in carrying out the services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9" name="Frame3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00" name="Frame3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Sugar Grove Ventures, LLC, an independent contractor (the “Otworth Service Agreement”). Pursuant to the Otworth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Sugar Grove Ventures, LLC, an independent contractor (the “Otworth Service Agreement”). Pursuant to the Otworth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01" name="Frame3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3">
                <wp:simplePos x="0" y="0"/>
                <wp:positionH relativeFrom="page">
                  <wp:posOffset>1964055</wp:posOffset>
                </wp:positionH>
                <wp:positionV relativeFrom="line">
                  <wp:posOffset>635</wp:posOffset>
                </wp:positionV>
                <wp:extent cx="5063490" cy="146685"/>
                <wp:effectExtent l="0" t="0" r="0" b="0"/>
                <wp:wrapNone/>
                <wp:docPr id="2702" name="Frame3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349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is party to a Contractor Agreement for Services, effective November 16, 2023,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7pt;height:11.55pt;mso-wrap-distance-left:0pt;mso-wrap-distance-right:0pt;mso-wrap-distance-top:0pt;mso-wrap-distance-bottom:0pt;margin-top:0pt;mso-position-vertical:top;mso-position-vertical-relative:text;margin-left:15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is party to a Contractor Agreement for Services, effective November 16, 2023,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763905" cy="146685"/>
                <wp:effectExtent l="0" t="0" r="0" b="0"/>
                <wp:wrapNone/>
                <wp:docPr id="2703" name="Frame3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9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Mike Otworth: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1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Mike Otworth: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99285" cy="293370"/>
                <wp:effectExtent l="0" t="0" r="0" b="0"/>
                <wp:wrapNone/>
                <wp:docPr id="2704" name="Frame3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92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increased again to $700,000 per year.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increased again to $700,000 per year.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63345" cy="293370"/>
                <wp:effectExtent l="0" t="0" r="0" b="0"/>
                <wp:wrapNone/>
                <wp:docPr id="2705" name="Frame3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3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Gregory W. (Bill) Haskell: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3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Gregory W. (Bill) Haskell: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06" name="Frame3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LLC. Mr. Haskell’s base salary in 2024 was $300,000 per year. In January 2025, Mr. Haskell’s base salary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LLC. Mr. Haskell’s base salary in 2024 was $300,000 per year. In January 2025, Mr. Haskell’s base salary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07" name="Frame3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708" name="Frame3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opportunity for Mr. Haskell to receive certain equity awards from Innventure LLC and new companies affiliated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opportunity for Mr. Haskell to receive certain equity awards from Innventure LLC and new companies affiliated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09" name="Frame3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75260"/>
                <wp:effectExtent l="0" t="0" r="0" b="0"/>
                <wp:wrapNone/>
                <wp:docPr id="2710" name="Frame3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 Letter”). The Haskell Letter provides for, among other things, an initial base salary rate of $200,000 per year,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 Letter”). The Haskell Letter provides for, among other things, an initial base salary rate of $200,000 per year,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1" name="Frame3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3">
                <wp:simplePos x="0" y="0"/>
                <wp:positionH relativeFrom="page">
                  <wp:posOffset>2563495</wp:posOffset>
                </wp:positionH>
                <wp:positionV relativeFrom="line">
                  <wp:posOffset>635</wp:posOffset>
                </wp:positionV>
                <wp:extent cx="4465955" cy="146685"/>
                <wp:effectExtent l="0" t="0" r="0" b="0"/>
                <wp:wrapNone/>
                <wp:docPr id="2712" name="Frame3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59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is party to an offer letter, dated January 5, 2021, with Mr. Haskell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65pt;height:11.55pt;mso-wrap-distance-left:0pt;mso-wrap-distance-right:0pt;mso-wrap-distance-top:0pt;mso-wrap-distance-bottom:0pt;margin-top:0pt;mso-position-vertical:top;mso-position-vertical-relative:text;margin-left:20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is party to an offer letter, dated January 5, 2021, with Mr. Haskell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Outstanding Equity Awards at 2024 Fiscal Year-End</w:t>
      </w:r>
      <w:r>
        <mc:AlternateContent>
          <mc:Choice Requires="wps">
            <w:drawing>
              <wp:anchor behindDoc="0" distT="0" distB="0" distL="0" distR="0" simplePos="0" locked="0" layoutInCell="1" allowOverlap="1" relativeHeight="3407">
                <wp:simplePos x="0" y="0"/>
                <wp:positionH relativeFrom="page">
                  <wp:posOffset>2040890</wp:posOffset>
                </wp:positionH>
                <wp:positionV relativeFrom="line">
                  <wp:posOffset>635</wp:posOffset>
                </wp:positionV>
                <wp:extent cx="4987925" cy="146685"/>
                <wp:effectExtent l="0" t="0" r="0" b="0"/>
                <wp:wrapNone/>
                <wp:docPr id="2713" name="Frame3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9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is party to a Statement of Work, effective April 1, 2018, with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2.75pt;height:11.55pt;mso-wrap-distance-left:0pt;mso-wrap-distance-right:0pt;mso-wrap-distance-top:0pt;mso-wrap-distance-bottom:0pt;margin-top:0pt;mso-position-vertical:top;mso-position-vertical-relative:text;margin-left:16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is party to a Statement of Work, effective April 1, 2018, with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92300" cy="293370"/>
                <wp:effectExtent l="0" t="0" r="0" b="0"/>
                <wp:wrapNone/>
                <wp:docPr id="2714" name="Frame3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fee was increased to $37,500.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fee was increased to $37,500.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5" name="Frame3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716" name="Frame3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consulting services to Innventure LLC for a monthly service fee of $25,000. In January 2025, Dr. Scott’s monthly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consulting services to Innventure LLC for a monthly service fee of $25,000. In January 2025, Dr. Scott’s monthly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7" name="Frame3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18" name="Frame3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Agreement”). Pursuant to the Scott Service Agreement, Corporate Development Group LLC provides strategic guidance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Agreement”). Pursuant to the Scott Service Agreement, Corporate Development Group LLC provides strategic guidance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9" name="Frame3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20" name="Frame3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Development Group LLC, an independent contractor (“Corporate Development Group”) (as amended, the “Scott Service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Development Group LLC, an independent contractor (“Corporate Development Group”) (as amended, the “Scott Service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21" name="Frame3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722" name="Frame3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contemplated under the Otworth Service Agreement on behalf of Sugar Grove Ventures, LLC. Pursuant to the Otworth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contemplated under the Otworth Service Agreement on behalf of Sugar Grove Ventures, LLC. Pursuant to the Otworth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40740" cy="146685"/>
                <wp:effectExtent l="0" t="0" r="0" b="0"/>
                <wp:wrapNone/>
                <wp:docPr id="2723" name="Frame3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7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Dr. John Scott: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2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Dr. John Scott: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92300" cy="293370"/>
                <wp:effectExtent l="0" t="0" r="0" b="0"/>
                <wp:wrapNone/>
                <wp:docPr id="2724" name="Frame3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fee was increased to $37,500.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fee was increased to $37,500.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25" name="Frame3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26" name="Frame3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fee of $25,000 and a target bonus equal to 100% of annual consulting fees. In January 2025, Mr. Otworth’s monthly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fee of $25,000 and a target bonus equal to 100% of annual consulting fees. In January 2025, Mr. Otworth’s monthly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27" name="Frame3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728" name="Frame3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Agreement, Sugar Grove Ventures, LLC provides consulting tasks as assigned in exchange for a monthly service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Agreement, Sugar Grove Ventures, LLC provides consulting tasks as assigned in exchange for a monthly service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29" name="Frame3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37</w:t>
      </w:r>
      <w:r>
        <mc:AlternateContent>
          <mc:Choice Requires="wps">
            <w:drawing>
              <wp:anchor behindDoc="0" distT="0" distB="0" distL="0" distR="0" simplePos="0" locked="0" layoutInCell="1" allowOverlap="1" relativeHeight="34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30" name="Frame3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731" name="Frame3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In general, these RSUs will vest on October 2, 2025, or, if earlier, on the same date that the lock-up set forth in the contractual lock-up agreement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In general, these RSUs will vest on October 2, 2025, or, if earlier, on the same date that the lock-up set forth in the contractual lock-up agreement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32" name="Frame3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33" name="Frame3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entered into by such individual on October 24, 2023 terminates pursuant to its terms, subject to each NEO’s continuous service until the 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entered into by such individual on October 24, 2023 terminates pursuant to its terms, subject to each NEO’s continuous service until the 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34" name="Frame3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13080" cy="233680"/>
                <wp:effectExtent l="0" t="0" r="0" b="0"/>
                <wp:wrapNone/>
                <wp:docPr id="2735" name="Frame3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08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vesting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4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vesting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36" name="Frame3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On March 22, 2024, Accelsius granted to Mr. Otworth 100,000 Accelsius Incentive Units, with an Accelsius Distribution Threshold of $4.41.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On March 22, 2024, Accelsius granted to Mr. Otworth 100,000 Accelsius Incentive Units, with an Accelsius Distribution Threshold of $4.41.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37" name="Frame3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738" name="Frame3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general, these Accelsius Incentive Units will vest over a three-year period, with 25% vesting on the grant date and 9.375% vesting quarterly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general, these Accelsius Incentive Units will vest over a three-year period, with 25% vesting on the grant date and 9.375% vesting quarterly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39" name="Frame3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612130" cy="233680"/>
                <wp:effectExtent l="0" t="0" r="0" b="0"/>
                <wp:wrapNone/>
                <wp:docPr id="2740" name="Frame3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13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beginning on the one-year anniversary of the grant date, subject to Mr. Otworth’s continued service to Accelsius or one of its subsidiaries.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.9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beginning on the one-year anniversary of the grant date, subject to Mr. Otworth’s continued service to Accelsius or one of its subsidiaries.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41" name="Frame3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Because Accelsius was not publicly traded during 2024, these amounts represent the estimated market value of the unvested Accelsius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Because Accelsius was not publicly traded during 2024, these amounts represent the estimated market value of the unvested Accelsius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806450" cy="233680"/>
                <wp:effectExtent l="0" t="0" r="0" b="0"/>
                <wp:wrapNone/>
                <wp:docPr id="2742" name="Frame3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quarterly thereafter.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quarterly thereafter.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43" name="Frame3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Units held by each of the NEOs as of December 31, 2024, as more fully described above under the heading “2024 Equity-Based Compensation,”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Units held by each of the NEOs as of December 31, 2024, as more fully described above under the heading “2024 Equity-Based Compensation,”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44" name="Frame3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549525" cy="233680"/>
                <wp:effectExtent l="0" t="0" r="0" b="0"/>
                <wp:wrapNone/>
                <wp:docPr id="2745" name="Frame3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952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based on an external valuation dated as of December 31,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7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based on an external valuation dated as of December 31,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746" name="Frame3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On May 5, 2022, Accelsius granted to Dr. Scott 100,000 Accelsius Incentive Units, with an Accelsius Distribution Threshold of $0.00.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On May 5, 2022, Accelsius granted to Dr. Scott 100,000 Accelsius Incentive Units, with an Accelsius Distribution Threshold of $0.00.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47" name="Frame3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48" name="Frame3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Accelsius Incentive Units were 25% vested on the date of grant, and the remainder of the Accelsius Incentive Units vest in eight substantially equal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Accelsius Incentive Units were 25% vested on the date of grant, and the remainder of the Accelsius Incentive Units vest in eight substantially equal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49" name="Frame3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16840"/>
                <wp:effectExtent l="0" t="0" r="0" b="0"/>
                <wp:wrapNone/>
                <wp:docPr id="2750" name="Frame3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quarterly installments beginning 12 months after the date of grant. For a discussion of the treatment of the NEOs’ Incentive Units in the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quarterly installments beginning 12 months after the date of grant. For a discussion of the treatment of the NEOs’ Incentive Units in the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51" name="Frame3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690495" cy="233680"/>
                <wp:effectExtent l="0" t="0" r="0" b="0"/>
                <wp:wrapNone/>
                <wp:docPr id="2752" name="Frame3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049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Combination, see “Incentive Units Granted in Prior Years” above.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8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Combination, see “Incentive Units Granted in Prior Years” above.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8">
                <wp:simplePos x="0" y="0"/>
                <wp:positionH relativeFrom="page">
                  <wp:posOffset>7026275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53" name="Frame3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54" name="Frame3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45920" cy="293370"/>
                <wp:effectExtent l="0" t="0" r="0" b="0"/>
                <wp:wrapNone/>
                <wp:docPr id="2755" name="Frame3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NEOs as of December 31,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NEOs as of December 31,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756" name="Frame3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57" name="Frame3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Type of Award: Refinity Units – Refinity Incentive Units; INV Options – stock options to purchase shares of Common Stock; INV RSUs –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Type of Award: Refinity Units – Refinity Incentive Units; INV Options – stock options to purchase shares of Common Stock; INV RSUs –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58" name="Frame3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59" name="Frame3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restricted stock units settled in shares of Common Stock; Accelsius SARs – awards granted by Innventure and settled in shares of Common Stock,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restricted stock units settled in shares of Common Stock; Accelsius SARs – awards granted by Innventure and settled in shares of Common Stock,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60" name="Frame3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16840"/>
                <wp:effectExtent l="0" t="0" r="0" b="0"/>
                <wp:wrapNone/>
                <wp:docPr id="2761" name="Frame3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value of which is determined based on the increase in value of Class A Common Units of Accelsius; Accelsius Units – Accelsius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value of which is determined based on the increase in value of Class A Common Units of Accelsius; Accelsius Units – Accelsius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5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62" name="Frame3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45110" cy="233680"/>
                <wp:effectExtent l="0" t="0" r="0" b="0"/>
                <wp:wrapNone/>
                <wp:docPr id="2763" name="Frame3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Units.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3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Units.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4725" cy="116840"/>
                <wp:effectExtent l="0" t="0" r="0" b="0"/>
                <wp:wrapNone/>
                <wp:docPr id="2764" name="Frame3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72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In general, these stock options will vest on October 2, 2025, or, if earlier, on the same date that the lock-up set forth in the contractual lock-up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7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In general, these stock options will vest on October 2, 2025, or, if earlier, on the same date that the lock-up set forth in the contractual lock-up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765" name="Frame3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and related footnotes set forth information about the outstanding equity awards held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and related footnotes set forth information about the outstanding equity awards held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66" name="Frame3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agreement entered into by such individual on October 24, 2023 terminates pursuant to its terms, subject to each NEO’s continuous service until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agreement entered into by such individual on October 24, 2023 terminates pursuant to its terms, subject to each NEO’s continuous service until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67" name="Frame3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956310" cy="233680"/>
                <wp:effectExtent l="0" t="0" r="0" b="0"/>
                <wp:wrapNone/>
                <wp:docPr id="2768" name="Frame3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3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applicable vesting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3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applicable vesting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769" name="Frame3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In general, these Accelsius SARs will be automatically exercised upon the earliest to occur of: (i) the 24-month anniversary of the grant date, (ii)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In general, these Accelsius SARs will be automatically exercised upon the earliest to occur of: (i) the 24-month anniversary of the grant date, (ii)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70" name="Frame3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4192905" cy="233680"/>
                <wp:effectExtent l="0" t="0" r="0" b="0"/>
                <wp:wrapNone/>
                <wp:docPr id="2771" name="Frame3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290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participant’s death, or (iii) the participant’s “disability” (as defined in the applicable award agreement).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0.1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participant’s death, or (iii) the participant’s “disability” (as defined in the applicable award agreement).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72" name="Frame3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On December 11, 2024, Refinity Holdings granted to each NEO 109,000 Refinity Incentive Units, with a Refinity Distribution Threshold of $0.00.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On December 11, 2024, Refinity Holdings granted to each NEO 109,000 Refinity Incentive Units, with a Refinity Distribution Threshold of $0.00.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73" name="Frame3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74" name="Frame3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Such Refinity Incentive Units will vest over a three-year period, with 25% vesting on the one-year anniversary of the grant date and 9.375% vesting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Such Refinity Incentive Units will vest over a three-year period, with 25% vesting on the one-year anniversary of the grant date and 9.375% vesting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75" name="Frame3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Additional Narrative Disclosure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Tax Qualified Retirement Plan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Severance and Change in Control Compensation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46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776" name="Frame3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Employees of Management Services, Accelsius and Refinity Holdings are eligible to participate in a tax-qualified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Employees of Management Services, Accelsius and Refinity Holdings are eligible to participate in a tax-qualified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77" name="Frame3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778" name="Frame3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retirement savings plan (the “401(k) Plan”), under which participating employees may contribute up to 99% of their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retirement savings plan (the “401(k) Plan”), under which participating employees may contribute up to 99% of their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79" name="Frame3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780" name="Frame3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eligible compensation into their 401(k) Plan accounts, subject to applicable limits under the U.S. Internal Revenue Code.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eligible compensation into their 401(k) Plan accounts, subject to applicable limits under the U.S. Internal Revenue Code.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81" name="Frame3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28900" cy="293370"/>
                <wp:effectExtent l="0" t="0" r="0" b="0"/>
                <wp:wrapNone/>
                <wp:docPr id="2782" name="Frame3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Haskell participated in the 401(k) Plan in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Haskell participated in the 401(k) Plan in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783" name="Frame3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did not offer a defined benefit pension plan or nonqualified deferred compensation plan for its NEOs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did not offer a defined benefit pension plan or nonqualified deferred compensation plan for its NEOs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84" name="Frame3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48970" cy="293370"/>
                <wp:effectExtent l="0" t="0" r="0" b="0"/>
                <wp:wrapNone/>
                <wp:docPr id="2785" name="Frame3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Severance Under NEO Arrangements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Innventure Equity Compensation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4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786" name="Frame3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None of the agreements or offer letters with the NEOs provide for severance compensation in the event of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None of the agreements or offer letters with the NEOs provide for severance compensation in the event of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87" name="Frame3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19860" cy="293370"/>
                <wp:effectExtent l="0" t="0" r="0" b="0"/>
                <wp:wrapNone/>
                <wp:docPr id="2788" name="Frame3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8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termination of employment.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termination of employment.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Treatment of Incentive Units Upon a Termination of Employment or Engagement</w:t>
      </w:r>
      <w:r>
        <mc:AlternateContent>
          <mc:Choice Requires="wps">
            <w:drawing>
              <wp:anchor behindDoc="0" distT="0" distB="0" distL="0" distR="0" simplePos="0" locked="0" layoutInCell="1" allowOverlap="1" relativeHeight="350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40105" cy="146685"/>
                <wp:effectExtent l="0" t="0" r="0" b="0"/>
                <wp:wrapNone/>
                <wp:docPr id="2789" name="Frame3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1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Accelsius SARs.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1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Accelsius SARs.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0" name="Frame3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791" name="Frame3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purposes of the applicable equity awards) and a replacement award is not provided, the option will vest in full. If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purposes of the applicable equity awards) and a replacement award is not provided, the option will vest in full. If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2" name="Frame3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793" name="Frame3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replacement award is provided and, at any point within two years following a “change in control,” the employment of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replacement award is provided and, at any point within two years following a “change in control,” the employment of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4" name="Frame3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795" name="Frame3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NEO is terminated by the Company (or its successor) without “cause” or by the NEO for “good reason,” the replacement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NEO is terminated by the Company (or its successor) without “cause” or by the NEO for “good reason,” the replacement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6" name="Frame3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44905" cy="293370"/>
                <wp:effectExtent l="0" t="0" r="0" b="0"/>
                <wp:wrapNone/>
                <wp:docPr id="2797" name="Frame3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9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will vest in full.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will vest in full.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798" name="Frame3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vest in full upon termination. If an NEO remains employed through the date of a “change in control” (as defined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vest in full upon termination. If an NEO remains employed through the date of a “change in control” (as defined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1">
                <wp:simplePos x="0" y="0"/>
                <wp:positionH relativeFrom="page">
                  <wp:posOffset>2040255</wp:posOffset>
                </wp:positionH>
                <wp:positionV relativeFrom="line">
                  <wp:posOffset>635</wp:posOffset>
                </wp:positionV>
                <wp:extent cx="4988560" cy="146685"/>
                <wp:effectExtent l="0" t="0" r="0" b="0"/>
                <wp:wrapNone/>
                <wp:docPr id="2799" name="Frame3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85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Accelsius SARs granted in December 2024 were fully vested upon grant and will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2.8pt;height:11.55pt;mso-wrap-distance-left:0pt;mso-wrap-distance-right:0pt;mso-wrap-distance-top:0pt;mso-wrap-distance-bottom:0pt;margin-top:0pt;mso-position-vertical:top;mso-position-vertical-relative:text;margin-left:160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Accelsius SARs granted in December 2024 were fully vested upon grant and will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00" name="Frame3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01" name="Frame3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automatically exercised upon the earliest to occur of: (i) the 24-month anniversary of the Date of Grant (as defined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automatically exercised upon the earliest to occur of: (i) the 24-month anniversary of the Date of Grant (as defined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02" name="Frame3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03" name="Frame3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applicable award agreement), (ii) the participant’s death, or (iii) the participant’s disability (as defined in the 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applicable award agreement), (ii) the participant’s death, or (iii) the participant’s disability (as defined in the 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04" name="Frame3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44245" cy="293370"/>
                <wp:effectExtent l="0" t="0" r="0" b="0"/>
                <wp:wrapNone/>
                <wp:docPr id="2805" name="Frame3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2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agreement).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agreement).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806" name="Frame3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general, RSUs, stock options and Accelsius SARs granted under the 2024 Plan are eligible to vest or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general, RSUs, stock options and Accelsius SARs granted under the 2024 Plan are eligible to vest or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07" name="Frame3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9">
                <wp:simplePos x="0" y="0"/>
                <wp:positionH relativeFrom="page">
                  <wp:posOffset>1940560</wp:posOffset>
                </wp:positionH>
                <wp:positionV relativeFrom="line">
                  <wp:posOffset>635</wp:posOffset>
                </wp:positionV>
                <wp:extent cx="5088255" cy="146685"/>
                <wp:effectExtent l="0" t="0" r="0" b="0"/>
                <wp:wrapNone/>
                <wp:docPr id="2808" name="Frame3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82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an NEO’s employment is terminated due to death or disability, the unvested portion of the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0.65pt;height:11.55pt;mso-wrap-distance-left:0pt;mso-wrap-distance-right:0pt;mso-wrap-distance-top:0pt;mso-wrap-distance-bottom:0pt;margin-top:0pt;mso-position-vertical:top;mso-position-vertical-relative:text;margin-left:15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an NEO’s employment is terminated due to death or disability, the unvested portion of the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740410" cy="293370"/>
                <wp:effectExtent l="0" t="0" r="0" b="0"/>
                <wp:wrapNone/>
                <wp:docPr id="2809" name="Frame3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Options.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3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Options.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56580" cy="293370"/>
                <wp:effectExtent l="0" t="0" r="0" b="0"/>
                <wp:wrapNone/>
                <wp:docPr id="2810" name="Frame3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65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successor) without “cause” or by the NEO for “good reason,” unvested RSUs held by the NEO will vest in full.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5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successor) without “cause” or by the NEO for “good reason,” unvested RSUs held by the NEO will vest in full.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1" name="Frame3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12" name="Frame3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twelve months following a “change in control,” the employment of an NEO is terminated by the Company (or 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twelve months following a “change in control,” the employment of an NEO is terminated by the Company (or 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3" name="Frame3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814" name="Frame3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replacement award is not provided, the RSUs will vest in full. If a replacement award is provided and, at any point within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replacement award is not provided, the RSUs will vest in full. If a replacement award is provided and, at any point within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5" name="Frame3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16" name="Frame3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remains employed through the date of a “change in control” (as defined for purposes of the applicable equity awards) and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remains employed through the date of a “change in control” (as defined for purposes of the applicable equity awards) and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7" name="Frame3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9">
                <wp:simplePos x="0" y="0"/>
                <wp:positionH relativeFrom="page">
                  <wp:posOffset>1513840</wp:posOffset>
                </wp:positionH>
                <wp:positionV relativeFrom="line">
                  <wp:posOffset>635</wp:posOffset>
                </wp:positionV>
                <wp:extent cx="5513070" cy="146685"/>
                <wp:effectExtent l="0" t="0" r="0" b="0"/>
                <wp:wrapNone/>
                <wp:docPr id="2818" name="Frame3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30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an NEO’s employment is terminated due to death or disability, the RSUs will vest in full. If an NEO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4.1pt;height:11.55pt;mso-wrap-distance-left:0pt;mso-wrap-distance-right:0pt;mso-wrap-distance-top:0pt;mso-wrap-distance-bottom:0pt;margin-top:0pt;mso-position-vertical:top;mso-position-vertical-relative:text;margin-left:11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an NEO’s employment is terminated due to death or disability, the RSUs will vest in full. If an NEO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13690" cy="293370"/>
                <wp:effectExtent l="0" t="0" r="0" b="0"/>
                <wp:wrapNone/>
                <wp:docPr id="2819" name="Frame3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RSUs.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RSUs.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68265" cy="293370"/>
                <wp:effectExtent l="0" t="0" r="0" b="0"/>
                <wp:wrapNone/>
                <wp:docPr id="2820" name="Frame3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2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automatically exercised as follows in the event of certain termination and change in control scenarios.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6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automatically exercised as follows in the event of certain termination and change in control scenarios.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1" name="Frame3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38</w:t>
      </w:r>
      <w:r>
        <mc:AlternateContent>
          <mc:Choice Requires="wps">
            <w:drawing>
              <wp:anchor behindDoc="0" distT="0" distB="0" distL="0" distR="0" simplePos="0" locked="0" layoutInCell="1" allowOverlap="1" relativeHeight="35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10305" cy="293370"/>
                <wp:effectExtent l="0" t="0" r="0" b="0"/>
                <wp:wrapNone/>
                <wp:docPr id="2822" name="Frame3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0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repurchased (or could have been repurchased) for their fair market value.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2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repurchased (or could have been repurchased) for their fair market value.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75255" cy="293370"/>
                <wp:effectExtent l="0" t="0" r="0" b="0"/>
                <wp:wrapNone/>
                <wp:docPr id="2823" name="Frame3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may be redeemed by Refinity Holdings for $0.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0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may be redeemed by Refinity Holdings for $0.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4" name="Frame3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25" name="Frame3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cause (as defined in the Refinity Holdings, LLC PI Unit Incentive Plan), such vested and unvested Refinity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cause (as defined in the Refinity Holdings, LLC PI Unit Incentive Plan), such vested and unvested Refinity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6" name="Frame3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27" name="Frame3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agreements pursuant to which Refinity Incentive Units are granted), except that if the termination is by Refinity Holdings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agreements pursuant to which Refinity Incentive Units are granted), except that if the termination is by Refinity Holdings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8" name="Frame3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29" name="Frame3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may redeem such NEO’s vested Refinity Incentive Units for their fair market value (as defined in the applicable 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may redeem such NEO’s vested Refinity Incentive Units for their fair market value (as defined in the applicable 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0" name="Frame3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831" name="Frame3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Refinity Incentive Units, if an NEO’s employment or service is terminated, then Refinity Holdings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Refinity Incentive Units, if an NEO’s employment or service is terminated, then Refinity Holdings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13555" cy="293370"/>
                <wp:effectExtent l="0" t="0" r="0" b="0"/>
                <wp:wrapNone/>
                <wp:docPr id="2832" name="Frame3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35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 and were cancelled in exchange for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 and were cancelled in exchange for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3" name="Frame3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293370"/>
                <wp:effectExtent l="0" t="0" r="0" b="0"/>
                <wp:wrapNone/>
                <wp:docPr id="2834" name="Frame3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described above, Innventure Incentive Units held by the NEOs vested (to the extent unvested) at the time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described above, Innventure Incentive Units held by the NEOs vested (to the extent unvested) at the time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835" name="Frame3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Innventure Incentive Units (when they were outstanding) and Accelsius Incentive Units, if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Innventure Incentive Units (when they were outstanding) and Accelsius Incentive Units, if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6" name="Frame3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37" name="Frame3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applicable award agreements pursuant to which Incentive Units were granted), such vested Incentive Units may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applicable award agreements pursuant to which Incentive Units were granted), such vested Incentive Units may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8" name="Frame3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39" name="Frame3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 (or was) voluntary on the part of the NEO or by Innventure or Accelsius, as applicable, for cause (as defined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 (or was) voluntary on the part of the NEO or by Innventure or Accelsius, as applicable, for cause (as defined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0" name="Frame3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41" name="Frame3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defined in the applicable award agreements pursuant to which Incentive Units were granted), except that if the termination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defined in the applicable award agreements pursuant to which Incentive Units were granted), except that if the termination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2" name="Frame3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43" name="Frame3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could have repurchased) such NEO’s vested Incentive Units for the greater of the book value or fair market value (each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could have repurchased) such NEO’s vested Incentive Units for the greater of the book value or fair market value (each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4" name="Frame3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45" name="Frame3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NEO’s employment or engagement is (or was) terminated, then Innventure or Accelsius, as applicable, may repurchase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NEO’s employment or engagement is (or was) terminated, then Innventure or Accelsius, as applicable, may repurchase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6" name="Frame3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Treatment of Accelsius Incentive Units and Refinity Incentive Units upon a Change in Control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Director Compensation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53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847" name="Frame3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Accelsius Incentive Units and Refinity Incentive Units if Accelsius or Refinity Holdings,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Accelsius Incentive Units and Refinity Incentive Units if Accelsius or Refinity Holdings,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8" name="Frame3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49" name="Frame3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respectively, experiences a change in control (as defined in the applicable award agreement pursuant to which the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respectively, experiences a change in control (as defined in the applicable award agreement pursuant to which the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0" name="Frame3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51" name="Frame3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were granted), 100% of such Accelsius Incentive Units or Refinity Incentive Units, as applicable, to the extent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were granted), 100% of such Accelsius Incentive Units or Refinity Incentive Units, as applicable, to the extent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2" name="Frame3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39495" cy="293370"/>
                <wp:effectExtent l="0" t="0" r="0" b="0"/>
                <wp:wrapNone/>
                <wp:docPr id="2853" name="Frame3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94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yet vested, will vest.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yet vested, will vest.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Non-Management Director Compensation Policy</w:t>
      </w:r>
      <w:r>
        <mc:AlternateContent>
          <mc:Choice Requires="wps">
            <w:drawing>
              <wp:anchor behindDoc="0" distT="0" distB="0" distL="0" distR="0" simplePos="0" locked="0" layoutInCell="1" allowOverlap="1" relativeHeight="354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854" name="Frame3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Bill Haskell, David Yablunosky, Mike Otworth, Suzanne Niemeyer, James Donnally, Bruce Brown, Elizabeth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Bill Haskell, David Yablunosky, Mike Otworth, Suzanne Niemeyer, James Donnally, Bruce Brown, Elizabeth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5" name="Frame3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48960" cy="293370"/>
                <wp:effectExtent l="0" t="0" r="0" b="0"/>
                <wp:wrapNone/>
                <wp:docPr id="2856" name="Frame3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8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Williams, Daniel Hennessy, and Michael Amalfitano served on the Innventure Board of Directors during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Williams, Daniel Hennessy, and Michael Amalfitano served on the Innventure Board of Directors during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39</w:t>
      </w:r>
      <w:r>
        <mc:AlternateContent>
          <mc:Choice Requires="wps">
            <w:drawing>
              <wp:anchor behindDoc="0" distT="0" distB="0" distL="0" distR="0" simplePos="0" locked="0" layoutInCell="1" allowOverlap="1" relativeHeight="35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7" name="Frame3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160" cy="146685"/>
                <wp:effectExtent l="0" t="0" r="0" b="0"/>
                <wp:wrapNone/>
                <wp:docPr id="2858" name="Frame3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1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our Board will receive an annual cash retainer fee of $20,000, paid in arrears on a quarterly basis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our Board will receive an annual cash retainer fee of $20,000, paid in arrears on a quarterly basis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9" name="Frame3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0">
                <wp:simplePos x="0" y="0"/>
                <wp:positionH relativeFrom="page">
                  <wp:posOffset>2475865</wp:posOffset>
                </wp:positionH>
                <wp:positionV relativeFrom="line">
                  <wp:posOffset>635</wp:posOffset>
                </wp:positionV>
                <wp:extent cx="4553585" cy="146685"/>
                <wp:effectExtent l="0" t="0" r="0" b="0"/>
                <wp:wrapNone/>
                <wp:docPr id="2860" name="Frame3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35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: Each non-management director who serves as the chairperson of a standing 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8.55pt;height:11.55pt;mso-wrap-distance-left:0pt;mso-wrap-distance-right:0pt;mso-wrap-distance-top:0pt;mso-wrap-distance-bottom:0pt;margin-top:0pt;mso-position-vertical:top;mso-position-vertical-relative:text;margin-left:19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: Each non-management director who serves as the chairperson of a standing 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047115" cy="293370"/>
                <wp:effectExtent l="0" t="0" r="0" b="0"/>
                <wp:wrapNone/>
                <wp:docPr id="2861" name="Frame3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1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retainers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4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retainers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862" name="Frame3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673100" cy="293370"/>
                <wp:effectExtent l="0" t="0" r="0" b="0"/>
                <wp:wrapNone/>
                <wp:docPr id="2863" name="Frame3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4" name="Frame3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865" name="Frame3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be prorated based on the number of days of service until the scheduled date of the next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be prorated based on the number of days of service until the scheduled date of the next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3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6" name="Frame3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867" name="Frame3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connection with an annual meeting of stockholders, such non-management director’s annual equity retainer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connection with an annual meeting of stockholders, such non-management director’s annual equity retainer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8" name="Frame3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2869" name="Frame3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our Board on such vesting date. If a non-management director is elected to our Board other than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our Board on such vesting date. If a non-management director is elected to our Board other than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0" name="Frame3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871" name="Frame3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that occurs following the grant date, subject to each non-management director providing service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that occurs following the grant date, subject to each non-management director providing service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2" name="Frame3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2873" name="Frame3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generally vest on the earlier of (i) the first anniversary of the grant date and (ii) the next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generally vest on the earlier of (i) the first anniversary of the grant date and (ii) the next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4" name="Frame3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04840" cy="293370"/>
                <wp:effectExtent l="0" t="0" r="0" b="0"/>
                <wp:wrapNone/>
                <wp:docPr id="2875" name="Frame3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48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who were also executives of Innventure did not receive additional compensation in 2024 for their Board 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9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who were also executives of Innventure did not receive additional compensation in 2024 for their Board 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6" name="Frame3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77" name="Frame3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2024. The following table sets forth the total compensation received by our non-management directors in 2024. Directors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2024. The following table sets forth the total compensation received by our non-management directors in 2024. Directors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8" name="Frame3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79" name="Frame3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of 20,000 Accelsius SARs, as more fully described in footnote 2 to the 2024 Director Compensation Table below,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of 20,000 Accelsius SARs, as more fully described in footnote 2 to the 2024 Director Compensation Table below,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0" name="Frame3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881" name="Frame3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addition to the compensation provided under the Director Compensation Plan, James Donnally was granted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addition to the compensation provided under the Director Compensation Plan, James Donnally was granted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852170" cy="293370"/>
                <wp:effectExtent l="0" t="0" r="0" b="0"/>
                <wp:wrapNone/>
                <wp:docPr id="2882" name="Frame3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calendar quarter.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calendar quarter.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3" name="Frame3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884" name="Frame3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basis and prorated in the event that such non-management director serves in such position for a portion of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basis and prorated in the event that such non-management director serves in such position for a portion of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5" name="Frame3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2886" name="Frame3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will receive an annual cash retainer fee of $10,000 for each committee, paid in arrears on a quarterly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will receive an annual cash retainer fee of $10,000 for each committee, paid in arrears on a quarterly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7" name="Frame3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2888" name="Frame3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quarter. Each non-management director who serves as a member, but not a chairperson, of a committee of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quarter. Each non-management director who serves as a member, but not a chairperson, of a committee of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9" name="Frame3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890" name="Frame3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prorated in the event that such non-management director serves in such position for a portion of any calendar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prorated in the event that such non-management director serves in such position for a portion of any calendar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34310" cy="293370"/>
                <wp:effectExtent l="0" t="0" r="0" b="0"/>
                <wp:wrapNone/>
                <wp:docPr id="2891" name="Frame3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3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cash retainers and equity awards under the 2024 Plan: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cash retainers and equity awards under the 2024 Plan: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92" name="Frame3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893" name="Frame3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Compensation Plan received RSUs with a targeted value of $90,000 on such date, in respect of their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Compensation Plan received RSUs with a targeted value of $90,000 on such date, in respect of their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94" name="Frame3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895" name="Frame3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 and who was still serving on our Board on the third business day following the effective date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 and who was still serving on our Board on the third business day following the effective date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96" name="Frame3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4">
                <wp:simplePos x="0" y="0"/>
                <wp:positionH relativeFrom="page">
                  <wp:posOffset>2465705</wp:posOffset>
                </wp:positionH>
                <wp:positionV relativeFrom="line">
                  <wp:posOffset>635</wp:posOffset>
                </wp:positionV>
                <wp:extent cx="4563110" cy="146685"/>
                <wp:effectExtent l="0" t="0" r="0" b="0"/>
                <wp:wrapNone/>
                <wp:docPr id="2897" name="Frame3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31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: Each non-management director that became a member of our Board as of October 2,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3pt;height:11.55pt;mso-wrap-distance-left:0pt;mso-wrap-distance-right:0pt;mso-wrap-distance-top:0pt;mso-wrap-distance-bottom:0pt;margin-top:0pt;mso-position-vertical:top;mso-position-vertical-relative:text;margin-left:19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: Each non-management director that became a member of our Board as of October 2,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036955" cy="146685"/>
                <wp:effectExtent l="0" t="0" r="0" b="0"/>
                <wp:wrapNone/>
                <wp:docPr id="2898" name="Frame3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9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Initial Equity Grant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6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Initial Equity Grant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899" name="Frame3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900" name="Frame3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from the Closing and the date of the Company’s first annual meeting of stockholders. Such RSUs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from the Closing and the date of the Company’s first annual meeting of stockholders. Such RSUs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1" name="Frame3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902" name="Frame3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 generally administered by the Compensation Committee. The Director Compensation Plan provides for the following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 generally administered by the Compensation Committee. The Director Compensation Plan provides for the following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3" name="Frame3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904" name="Frame3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individuals to serve on our Board and align their interests with those of our stockholders. The Director Compensation Plan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individuals to serve on our Board and align their interests with those of our stockholders. The Director Compensation Plan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5" name="Frame3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75260"/>
                <wp:effectExtent l="0" t="0" r="0" b="0"/>
                <wp:wrapNone/>
                <wp:docPr id="2906" name="Frame3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Compensation Plan”). The Director Compensation Plan is intended to allow us to attract and retain qualified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Compensation Plan”). The Director Compensation Plan is intended to allow us to attract and retain qualified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7" name="Frame3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908" name="Frame3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2024, our Board of Directors adopted the Innventure, Inc. Non-Management Director Compensation Plan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2024, our Board of Directors adopted the Innventure, Inc. Non-Management Director Compensation Plan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9" name="Frame3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910" name="Frame3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generally vest on the date of this year’s Annual Meeting, subject to each non-management director providing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generally vest on the date of this year’s Annual Meeting, subject to each non-management director providing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11" name="Frame3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026920" cy="293370"/>
                <wp:effectExtent l="0" t="0" r="0" b="0"/>
                <wp:wrapNone/>
                <wp:docPr id="2912" name="Frame3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on our Board through such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.6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on our Board through such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13" name="Frame3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221105" cy="146685"/>
                <wp:effectExtent l="0" t="0" r="0" b="0"/>
                <wp:wrapNone/>
                <wp:docPr id="2914" name="Frame3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11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Quarterly cash retainer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1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Quarterly cash retainer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7">
                <wp:simplePos x="0" y="0"/>
                <wp:positionH relativeFrom="page">
                  <wp:posOffset>2649855</wp:posOffset>
                </wp:positionH>
                <wp:positionV relativeFrom="line">
                  <wp:posOffset>635</wp:posOffset>
                </wp:positionV>
                <wp:extent cx="4378325" cy="146685"/>
                <wp:effectExtent l="0" t="0" r="0" b="0"/>
                <wp:wrapNone/>
                <wp:docPr id="2915" name="Frame3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3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: Each non-management director will receive an annual cash retainer fee of $80,000,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4.75pt;height:11.55pt;mso-wrap-distance-left:0pt;mso-wrap-distance-right:0pt;mso-wrap-distance-top:0pt;mso-wrap-distance-bottom:0pt;margin-top:0pt;mso-position-vertical:top;mso-position-vertical-relative:text;margin-left:20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: Each non-management director will receive an annual cash retainer fee of $80,000,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16" name="Frame3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2917" name="Frame3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paid in arrears on a quarterly basis. The annual cash retainer fee will be prorated in the event that a 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paid in arrears on a quarterly basis. The annual cash retainer fee will be prorated in the event that a 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027805" cy="293370"/>
                <wp:effectExtent l="0" t="0" r="0" b="0"/>
                <wp:wrapNone/>
                <wp:docPr id="2918" name="Frame3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78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management director serves on our Board for a portion of any calendar quarter.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1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management director serves on our Board for a portion of any calendar quarter.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19" name="Frame3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156970" cy="293370"/>
                <wp:effectExtent l="0" t="0" r="0" b="0"/>
                <wp:wrapNone/>
                <wp:docPr id="2920" name="Frame3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6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equity retainer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equity retainer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3">
                <wp:simplePos x="0" y="0"/>
                <wp:positionH relativeFrom="page">
                  <wp:posOffset>2585720</wp:posOffset>
                </wp:positionH>
                <wp:positionV relativeFrom="line">
                  <wp:posOffset>635</wp:posOffset>
                </wp:positionV>
                <wp:extent cx="4443730" cy="146685"/>
                <wp:effectExtent l="0" t="0" r="0" b="0"/>
                <wp:wrapNone/>
                <wp:docPr id="2921" name="Frame3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37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: On the date of each of our regularly scheduled annual meetings of stockholders,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9pt;height:11.55pt;mso-wrap-distance-left:0pt;mso-wrap-distance-right:0pt;mso-wrap-distance-top:0pt;mso-wrap-distance-bottom:0pt;margin-top:0pt;mso-position-vertical:top;mso-position-vertical-relative:text;margin-left:20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: On the date of each of our regularly scheduled annual meetings of stockholders,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22" name="Frame3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923" name="Frame3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non-management director will receive a grant of RSUs with a targeted value of $120,000, which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non-management director will receive a grant of RSUs with a targeted value of $120,000, which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2024 Director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40</w:t>
      </w:r>
      <w:r>
        <mc:AlternateContent>
          <mc:Choice Requires="wps">
            <w:drawing>
              <wp:anchor behindDoc="0" distT="0" distB="0" distL="0" distR="0" simplePos="0" locked="0" layoutInCell="1" allowOverlap="1" relativeHeight="362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2924" name="Frame3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Annual Report, filed with the SEC on April 14, 2025.  The Accelsius SARs were granted by Innventure and are settled in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Annual Report, filed with the SEC on April 14, 2025.  The Accelsius SARs were granted by Innventure and are settled in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078230" cy="262890"/>
                <wp:effectExtent l="0" t="0" r="0" b="0"/>
                <wp:wrapNone/>
                <wp:docPr id="2925" name="Frame3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respect of prior 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9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respect of prior 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26" name="Frame3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27" name="Frame3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Stock. As of December 31, 2024, Mr. Donnally held 20,000 Accelsius SARs.  Mr. Donnally was granted these Accelsius SARs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Stock. As of December 31, 2024, Mr. Donnally held 20,000 Accelsius SARs.  Mr. Donnally was granted these Accelsius SARs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28" name="Frame3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29" name="Frame3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agreement). The Compensation Committee may, in its discretion, determine that Mr. Donnally will receive cash instead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agreement). The Compensation Committee may, in its discretion, determine that Mr. Donnally will receive cash instead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0" name="Frame3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2931" name="Frame3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anniversary of the grant date, (ii) Mr. Donnally’s death, or (iii) Mr. Donnally’s “disability” (as defined in the applicable 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anniversary of the grant date, (ii) Mr. Donnally’s death, or (iii) Mr. Donnally’s “disability” (as defined in the applicable 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2" name="Frame3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2933" name="Frame3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price of $12.175. In general, these Accelsius SARs will be automatically exercised upon the earliest to occur of: (i) the 24-month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price of $12.175. In general, these Accelsius SARs will be automatically exercised upon the earliest to occur of: (i) the 24-month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4" name="Frame3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2935" name="Frame3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Common Stock, the value of which is determined based on the increase in value of Class A Common Units of Accelsius over a base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Common Stock, the value of which is determined based on the increase in value of Class A Common Units of Accelsius over a base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6" name="Frame3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937" name="Frame3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8" name="Frame3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2939" name="Frame3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regarding assumptions used in calculating these values, see Note 14 to the consolidated financial statements included in our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regarding assumptions used in calculating these values, see Note 14 to the consolidated financial statements included in our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40" name="Frame3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41" name="Frame3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Reflects the grant date fair value of the Accelsius SARs, calculated in accordance with FASB ASC Topic 718.  For information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Reflects the grant date fair value of the Accelsius SARs, calculated in accordance with FASB ASC Topic 718.  For information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8">
                <wp:simplePos x="0" y="0"/>
                <wp:positionH relativeFrom="page">
                  <wp:posOffset>6447790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42" name="Frame3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0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476240" cy="262890"/>
                <wp:effectExtent l="0" t="0" r="0" b="0"/>
                <wp:wrapNone/>
                <wp:docPr id="2943" name="Frame3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2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outstanding stock awards: each of Messrs. Donnally, Brown, Hennessy and Amalfitano and Ms. Williams, 7,377 RSUs.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2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outstanding stock awards: each of Messrs. Donnally, Brown, Hennessy and Amalfitano and Ms. Williams, 7,377 RSUs.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44" name="Frame3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45" name="Frame3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Annual Report, filed with the SEC on April 14, 2025. As of December 31, 2024, the non-management directors held the following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Annual Report, filed with the SEC on April 14, 2025. As of December 31, 2024, the non-management directors held the following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46" name="Frame3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2947" name="Frame3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regarding assumptions used in calculating these values, see Note 14 to the consolidated financial statements included in our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regarding assumptions used in calculating these values, see Note 14 to the consolidated financial statements included in our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48" name="Frame3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49" name="Frame3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Reflects the grant date fair value of the RSU awards, calculated in accordance with FASB ASC Topic 718. For information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Reflects the grant date fair value of the RSU awards, calculated in accordance with FASB ASC Topic 718. For information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STOCK OWNERSHIP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Stock Ownership of Major Stockholders, Executive Officers and Directors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41</w:t>
      </w:r>
      <w:r>
        <mc:AlternateContent>
          <mc:Choice Requires="wps">
            <w:drawing>
              <wp:anchor behindDoc="0" distT="0" distB="0" distL="0" distR="0" simplePos="0" locked="0" layoutInCell="1" allowOverlap="1" relativeHeight="36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950" name="Frame3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following the Closing (the “Vesting Period”) in excess of $15,000 in revenue (“Milestone One”) or (ii) AeroFlexx having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following the Closing (the “Vesting Period”) in excess of $15,000 in revenue (“Milestone One”) or (ii) AeroFlexx having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951" name="Frame3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is based on 53,487,294 shares of Common Stock outstanding as of April 25, 2025.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is based on 53,487,294 shares of Common Stock outstanding as of April 25, 2025.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2" name="Frame3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53" name="Frame3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addition, the beneficial ownership presented below does not include Company Earnout Shares that the holders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addition, the beneficial ownership presented below does not include Company Earnout Shares that the holders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4" name="Frame3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955" name="Frame3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LLC’s outstanding equity and profits interests and warrants, other than the Class PCTA Units and the Class I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LLC’s outstanding equity and profits interests and warrants, other than the Class PCTA Units and the Class I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6" name="Frame3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57" name="Frame3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(such holders, the “Innventure Members”), have the right to receive upon (i) Accelsius having entered into binding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(such holders, the “Innventure Members”), have the right to receive upon (i) Accelsius having entered into binding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8" name="Frame3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959" name="Frame3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contracts providing for revenue for the Company (as defined in the Business Combination Agreement) within 7 years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contracts providing for revenue for the Company (as defined in the Business Combination Agreement) within 7 years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60" name="Frame3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02860" cy="293370"/>
                <wp:effectExtent l="0" t="0" r="0" b="0"/>
                <wp:wrapNone/>
                <wp:docPr id="2961" name="Frame3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28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other person shown in the table. Fractional shares have been rounded to the nearest whole 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1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other person shown in the table. Fractional shares have been rounded to the nearest whole 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62" name="Frame3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65625" cy="293370"/>
                <wp:effectExtent l="0" t="0" r="0" b="0"/>
                <wp:wrapNone/>
                <wp:docPr id="2963" name="Frame3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56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received in excess of $15,000 revenue within the Vesting Period (“Milestone Three”).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received in excess of $15,000 revenue within the Vesting Period (“Milestone Three”).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964" name="Frame3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Unless otherwise indicated by footnote, (i) the Company believes that all persons named in the table below 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Unless otherwise indicated by footnote, (i) the Company believes that all persons named in the table below 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65" name="Frame3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66" name="Frame3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sole voting and investment power with respect to all shares of Common Stock beneficially owned by them and (ii)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sole voting and investment power with respect to all shares of Common Stock beneficially owned by them and (ii)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67" name="Frame3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11775" cy="293370"/>
                <wp:effectExtent l="0" t="0" r="0" b="0"/>
                <wp:wrapNone/>
                <wp:docPr id="2968" name="Frame3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17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address of each person is c/o Innventure Inc., 6900 Tavistock Lakes Blvd, Suite 400 Orlando, FL 32827.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8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address of each person is c/o Innventure Inc., 6900 Tavistock Lakes Blvd, Suite 400 Orlando, FL 32827.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969" name="Frame3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" cy="131445"/>
                <wp:effectExtent l="0" t="0" r="0" b="0"/>
                <wp:wrapNone/>
                <wp:docPr id="2970" name="Frame3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77215" cy="262890"/>
                <wp:effectExtent l="0" t="0" r="0" b="0"/>
                <wp:wrapNone/>
                <wp:docPr id="2971" name="Frame3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less than 1%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4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less than 1%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972" name="Frame3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beneficial ownership of a security if he, she or it possesses sole or shared voting or investment power over that security,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beneficial ownership of a security if he, she or it possesses sole or shared voting or investment power over that security,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73" name="Frame3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115945" cy="293370"/>
                <wp:effectExtent l="0" t="0" r="0" b="0"/>
                <wp:wrapNone/>
                <wp:docPr id="2974" name="Frame3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of April 24, 2025 (except as otherwise set forth below) 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5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of April 24, 2025 (except as otherwise set forth below) 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75" name="Frame3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684395" cy="293370"/>
                <wp:effectExtent l="0" t="0" r="0" b="0"/>
                <wp:wrapNone/>
                <wp:docPr id="2976" name="Frame3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43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person known to us to be the beneficial owner of more than 5% of our Common Stock;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8.8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person known to us to be the beneficial owner of more than 5% of our Common Stock;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77" name="Frame3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853565" cy="293370"/>
                <wp:effectExtent l="0" t="0" r="0" b="0"/>
                <wp:wrapNone/>
                <wp:docPr id="2978" name="Frame3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35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of our NEOs and directors;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.9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of our NEOs and directors;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79" name="Frame3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7795" cy="293370"/>
                <wp:effectExtent l="0" t="0" r="0" b="0"/>
                <wp:wrapNone/>
                <wp:docPr id="2980" name="Frame3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77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all of our executive officers and directors as a group.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0.8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all of our executive officers and directors as a group.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981" name="Frame3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Beneficial ownership is determined according to the rules of the SEC, which generally provide that a person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Beneficial ownership is determined according to the rules of the SEC, which generally provide that a person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2" name="Frame3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983" name="Frame3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sets forth information known to us regarding the beneficial ownership of our Common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sets forth information known to us regarding the beneficial ownership of our Common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4" name="Frame3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985" name="Frame3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including options and warrants that are currently exercisable or exercisable within 60 days. Shares which an individual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including options and warrants that are currently exercisable or exercisable within 60 days. Shares which an individual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6" name="Frame3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987" name="Frame3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group has a right to acquire within 60 days pursuant to the exercise or conversion of options, warrants or other similar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group has a right to acquire within 60 days pursuant to the exercise or conversion of options, warrants or other similar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8" name="Frame3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989" name="Frame3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or derivative securities are deemed to be outstanding for the purpose of computing the percentage ownership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or derivative securities are deemed to be outstanding for the purpose of computing the percentage ownership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90" name="Frame3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91" name="Frame3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individual or group, but are not deemed to be outstanding for the purpose of computing the percentage ownership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individual or group, but are not deemed to be outstanding for the purpose of computing the percentage ownership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92" name="Frame3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Securities Authorized for Issuance Under Equity Compensation Plans</w:t>
      </w:r>
      <w:r>
        <mc:AlternateContent>
          <mc:Choice Requires="wps">
            <w:drawing>
              <wp:anchor behindDoc="0" distT="0" distB="0" distL="0" distR="0" simplePos="0" locked="0" layoutInCell="1" allowOverlap="1" relativeHeight="372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2993" name="Frame3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into which the shares are convertible will fluctuate.  Voting and investment power over the shares held by Ascent is exercised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into which the shares are convertible will fluctuate.  Voting and investment power over the shares held by Ascent is exercised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610610" cy="262890"/>
                <wp:effectExtent l="0" t="0" r="0" b="0"/>
                <wp:wrapNone/>
                <wp:docPr id="2994" name="Frame3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61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WE-INN LLC is 233 N Michigan Avenue, Suite 1410 Chicago, Illinois 60601.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4.3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WE-INN LLC is 233 N Michigan Avenue, Suite 1410 Chicago, Illinois 60601.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8">
                <wp:simplePos x="0" y="0"/>
                <wp:positionH relativeFrom="page">
                  <wp:posOffset>4582160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95" name="Frame3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6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2996" name="Frame3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Ascent X Innventure TC, A Series of Ascent X Innventure, LP is a limited partnership (“Ascent”). Ascent holds 3,291,685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Ascent X Innventure TC, A Series of Ascent X Innventure, LP is a limited partnership (“Ascent”). Ascent holds 3,291,685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97" name="Frame3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2998" name="Frame3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Common Stock and 125,000 shares of Series C Preferred Stock.  As of April 24, 2025, if the registration statement registering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Common Stock and 125,000 shares of Series C Preferred Stock.  As of April 24, 2025, if the registration statement registering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99" name="Frame3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3000" name="Frame3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resale of the shares of Common Stock underlying the Series C Preferred Stock (the “Series C Preferred Stock Resale Registration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resale of the shares of Common Stock underlying the Series C Preferred Stock (the “Series C Preferred Stock Resale Registration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01" name="Frame3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02" name="Frame3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Statement”) were effective, these shares of Series C Preferred Stock would be convertible into 250,000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Statement”) were effective, these shares of Series C Preferred Stock would be convertible into 250,000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57150" cy="175260"/>
                <wp:effectExtent l="0" t="0" r="0" b="0"/>
                <wp:wrapNone/>
                <wp:docPr id="3003" name="Frame3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3004" name="Frame3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Because the conversion price of the Series C Preferred Stock is determined based on the greater of a fixed amount and the 10-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Because the conversion price of the Series C Preferred Stock is determined based on the greater of a fixed amount and the 10-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05" name="Frame3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trading day volume-weighted average Nasdaq official closing price of the Common Stock, the number of shares of Common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trading day volume-weighted average Nasdaq official closing price of the Common Stock, the number of shares of Common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06" name="Frame3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07" name="Frame3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08" name="Frame3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453380" cy="262890"/>
                <wp:effectExtent l="0" t="0" r="0" b="0"/>
                <wp:wrapNone/>
                <wp:docPr id="3009" name="Frame3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33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Jonathan Loeffler and Mark Pomeroy Jr. The address for Ascent is 5956 Sherry Lane, 20th Floor, Dallas, Texas 75225.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9.4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Jonathan Loeffler and Mark Pomeroy Jr. The address for Ascent is 5956 Sherry Lane, 20th Floor, Dallas, Texas 75225.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3010" name="Frame3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Based on information provided by CastleKnight Master Fund LP in a Schedule 13G ﬁled with the SEC on November 15, 2024.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Based on information provided by CastleKnight Master Fund LP in a Schedule 13G ﬁled with the SEC on November 15, 2024.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11" name="Frame3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12" name="Frame3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such Schedule 13G, CastleKnight Master Fund LP has shared voting power over all of such shares and shared dispositive power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such Schedule 13G, CastleKnight Master Fund LP has shared voting power over all of such shares and shared dispositive power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13" name="Frame3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14" name="Frame3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all of such shares. The principal business address of CastleKnight Master Fund LP is Maples Corporate Services Limited, P.O. Box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all of such shares. The principal business address of CastleKnight Master Fund LP is Maples Corporate Services Limited, P.O. Box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15" name="Frame3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944495" cy="262890"/>
                <wp:effectExtent l="0" t="0" r="0" b="0"/>
                <wp:wrapNone/>
                <wp:docPr id="3016" name="Frame3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309, Ugland House, Grand Cayman KY1-1104 Cayman Islands.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1.8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309, Ugland House, Grand Cayman KY1-1104 Cayman Islands.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804920" cy="262890"/>
                <wp:effectExtent l="0" t="0" r="0" b="0"/>
                <wp:wrapNone/>
                <wp:docPr id="3017" name="Frame3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492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The Glockner Family Venture Fund, LP holds 4,680,272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9.6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The Glockner Family Venture Fund, LP holds 4,680,272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46685"/>
                <wp:effectExtent l="0" t="0" r="0" b="0"/>
                <wp:wrapNone/>
                <wp:docPr id="3018" name="Frame3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Company’s “free float,” as determined by the Company in reliance upon the guidance issued by FTSE Russell,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Company’s “free float,” as determined by the Company in reliance upon the guidance issued by FTSE Russell,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19" name="Frame3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3">
                <wp:simplePos x="0" y="0"/>
                <wp:positionH relativeFrom="page">
                  <wp:posOffset>514350</wp:posOffset>
                </wp:positionH>
                <wp:positionV relativeFrom="line">
                  <wp:posOffset>635</wp:posOffset>
                </wp:positionV>
                <wp:extent cx="2600960" cy="293370"/>
                <wp:effectExtent l="0" t="0" r="0" b="0"/>
                <wp:wrapNone/>
                <wp:docPr id="3020" name="Frame3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exceeds 10% of the Company’s total voting power.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8pt;height:23.1pt;mso-wrap-distance-left:0pt;mso-wrap-distance-right:0pt;mso-wrap-distance-top:0pt;mso-wrap-distance-bottom:0pt;margin-top:0pt;mso-position-vertical:top;mso-position-vertical-relative:text;margin-left: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exceeds 10% of the Company’s total voting power.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21" name="Frame3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shares held by the Barbara G. Glockner Revocable Trust, each of which has three trustees, Timothy Glockner, James Donnally,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shares held by the Barbara G. Glockner Revocable Trust, each of which has three trustees, Timothy Glockner, James Donnally,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22" name="Frame3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23" name="Frame3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sole voting and investment power and (ii) 2,724,105 shares of Common Stock that may be deemed to be beneficially owned by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sole voting and investment power and (ii) 2,724,105 shares of Common Stock that may be deemed to be beneficially owned by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24" name="Frame3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25" name="Frame3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Donnally, which shares are held by certain trusts, including (a) 141,659 shares held by the Barbara G. Glockner Trust,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Donnally, which shares are held by certain trusts, including (a) 141,659 shares held by the Barbara G. Glockner Trust,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26" name="Frame3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262890"/>
                <wp:effectExtent l="0" t="0" r="0" b="0"/>
                <wp:wrapNone/>
                <wp:docPr id="3027" name="Frame3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benefit of Joseph C. Glockner; (b) 141,659 shares held by the Barbara G. Glockner Trust, for the benefit of Michael P. Glockner; 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benefit of Joseph C. Glockner; (b) 141,659 shares held by the Barbara G. Glockner Trust, for the benefit of Michael P. Glockner; 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28" name="Frame3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29" name="Frame3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141,659 shares held by the Barbara G. Glockner Trust, for the benefit of Timothy E. Glockner; (d) 747,834 shares held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141,659 shares held by the Barbara G. Glockner Trust, for the benefit of Timothy E. Glockner; (d) 747,834 shares held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0" name="Frame3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31" name="Frame3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Joseph C. Glockner Revocable Trust; (e) 747,834 shares held by Michael P. Glockner Revocable Trust; (f) 747,834 shares held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Joseph C. Glockner Revocable Trust; (e) 747,834 shares held by Michael P. Glockner Revocable Trust; (f) 747,834 shares held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2" name="Frame3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33" name="Frame3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the Timothy E. Glockner Revocable Trust; (g) 3,964 shares held by the Andrew M. Glockner Revocable Trust; and (h) 51,662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the Timothy E. Glockner Revocable Trust; (g) 3,964 shares held by the Andrew M. Glockner Revocable Trust; and (h) 51,662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4" name="Frame3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3035" name="Frame3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Consists of (i) 1,500,431 shares of Common Stock held by the James O. Donnally Revocable Trust over which Mr. Donnally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Consists of (i) 1,500,431 shares of Common Stock held by the James O. Donnally Revocable Trust over which Mr. Donnally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6" name="Frame3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37" name="Frame3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Theresa Laxton, Mr. Donnally’s spouse, with shared voting power. Timothy Glockner has a life estate interest in the Barbara 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Theresa Laxton, Mr. Donnally’s spouse, with shared voting power. Timothy Glockner has a life estate interest in the Barbara 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8" name="Frame3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3039" name="Frame3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Glockner Trust fbo Timothy E. Glockner. The beneficiaries of the Barbara G. Glockner Trust fbo Timothy E. Glockner are the issue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Glockner Trust fbo Timothy E. Glockner. The beneficiaries of the Barbara G. Glockner Trust fbo Timothy E. Glockner are the issue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40" name="Frame3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41" name="Frame3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of Timothy Glockner. The beneficiaries of the Barbara G. Glockner Trust fbo Joseph C. Glockner are the issue of Joseph 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of Timothy Glockner. The beneficiaries of the Barbara G. Glockner Trust fbo Joseph C. Glockner are the issue of Joseph C.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42" name="Frame3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695950" cy="262890"/>
                <wp:effectExtent l="0" t="0" r="0" b="0"/>
                <wp:wrapNone/>
                <wp:docPr id="3043" name="Frame3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Glockner. The beneficiaries of the Barbara G. Glockner Trust fbo Michael P. Glockner are the issue of Michael P. Glockner.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8.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Glockner. The beneficiaries of the Barbara G. Glockner Trust fbo Michael P. Glockner are the issue of Michael P. Glockner.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2">
                <wp:simplePos x="0" y="0"/>
                <wp:positionH relativeFrom="page">
                  <wp:posOffset>6667500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44" name="Frame3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548255" cy="262890"/>
                <wp:effectExtent l="0" t="0" r="0" b="0"/>
                <wp:wrapNone/>
                <wp:docPr id="3045" name="Frame3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25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Mr. Otworth holds 2,942,902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6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Mr. Otworth holds 2,942,902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383155" cy="262890"/>
                <wp:effectExtent l="0" t="0" r="0" b="0"/>
                <wp:wrapNone/>
                <wp:docPr id="3046" name="Frame3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15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Dr. Scott holds 2,081,653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6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Dr. Scott holds 2,081,653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47" name="Frame3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Greg Wasson and Kimberly Wasson share voting and investment power over the securities held by WE-INN LLC. The address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Greg Wasson and Kimberly Wasson share voting and investment power over the securities held by WE-INN LLC. The address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Equity Compensation Plan Information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42</w:t>
      </w:r>
      <w:r>
        <mc:AlternateContent>
          <mc:Choice Requires="wps">
            <w:drawing>
              <wp:anchor behindDoc="0" distT="0" distB="0" distL="0" distR="0" simplePos="0" locked="0" layoutInCell="1" allowOverlap="1" relativeHeight="374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48" name="Frame3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144520" cy="204470"/>
                <wp:effectExtent l="0" t="0" r="0" b="0"/>
                <wp:wrapNone/>
                <wp:docPr id="3049" name="Frame3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such smaller number of shares as determined by the Board of Directors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7.6pt;height:16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such smaller number of shares as determined by the Board of Directors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50" name="Frame3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02235"/>
                <wp:effectExtent l="0" t="0" r="0" b="0"/>
                <wp:wrapNone/>
                <wp:docPr id="3051" name="Frame3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by an amount equal to the lesser of (a) 3% of the shares of the Company’s Common Stock outstanding on the last day of the immediately preceding fiscal year and 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by an amount equal to the lesser of (a) 3% of the shares of the Company’s Common Stock outstanding on the last day of the immediately preceding fiscal year and 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2">
                <wp:simplePos x="0" y="0"/>
                <wp:positionH relativeFrom="page">
                  <wp:posOffset>7026275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52" name="Frame3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4725" cy="102235"/>
                <wp:effectExtent l="0" t="0" r="0" b="0"/>
                <wp:wrapNone/>
                <wp:docPr id="3053" name="Frame3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72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rights (such as restricted stock). In general, the aggregate share limit under the 2024 Plan will be automatically increased on the first day of each fiscal year, until 2034,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7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rights (such as restricted stock). In general, the aggregate share limit under the 2024 Plan will be automatically increased on the first day of each fiscal year, until 2034,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54" name="Frame3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02235"/>
                <wp:effectExtent l="0" t="0" r="0" b="0"/>
                <wp:wrapNone/>
                <wp:docPr id="3055" name="Frame3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As of December 31, 2024, consists of the shares available for future issuance under the 2024 Plan, all of which may be issued for awards other than options, warrants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As of December 31, 2024, consists of the shares available for future issuance under the 2024 Plan, all of which may be issued for awards other than options, warrants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154430" cy="204470"/>
                <wp:effectExtent l="0" t="0" r="0" b="0"/>
                <wp:wrapNone/>
                <wp:docPr id="3056" name="Frame3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4430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not reflected in this column (b)).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9pt;height:16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not reflected in this column (b)).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57" name="Frame3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02235"/>
                <wp:effectExtent l="0" t="0" r="0" b="0"/>
                <wp:wrapNone/>
                <wp:docPr id="3058" name="Frame3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calculation of the number of shares of Common Stock covered by the Accelsius SARs included in column (a) as described in footnote 1 (and for the foregoing reasons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calculation of the number of shares of Common Stock covered by the Accelsius SARs included in column (a) as described in footnote 1 (and for the foregoing reasons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3059" name="Frame3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02235"/>
                <wp:effectExtent l="0" t="0" r="0" b="0"/>
                <wp:wrapNone/>
                <wp:docPr id="3060" name="Frame3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have a base price of $12.175, but such base price relates to Class A Common Units of Accelsius, not shares of Common Stock, and is already accounted for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have a base price of $12.175, but such base price relates to Class A Common Units of Accelsius, not shares of Common Stock, and is already accounted for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61" name="Frame3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02235"/>
                <wp:effectExtent l="0" t="0" r="0" b="0"/>
                <wp:wrapNone/>
                <wp:docPr id="3062" name="Frame3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The weighted-average exercise price relates to outstanding stock options only. The Company’s restricted stock unit awards have no exercise price. The Accelsius SARs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The weighted-average exercise price relates to outstanding stock options only. The Company’s restricted stock unit awards have no exercise price. The Accelsius SARs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729355" cy="204470"/>
                <wp:effectExtent l="0" t="0" r="0" b="0"/>
                <wp:wrapNone/>
                <wp:docPr id="3063" name="Frame3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9355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spread and dividing it by the fair market value of a share of Common Stock all as of December 31,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65pt;height:16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spread and dividing it by the fair market value of a share of Common Stock all as of December 31,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64" name="Frame3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02235"/>
                <wp:effectExtent l="0" t="0" r="0" b="0"/>
                <wp:wrapNone/>
                <wp:docPr id="3065" name="Frame3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value, the “spread”). We calculated the number of shares of Common Stock covered by the Accelsius SARs for purposes of this column (a) by determining the aggregate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value, the “spread”). We calculated the number of shares of Common Stock covered by the Accelsius SARs for purposes of this column (a) by determining the aggregate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8">
                <wp:simplePos x="0" y="0"/>
                <wp:positionH relativeFrom="page">
                  <wp:posOffset>7026275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66" name="Frame3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4725" cy="102235"/>
                <wp:effectExtent l="0" t="0" r="0" b="0"/>
                <wp:wrapNone/>
                <wp:docPr id="3067" name="Frame3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72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shares of Common Stock with a value equal to the appreciation in the value of a Class A Common Unit of Accelsius over a base price of $12.175 (such appreciation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7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shares of Common Stock with a value equal to the appreciation in the value of a Class A Common Unit of Accelsius over a base price of $12.175 (such appreciation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68" name="Frame3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204470"/>
                <wp:effectExtent l="0" t="0" r="0" b="0"/>
                <wp:wrapNone/>
                <wp:docPr id="3069" name="Frame3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Reflects options, restricted stock units and Accelsius SARs outstanding under the 2024 Plan. Each Accelsius SAR represents the right of the holder to receive a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6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Reflects options, restricted stock units and Accelsius SARs outstanding under the 2024 Plan. Each Accelsius SAR represents the right of the holder to receive a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OTHER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Proxy Materials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Delivery of Proxy Materials to Households</w:t>
      </w:r>
      <w:r>
        <mc:AlternateContent>
          <mc:Choice Requires="wps">
            <w:drawing>
              <wp:anchor behindDoc="0" distT="0" distB="0" distL="0" distR="0" simplePos="0" locked="0" layoutInCell="1" allowOverlap="1" relativeHeight="376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3070" name="Frame3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may view online this Proxy Statement and related materials at www.proxyvote.com.  As described further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may view online this Proxy Statement and related materials at www.proxyvote.com.  As described further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786890" cy="293370"/>
                <wp:effectExtent l="0" t="0" r="0" b="0"/>
                <wp:wrapNone/>
                <wp:docPr id="3071" name="Frame3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8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investorrelations@innventure.com.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investorrelations@innventure.com.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2" name="Frame3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073" name="Frame3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Proxy Statement free of charge by visiting our website, www.innventure.com, or by writing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Proxy Statement free of charge by visiting our website, www.innventure.com, or by writing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4" name="Frame3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075" name="Frame3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copies of the proxy materials unless requested.  You may obtain a copy of our 2024 Annual Report on Form 10-K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copies of the proxy materials unless requested.  You may obtain a copy of our 2024 Annual Report on Form 10-K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6" name="Frame3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077" name="Frame3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above, stockholders will receive only a written notice of how to access our proxy materials and will not receive printed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above, stockholders will receive only a written notice of how to access our proxy materials and will not receive printed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8" name="Frame3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852930" cy="293370"/>
                <wp:effectExtent l="0" t="0" r="0" b="0"/>
                <wp:wrapNone/>
                <wp:docPr id="3079" name="Frame3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29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full set of our materials include: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.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full set of our materials include: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3">
                <wp:simplePos x="0" y="0"/>
                <wp:positionH relativeFrom="page">
                  <wp:posOffset>2698115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80" name="Frame3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1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269365" cy="293370"/>
                <wp:effectExtent l="0" t="0" r="0" b="0"/>
                <wp:wrapNone/>
                <wp:docPr id="3081" name="Frame3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3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2024 Annual Report.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9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2024 Annual Report.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082" name="Frame3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949450" cy="293370"/>
                <wp:effectExtent l="0" t="0" r="0" b="0"/>
                <wp:wrapNone/>
                <wp:docPr id="3083" name="Frame3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proxy or voting instruction card,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proxy or voting instruction card,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084" name="Frame3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452370" cy="293370"/>
                <wp:effectExtent l="0" t="0" r="0" b="0"/>
                <wp:wrapNone/>
                <wp:docPr id="3085" name="Frame3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2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Notice and Proxy Statement for the meeting,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Notice and Proxy Statement for the meeting,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086" name="Frame3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43</w:t>
      </w:r>
      <w:r>
        <mc:AlternateContent>
          <mc:Choice Requires="wps">
            <w:drawing>
              <wp:anchor behindDoc="0" distT="0" distB="0" distL="0" distR="0" simplePos="0" locked="0" layoutInCell="1" allowOverlap="1" relativeHeight="37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3087" name="Frame3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materials, you can request to receive a separate copy in the future by following the instructions sent by your bank or broker.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materials, you can request to receive a separate copy in the future by following the instructions sent by your bank or broker.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94020" cy="293370"/>
                <wp:effectExtent l="0" t="0" r="0" b="0"/>
                <wp:wrapNone/>
                <wp:docPr id="3088" name="Frame3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4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Requests for additional copies should be directed to us in writing using the contact information listed above.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Requests for additional copies should be directed to us in writing using the contact information listed above.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3089" name="Frame3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090" name="Frame3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(or Proxy Statement, as applicable) to any shareholder residing at an address to which only one copy was delivered.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(or Proxy Statement, as applicable) to any shareholder residing at an address to which only one copy was delivered.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91" name="Frame3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092" name="Frame3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also promptly deliver a separate copy of one Notice of Annual Meeting and Internet Availability of Proxy Materials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also promptly deliver a separate copy of one Notice of Annual Meeting and Internet Availability of Proxy Materials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93" name="Frame3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094" name="Frame3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Tavistock Lakes Blvd, Suite 400, Orlando, FL 32827, Attention:  Corporate Secretary, or by phone at (321) 209-6787.  We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Tavistock Lakes Blvd, Suite 400, Orlando, FL 32827, Attention:  Corporate Secretary, or by phone at (321) 209-6787.  We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95" name="Frame3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096" name="Frame3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sent by following the instructions sent by your bank or broker or by contacting us in writing at Innventure, Inc., 6900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sent by following the instructions sent by your bank or broker or by contacting us in writing at Innventure, Inc., 6900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9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97" name="Frame3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098" name="Frame3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household is receiving multiple copies of the proxy materials, you may request that only a single set of materials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household is receiving multiple copies of the proxy materials, you may request that only a single set of materials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3099" name="Frame3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3100" name="Frame3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residing in the same household who hold their stock through a bank or broker may receive only one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residing in the same household who hold their stock through a bank or broker may receive only one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1" name="Frame3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3102" name="Frame3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hold your shares in “street name” and reside in a household that received only one copy of the proxy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hold your shares in “street name” and reside in a household that received only one copy of the proxy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769745" cy="293370"/>
                <wp:effectExtent l="0" t="0" r="0" b="0"/>
                <wp:wrapNone/>
                <wp:docPr id="3103" name="Frame3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7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within the household.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9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within the household.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4" name="Frame3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105" name="Frame3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This practice will continue unless instructions to the contrary are received by your bank or broker from one or more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This practice will continue unless instructions to the contrary are received by your bank or broker from one or more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3106" name="Frame3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107" name="Frame3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sending only one copy of proxy materials is called “householding,” and saves us money in printing and distribution costs.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sending only one copy of proxy materials is called “householding,” and saves us money in printing and distribution costs.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8" name="Frame3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109" name="Frame3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printed copy of the Proxy Statement) in accordance with a notice sent earlier by their bank or broker.  This practice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printed copy of the Proxy Statement) in accordance with a notice sent earlier by their bank or broker.  This practice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10" name="Frame3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111" name="Frame3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Notice of Annual Meeting and Internet Availability of Proxy Materials (or Proxy Statement, for those who receive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Notice of Annual Meeting and Internet Availability of Proxy Materials (or Proxy Statement, for those who receive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12" name="Frame3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44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  <w:font w:name="Arial">
    <w:altName w:val="Sans 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3.jpeg"/><Relationship Id="rId8" Type="http://schemas.openxmlformats.org/officeDocument/2006/relationships/image" Target="media/image1.jpeg"/><Relationship Id="rId9" Type="http://schemas.openxmlformats.org/officeDocument/2006/relationships/image" Target="media/image1.jpeg"/><Relationship Id="rId10" Type="http://schemas.openxmlformats.org/officeDocument/2006/relationships/image" Target="media/image4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10</Pages>
  <Words>29934</Words>
  <Characters>169384</Characters>
  <CharactersWithSpaces>196835</CharactersWithSpaces>
  <Paragraphs>2723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