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154305</wp:posOffset>
            </wp:positionV>
            <wp:extent cx="7160260" cy="10450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10450195"/>
                    </a:xfrm>
                    <a:prstGeom prst="rect">
                      <a:avLst/>
                    </a:prstGeom>
                    <a:noFill/>
                  </pic:spPr>
                </pic:pic>
              </a:graphicData>
            </a:graphic>
          </wp:anchor>
        </w:drawing>
        <w:t>Filed pursuant to Rule 424(b)(3)</w:t>
      </w:r>
    </w:p>
    <w:p>
      <w:pPr>
        <w:spacing w:after="0" w:line="27" w:lineRule="exact"/>
        <w:rPr>
          <w:sz w:val="24"/>
          <w:szCs w:val="24"/>
          <w:color w:val="auto"/>
        </w:rPr>
      </w:pPr>
    </w:p>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Registration No. 333-286558</w:t>
      </w:r>
    </w:p>
    <w:p>
      <w:pPr>
        <w:spacing w:after="0" w:line="12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INNVENTURE,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34,352,677 Shares of Common Stock</w:t>
      </w:r>
    </w:p>
    <w:p>
      <w:pPr>
        <w:spacing w:after="0" w:line="24" w:lineRule="exact"/>
        <w:rPr>
          <w:sz w:val="24"/>
          <w:szCs w:val="24"/>
          <w:color w:val="auto"/>
        </w:rPr>
      </w:pPr>
    </w:p>
    <w:p>
      <w:pPr>
        <w:ind w:left="640" w:right="759" w:firstLine="258"/>
        <w:spacing w:after="0" w:line="261" w:lineRule="auto"/>
        <w:rPr>
          <w:sz w:val="20"/>
          <w:szCs w:val="20"/>
          <w:color w:val="auto"/>
        </w:rPr>
      </w:pPr>
      <w:r>
        <w:rPr>
          <w:rFonts w:ascii="Times New Roman" w:cs="Times New Roman" w:eastAsia="Times New Roman" w:hAnsi="Times New Roman"/>
          <w:sz w:val="14"/>
          <w:szCs w:val="14"/>
          <w:color w:val="auto"/>
        </w:rPr>
        <w:t>This prospectus relates to offer and sale from time to time by the selling securityholders named in this prospectus (each a “Selling Stockholder” and collectively, the “Selling Stockholders”), or their permitted transferees, of up to 15,965,989 shares of the common stock, par value $0.0001 per share (“Common Stock”), of Innventure, Inc., a Delaware corporation, which includes (i) up to 8,480,518 shares of Common Stock that may be issued upon conversion of Series C Preferred Stock (as defined below),</w:t>
      </w:r>
    </w:p>
    <w:p>
      <w:pPr>
        <w:spacing w:after="0" w:line="1" w:lineRule="exact"/>
        <w:rPr>
          <w:sz w:val="24"/>
          <w:szCs w:val="24"/>
          <w:color w:val="auto"/>
        </w:rPr>
      </w:pPr>
    </w:p>
    <w:p>
      <w:pPr>
        <w:ind w:left="640" w:right="699" w:hanging="2"/>
        <w:spacing w:after="0" w:line="258" w:lineRule="auto"/>
        <w:tabs>
          <w:tab w:leader="none" w:pos="851"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85,471 shares of Common Stock issued to Ducera Partners LLC and its affiliates (“Ducera”) pursuant to the terms of an engagement letter (the “Ducera Engagement Letter”), (iii) up to 3,000,000 shares of Common Stock that may be issued upon conversion of convertible debentures (the “Convertible Debentures”) issued and issuable to YA II PN, Ltd., a Cayman Islands exempted company (“Yorkville”) pursuant to that certain securities purchase agreement (“Securities Purchase Agreement”), dated March 25, 2025, entered into with Yorkville, (iv) up to 4,100,000 shares of Common Stock that we may issue and sell to Yorkville from time to time pursuant to the Standby Equity Purchase Agreement (the “SEPA”), dated October 24, 2023, entered into with Yorkville without exceeding the Exchange Cap (as defined herein), and (v) 300,000 shares of Common Stock that may be issued upon exercise of warrants (the “2025 WTI Warrants”) to purchase Common Stock held by WTI Fund X, LLC and WTI Fund XI, LLC (together, the “WTI Holders”). For more information on the Selling Stockholders, see the section entitled “</w:t>
      </w:r>
      <w:r>
        <w:rPr>
          <w:rFonts w:ascii="Times New Roman" w:cs="Times New Roman" w:eastAsia="Times New Roman" w:hAnsi="Times New Roman"/>
          <w:sz w:val="14"/>
          <w:szCs w:val="14"/>
          <w:u w:val="single" w:color="auto"/>
          <w:color w:val="0000FF"/>
        </w:rPr>
        <w:t>Selling Stockholders</w:t>
      </w:r>
      <w:r>
        <w:rPr>
          <w:rFonts w:ascii="Times New Roman" w:cs="Times New Roman" w:eastAsia="Times New Roman" w:hAnsi="Times New Roman"/>
          <w:sz w:val="14"/>
          <w:szCs w:val="14"/>
          <w:color w:val="auto"/>
        </w:rPr>
        <w:t>.”</w:t>
      </w:r>
    </w:p>
    <w:p>
      <w:pPr>
        <w:spacing w:after="0" w:line="61" w:lineRule="exact"/>
        <w:rPr>
          <w:sz w:val="24"/>
          <w:szCs w:val="24"/>
          <w:color w:val="auto"/>
        </w:rPr>
      </w:pPr>
    </w:p>
    <w:p>
      <w:pPr>
        <w:ind w:left="640" w:right="679" w:firstLine="258"/>
        <w:spacing w:after="0" w:line="260" w:lineRule="auto"/>
        <w:rPr>
          <w:sz w:val="20"/>
          <w:szCs w:val="20"/>
          <w:color w:val="auto"/>
        </w:rPr>
      </w:pPr>
      <w:r>
        <w:rPr>
          <w:rFonts w:ascii="Times New Roman" w:cs="Times New Roman" w:eastAsia="Times New Roman" w:hAnsi="Times New Roman"/>
          <w:sz w:val="14"/>
          <w:szCs w:val="14"/>
          <w:color w:val="auto"/>
        </w:rPr>
        <w:t>This prospectus also relates to the issuance by us of up to an aggregate of 18,386,688 shares of Common Stock issuable upon the exercise of warrants to purchase shares of our Common Stock, at an exercise price of $11.50 per share, that were converted from Learn CW Warrants (as defined in this prospectus) in connection with the Business Combination (the “Innventure Warrants”). We will receive the proceeds from any exercise of any Innventure Warrants for cash, which amount of aggregate proceeds, assuming the exercise of all Innventure Warrants, would be $214.4 million. To the extent the Innventure Warrants are exercised on a cashless basis, we will not receive any proceeds in connection with such exercise. We believe the likelihood that warrant holders will exercise their Innventure Warrants, and therefore the amount of cash proceeds that we would receive, is dependent upon the market price of our Common Stock. If the Innventure Warrants are “out of the money,” meaning the exercise price is higher than the market price of our Common Stock, the holders thereof are not likely to exercise such Innventure Warrants.</w:t>
      </w:r>
    </w:p>
    <w:p>
      <w:pPr>
        <w:spacing w:after="0" w:line="63" w:lineRule="exact"/>
        <w:rPr>
          <w:sz w:val="24"/>
          <w:szCs w:val="24"/>
          <w:color w:val="auto"/>
        </w:rPr>
      </w:pPr>
    </w:p>
    <w:p>
      <w:pPr>
        <w:ind w:left="640" w:right="659" w:firstLine="258"/>
        <w:spacing w:after="0" w:line="260" w:lineRule="auto"/>
        <w:rPr>
          <w:sz w:val="20"/>
          <w:szCs w:val="20"/>
          <w:color w:val="auto"/>
        </w:rPr>
      </w:pPr>
      <w:r>
        <w:rPr>
          <w:rFonts w:ascii="Times New Roman" w:cs="Times New Roman" w:eastAsia="Times New Roman" w:hAnsi="Times New Roman"/>
          <w:sz w:val="14"/>
          <w:szCs w:val="14"/>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2025 WTI Warrants, to the extent such warrants are exercised for cash. To the extent the 2025 WTI Warrants are exercised on a cashless basis, we will not receive any proceeds in connection with such exercise.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60" w:lineRule="exact"/>
        <w:rPr>
          <w:sz w:val="24"/>
          <w:szCs w:val="24"/>
          <w:color w:val="auto"/>
        </w:rPr>
      </w:pPr>
    </w:p>
    <w:p>
      <w:pPr>
        <w:ind w:left="640" w:right="739" w:firstLine="258"/>
        <w:spacing w:after="0" w:line="268" w:lineRule="auto"/>
        <w:rPr>
          <w:sz w:val="20"/>
          <w:szCs w:val="20"/>
          <w:color w:val="auto"/>
        </w:rPr>
      </w:pPr>
      <w:r>
        <w:rPr>
          <w:rFonts w:ascii="Times New Roman" w:cs="Times New Roman" w:eastAsia="Times New Roman" w:hAnsi="Times New Roman"/>
          <w:sz w:val="14"/>
          <w:szCs w:val="14"/>
          <w:color w:val="auto"/>
        </w:rPr>
        <w:t>Our registration of the securities covered by this prospectus does not mean that either we or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4"/>
          <w:szCs w:val="14"/>
          <w:i w:val="1"/>
          <w:iCs w:val="1"/>
          <w:u w:val="single" w:color="auto"/>
          <w:color w:val="0000FF"/>
        </w:rPr>
        <w:t>Plan of Distribution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54" w:lineRule="exact"/>
        <w:rPr>
          <w:sz w:val="24"/>
          <w:szCs w:val="24"/>
          <w:color w:val="auto"/>
        </w:rPr>
      </w:pPr>
    </w:p>
    <w:p>
      <w:pPr>
        <w:ind w:left="640" w:right="879" w:firstLine="258"/>
        <w:spacing w:after="0" w:line="292" w:lineRule="auto"/>
        <w:rPr>
          <w:sz w:val="20"/>
          <w:szCs w:val="20"/>
          <w:color w:val="auto"/>
        </w:rPr>
      </w:pPr>
      <w:r>
        <w:rPr>
          <w:rFonts w:ascii="Times New Roman" w:cs="Times New Roman" w:eastAsia="Times New Roman" w:hAnsi="Times New Roman"/>
          <w:sz w:val="14"/>
          <w:szCs w:val="14"/>
          <w:color w:val="auto"/>
        </w:rPr>
        <w:t>Our Common Stock is listed on the Nasdaq Global Market (“NASDAQ”) under the symbol “INV.” On April 22, 2025, the last reported sales price of our Common Stock was $4.37 per share.</w:t>
      </w:r>
    </w:p>
    <w:p>
      <w:pPr>
        <w:spacing w:after="0" w:line="25" w:lineRule="exact"/>
        <w:rPr>
          <w:sz w:val="24"/>
          <w:szCs w:val="24"/>
          <w:color w:val="auto"/>
        </w:rPr>
      </w:pPr>
    </w:p>
    <w:p>
      <w:pPr>
        <w:ind w:left="640" w:right="999" w:firstLine="258"/>
        <w:spacing w:after="0" w:line="295" w:lineRule="auto"/>
        <w:rPr>
          <w:sz w:val="20"/>
          <w:szCs w:val="20"/>
          <w:color w:val="auto"/>
        </w:rPr>
      </w:pPr>
      <w:r>
        <w:rPr>
          <w:rFonts w:ascii="Times New Roman" w:cs="Times New Roman" w:eastAsia="Times New Roman" w:hAnsi="Times New Roman"/>
          <w:sz w:val="14"/>
          <w:szCs w:val="14"/>
          <w:b w:val="1"/>
          <w:bCs w:val="1"/>
          <w:color w:val="auto"/>
        </w:rPr>
        <w:t>We are an “emerging growth company” as defined under the U.S. federal securities laws and, as such, have elected to comply with certain reduced public company reporting requirements.</w:t>
      </w:r>
    </w:p>
    <w:p>
      <w:pPr>
        <w:spacing w:after="0" w:line="77" w:lineRule="exact"/>
        <w:rPr>
          <w:sz w:val="24"/>
          <w:szCs w:val="24"/>
          <w:color w:val="auto"/>
        </w:rPr>
      </w:pPr>
    </w:p>
    <w:p>
      <w:pPr>
        <w:ind w:left="640" w:right="779" w:firstLine="258"/>
        <w:spacing w:after="0" w:line="295" w:lineRule="auto"/>
        <w:rPr>
          <w:sz w:val="20"/>
          <w:szCs w:val="20"/>
          <w:color w:val="auto"/>
        </w:rPr>
      </w:pPr>
      <w:r>
        <w:rPr>
          <w:rFonts w:ascii="Times New Roman" w:cs="Times New Roman" w:eastAsia="Times New Roman" w:hAnsi="Times New Roman"/>
          <w:sz w:val="14"/>
          <w:szCs w:val="14"/>
          <w:b w:val="1"/>
          <w:bCs w:val="1"/>
          <w:color w:val="auto"/>
        </w:rPr>
        <w:t>Investing in our Common Stock is highly speculative and involves a high degree of risk. See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FF"/>
        </w:rPr>
        <w:t>11</w:t>
      </w:r>
      <w:r>
        <w:rPr>
          <w:rFonts w:ascii="Times New Roman" w:cs="Times New Roman" w:eastAsia="Times New Roman" w:hAnsi="Times New Roman"/>
          <w:sz w:val="14"/>
          <w:szCs w:val="14"/>
          <w:b w:val="1"/>
          <w:bCs w:val="1"/>
          <w:color w:val="auto"/>
        </w:rPr>
        <w:t>.</w:t>
      </w:r>
    </w:p>
    <w:p>
      <w:pPr>
        <w:spacing w:after="0" w:line="77" w:lineRule="exact"/>
        <w:rPr>
          <w:sz w:val="24"/>
          <w:szCs w:val="24"/>
          <w:color w:val="auto"/>
        </w:rPr>
      </w:pPr>
    </w:p>
    <w:p>
      <w:pPr>
        <w:ind w:left="640" w:right="959" w:firstLine="258"/>
        <w:spacing w:after="0" w:line="27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23, 2025.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1"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39" w:lineRule="exact"/>
        <w:rPr>
          <w:sz w:val="24"/>
          <w:szCs w:val="24"/>
          <w:color w:val="auto"/>
        </w:rPr>
      </w:pPr>
    </w:p>
    <w:p>
      <w:pPr>
        <w:ind w:left="1200"/>
        <w:spacing w:after="0"/>
        <w:tabs>
          <w:tab w:leader="dot" w:pos="7760" w:val="left"/>
        </w:tabs>
        <w:rPr>
          <w:sz w:val="20"/>
          <w:szCs w:val="20"/>
          <w:color w:val="auto"/>
        </w:rPr>
      </w:pPr>
      <w:r>
        <w:rPr>
          <w:rFonts w:ascii="Times New Roman" w:cs="Times New Roman" w:eastAsia="Times New Roman" w:hAnsi="Times New Roman"/>
          <w:sz w:val="14"/>
          <w:szCs w:val="14"/>
          <w:u w:val="single" w:color="auto"/>
          <w:color w:val="0000FF"/>
        </w:rPr>
        <w:t>ABOUT THIS PROSPECTUS</w:t>
      </w:r>
      <w:r>
        <w:rPr>
          <w:sz w:val="20"/>
          <w:szCs w:val="20"/>
          <w:color w:val="auto"/>
        </w:rPr>
        <w:tab/>
      </w:r>
      <w:r>
        <w:rPr>
          <w:rFonts w:ascii="Times New Roman" w:cs="Times New Roman" w:eastAsia="Times New Roman" w:hAnsi="Times New Roman"/>
          <w:sz w:val="14"/>
          <w:szCs w:val="14"/>
          <w:u w:val="single" w:color="auto"/>
          <w:color w:val="0000FF"/>
        </w:rPr>
        <w:t>i</w:t>
      </w:r>
    </w:p>
    <w:p>
      <w:pPr>
        <w:spacing w:after="0" w:line="43" w:lineRule="exact"/>
        <w:rPr>
          <w:sz w:val="24"/>
          <w:szCs w:val="24"/>
          <w:color w:val="auto"/>
        </w:rPr>
      </w:pPr>
    </w:p>
    <w:p>
      <w:pPr>
        <w:ind w:left="1200"/>
        <w:spacing w:after="0"/>
        <w:tabs>
          <w:tab w:leader="dot" w:pos="7680" w:val="left"/>
        </w:tabs>
        <w:rPr>
          <w:sz w:val="20"/>
          <w:szCs w:val="20"/>
          <w:color w:val="auto"/>
        </w:rPr>
      </w:pPr>
      <w:r>
        <w:rPr>
          <w:rFonts w:ascii="Times New Roman" w:cs="Times New Roman" w:eastAsia="Times New Roman" w:hAnsi="Times New Roman"/>
          <w:sz w:val="14"/>
          <w:szCs w:val="14"/>
          <w:u w:val="single" w:color="auto"/>
          <w:color w:val="0000FF"/>
        </w:rPr>
        <w:t>CAUTIONARY STATEMENT REGARDING FORWARD-LOOKING STATEMENTS</w:t>
      </w:r>
      <w:r>
        <w:rPr>
          <w:sz w:val="20"/>
          <w:szCs w:val="20"/>
          <w:color w:val="auto"/>
        </w:rPr>
        <w:tab/>
      </w:r>
      <w:r>
        <w:rPr>
          <w:rFonts w:ascii="Times New Roman" w:cs="Times New Roman" w:eastAsia="Times New Roman" w:hAnsi="Times New Roman"/>
          <w:sz w:val="14"/>
          <w:szCs w:val="14"/>
          <w:u w:val="single" w:color="auto"/>
          <w:color w:val="0000FF"/>
        </w:rPr>
        <w:t>iii</w:t>
      </w:r>
    </w:p>
    <w:p>
      <w:pPr>
        <w:spacing w:after="0" w:line="43" w:lineRule="exact"/>
        <w:rPr>
          <w:sz w:val="24"/>
          <w:szCs w:val="24"/>
          <w:color w:val="auto"/>
        </w:rPr>
      </w:pPr>
    </w:p>
    <w:p>
      <w:pPr>
        <w:ind w:left="1200"/>
        <w:spacing w:after="0"/>
        <w:tabs>
          <w:tab w:leader="dot" w:pos="7720" w:val="left"/>
        </w:tabs>
        <w:rPr>
          <w:sz w:val="20"/>
          <w:szCs w:val="20"/>
          <w:color w:val="auto"/>
        </w:rPr>
      </w:pPr>
      <w:r>
        <w:rPr>
          <w:rFonts w:ascii="Times New Roman" w:cs="Times New Roman" w:eastAsia="Times New Roman" w:hAnsi="Times New Roman"/>
          <w:sz w:val="14"/>
          <w:szCs w:val="14"/>
          <w:u w:val="single" w:color="auto"/>
          <w:color w:val="0000FF"/>
        </w:rPr>
        <w:t>PROSPECTUS SUMMARY</w:t>
      </w:r>
      <w:r>
        <w:rPr>
          <w:sz w:val="20"/>
          <w:szCs w:val="20"/>
          <w:color w:val="auto"/>
        </w:rPr>
        <w:tab/>
      </w:r>
      <w:r>
        <w:rPr>
          <w:rFonts w:ascii="Times New Roman" w:cs="Times New Roman" w:eastAsia="Times New Roman" w:hAnsi="Times New Roman"/>
          <w:sz w:val="14"/>
          <w:szCs w:val="14"/>
          <w:u w:val="single" w:color="auto"/>
          <w:color w:val="0000FF"/>
        </w:rPr>
        <w:t>1</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RISK FACTORS</w:t>
      </w:r>
      <w:r>
        <w:rPr>
          <w:sz w:val="20"/>
          <w:szCs w:val="20"/>
          <w:color w:val="auto"/>
        </w:rPr>
        <w:tab/>
      </w:r>
      <w:r>
        <w:rPr>
          <w:rFonts w:ascii="Times New Roman" w:cs="Times New Roman" w:eastAsia="Times New Roman" w:hAnsi="Times New Roman"/>
          <w:sz w:val="14"/>
          <w:szCs w:val="14"/>
          <w:u w:val="single" w:color="auto"/>
          <w:color w:val="0000FF"/>
        </w:rPr>
        <w:t>11</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USE OF PROCEEDS</w:t>
      </w:r>
      <w:r>
        <w:rPr>
          <w:sz w:val="20"/>
          <w:szCs w:val="20"/>
          <w:color w:val="auto"/>
        </w:rPr>
        <w:tab/>
      </w:r>
      <w:r>
        <w:rPr>
          <w:rFonts w:ascii="Times New Roman" w:cs="Times New Roman" w:eastAsia="Times New Roman" w:hAnsi="Times New Roman"/>
          <w:sz w:val="14"/>
          <w:szCs w:val="14"/>
          <w:u w:val="single" w:color="auto"/>
          <w:color w:val="0000FF"/>
        </w:rPr>
        <w:t>31</w:t>
      </w:r>
    </w:p>
    <w:p>
      <w:pPr>
        <w:spacing w:after="0" w:line="27"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MANAGEMENT’S DISCUSSION AND ANALYSIS OF FINANCIAL CONDITION AND RESULTS</w:t>
      </w:r>
    </w:p>
    <w:p>
      <w:pPr>
        <w:ind w:left="138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OF OPERATIONS</w:t>
      </w:r>
      <w:r>
        <w:rPr>
          <w:sz w:val="20"/>
          <w:szCs w:val="20"/>
          <w:color w:val="auto"/>
        </w:rPr>
        <w:tab/>
      </w:r>
      <w:r>
        <w:rPr>
          <w:rFonts w:ascii="Times New Roman" w:cs="Times New Roman" w:eastAsia="Times New Roman" w:hAnsi="Times New Roman"/>
          <w:sz w:val="14"/>
          <w:szCs w:val="14"/>
          <w:u w:val="single" w:color="auto"/>
          <w:color w:val="0000FF"/>
        </w:rPr>
        <w:t>32</w:t>
      </w:r>
    </w:p>
    <w:p>
      <w:pPr>
        <w:spacing w:after="0" w:line="27"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BUSINESS</w:t>
      </w:r>
      <w:r>
        <w:rPr>
          <w:sz w:val="20"/>
          <w:szCs w:val="20"/>
          <w:color w:val="auto"/>
        </w:rPr>
        <w:tab/>
      </w:r>
      <w:r>
        <w:rPr>
          <w:rFonts w:ascii="Times New Roman" w:cs="Times New Roman" w:eastAsia="Times New Roman" w:hAnsi="Times New Roman"/>
          <w:sz w:val="14"/>
          <w:szCs w:val="14"/>
          <w:u w:val="single" w:color="auto"/>
          <w:color w:val="0000FF"/>
        </w:rPr>
        <w:t>43</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MANAGEMENT</w:t>
      </w:r>
      <w:r>
        <w:rPr>
          <w:sz w:val="20"/>
          <w:szCs w:val="20"/>
          <w:color w:val="auto"/>
        </w:rPr>
        <w:tab/>
      </w:r>
      <w:r>
        <w:rPr>
          <w:rFonts w:ascii="Times New Roman" w:cs="Times New Roman" w:eastAsia="Times New Roman" w:hAnsi="Times New Roman"/>
          <w:sz w:val="14"/>
          <w:szCs w:val="14"/>
          <w:u w:val="single" w:color="auto"/>
          <w:color w:val="0000FF"/>
        </w:rPr>
        <w:t>59</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EXECUTIVE AND DIRECTOR COMPENSATION OF INNVENTURE</w:t>
      </w:r>
      <w:r>
        <w:rPr>
          <w:sz w:val="20"/>
          <w:szCs w:val="20"/>
          <w:color w:val="auto"/>
        </w:rPr>
        <w:tab/>
      </w:r>
      <w:r>
        <w:rPr>
          <w:rFonts w:ascii="Times New Roman" w:cs="Times New Roman" w:eastAsia="Times New Roman" w:hAnsi="Times New Roman"/>
          <w:sz w:val="14"/>
          <w:szCs w:val="14"/>
          <w:u w:val="single" w:color="auto"/>
          <w:color w:val="0000FF"/>
        </w:rPr>
        <w:t>65</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CERTAIN RELATIONSHIPS AND RELATED PARTY TRANSACTIONS</w:t>
      </w:r>
      <w:r>
        <w:rPr>
          <w:sz w:val="20"/>
          <w:szCs w:val="20"/>
          <w:color w:val="auto"/>
        </w:rPr>
        <w:tab/>
      </w:r>
      <w:r>
        <w:rPr>
          <w:rFonts w:ascii="Times New Roman" w:cs="Times New Roman" w:eastAsia="Times New Roman" w:hAnsi="Times New Roman"/>
          <w:sz w:val="14"/>
          <w:szCs w:val="14"/>
          <w:u w:val="single" w:color="auto"/>
          <w:color w:val="0000FF"/>
        </w:rPr>
        <w:t>73</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DESCRIPTION OF SECURITIES</w:t>
      </w:r>
      <w:r>
        <w:rPr>
          <w:sz w:val="20"/>
          <w:szCs w:val="20"/>
          <w:color w:val="auto"/>
        </w:rPr>
        <w:tab/>
      </w:r>
      <w:r>
        <w:rPr>
          <w:rFonts w:ascii="Times New Roman" w:cs="Times New Roman" w:eastAsia="Times New Roman" w:hAnsi="Times New Roman"/>
          <w:sz w:val="14"/>
          <w:szCs w:val="14"/>
          <w:u w:val="single" w:color="auto"/>
          <w:color w:val="0000FF"/>
        </w:rPr>
        <w:t>81</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DESCRIPTION OF INNVENTURE WARRANTS</w:t>
      </w:r>
      <w:r>
        <w:rPr>
          <w:sz w:val="20"/>
          <w:szCs w:val="20"/>
          <w:color w:val="auto"/>
        </w:rPr>
        <w:tab/>
      </w:r>
      <w:r>
        <w:rPr>
          <w:rFonts w:ascii="Times New Roman" w:cs="Times New Roman" w:eastAsia="Times New Roman" w:hAnsi="Times New Roman"/>
          <w:sz w:val="14"/>
          <w:szCs w:val="14"/>
          <w:u w:val="single" w:color="auto"/>
          <w:color w:val="0000FF"/>
        </w:rPr>
        <w:t>87</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SECURITY OWNERSHIP OF CERTAIN BENEFICIAL OWNERS AND MANAGEMENT</w:t>
      </w:r>
      <w:r>
        <w:rPr>
          <w:sz w:val="20"/>
          <w:szCs w:val="20"/>
          <w:color w:val="auto"/>
        </w:rPr>
        <w:tab/>
      </w:r>
      <w:r>
        <w:rPr>
          <w:rFonts w:ascii="Times New Roman" w:cs="Times New Roman" w:eastAsia="Times New Roman" w:hAnsi="Times New Roman"/>
          <w:sz w:val="14"/>
          <w:szCs w:val="14"/>
          <w:u w:val="single" w:color="auto"/>
          <w:color w:val="0000FF"/>
        </w:rPr>
        <w:t>91</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SELLING STOCKHOLDERS</w:t>
      </w:r>
      <w:r>
        <w:rPr>
          <w:sz w:val="20"/>
          <w:szCs w:val="20"/>
          <w:color w:val="auto"/>
        </w:rPr>
        <w:tab/>
      </w:r>
      <w:r>
        <w:rPr>
          <w:rFonts w:ascii="Times New Roman" w:cs="Times New Roman" w:eastAsia="Times New Roman" w:hAnsi="Times New Roman"/>
          <w:sz w:val="14"/>
          <w:szCs w:val="14"/>
          <w:u w:val="single" w:color="auto"/>
          <w:color w:val="0000FF"/>
        </w:rPr>
        <w:t>94</w:t>
      </w:r>
    </w:p>
    <w:p>
      <w:pPr>
        <w:spacing w:after="0" w:line="43" w:lineRule="exact"/>
        <w:rPr>
          <w:sz w:val="24"/>
          <w:szCs w:val="24"/>
          <w:color w:val="auto"/>
        </w:rPr>
      </w:pPr>
    </w:p>
    <w:p>
      <w:pPr>
        <w:ind w:left="1200"/>
        <w:spacing w:after="0"/>
        <w:tabs>
          <w:tab w:leader="dot" w:pos="7660" w:val="left"/>
        </w:tabs>
        <w:rPr>
          <w:sz w:val="20"/>
          <w:szCs w:val="20"/>
          <w:color w:val="auto"/>
        </w:rPr>
      </w:pPr>
      <w:r>
        <w:rPr>
          <w:rFonts w:ascii="Times New Roman" w:cs="Times New Roman" w:eastAsia="Times New Roman" w:hAnsi="Times New Roman"/>
          <w:sz w:val="14"/>
          <w:szCs w:val="14"/>
          <w:u w:val="single" w:color="auto"/>
          <w:color w:val="0000FF"/>
        </w:rPr>
        <w:t>SHARES ELIGIBLE FOR FUTURE SALE</w:t>
      </w:r>
      <w:r>
        <w:rPr>
          <w:sz w:val="20"/>
          <w:szCs w:val="20"/>
          <w:color w:val="auto"/>
        </w:rPr>
        <w:tab/>
      </w:r>
      <w:r>
        <w:rPr>
          <w:rFonts w:ascii="Times New Roman" w:cs="Times New Roman" w:eastAsia="Times New Roman" w:hAnsi="Times New Roman"/>
          <w:sz w:val="14"/>
          <w:szCs w:val="14"/>
          <w:u w:val="single" w:color="auto"/>
          <w:color w:val="0000FF"/>
        </w:rPr>
        <w:t>97</w:t>
      </w:r>
    </w:p>
    <w:p>
      <w:pPr>
        <w:spacing w:after="0" w:line="43" w:lineRule="exact"/>
        <w:rPr>
          <w:sz w:val="24"/>
          <w:szCs w:val="24"/>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PLAN OF DISTRIBUTION</w:t>
      </w:r>
      <w:r>
        <w:rPr>
          <w:sz w:val="20"/>
          <w:szCs w:val="20"/>
          <w:color w:val="auto"/>
        </w:rPr>
        <w:tab/>
      </w:r>
      <w:r>
        <w:rPr>
          <w:rFonts w:ascii="Times New Roman" w:cs="Times New Roman" w:eastAsia="Times New Roman" w:hAnsi="Times New Roman"/>
          <w:sz w:val="14"/>
          <w:szCs w:val="14"/>
          <w:u w:val="single" w:color="auto"/>
          <w:color w:val="0000FF"/>
        </w:rPr>
        <w:t>100</w:t>
      </w:r>
    </w:p>
    <w:p>
      <w:pPr>
        <w:sectPr>
          <w:pgSz w:w="11900" w:h="16838" w:orient="portrait"/>
          <w:cols w:equalWidth="0" w:num="1">
            <w:col w:w="9019"/>
          </w:cols>
          <w:pgMar w:left="1440" w:top="724" w:right="1440" w:bottom="0" w:gutter="0" w:footer="0" w:header="0"/>
        </w:sectPr>
      </w:pPr>
    </w:p>
    <w:bookmarkStart w:id="1" w:name="page2"/>
    <w:bookmarkEnd w:id="1"/>
    <w:p>
      <w:pPr>
        <w:spacing w:after="0" w:line="23"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EXPERTS</w:t>
      </w:r>
      <w:r>
        <w:rPr>
          <w:sz w:val="20"/>
          <w:szCs w:val="20"/>
          <w:color w:val="auto"/>
        </w:rPr>
        <w:tab/>
      </w:r>
      <w:r>
        <w:rPr>
          <w:rFonts w:ascii="Times New Roman" w:cs="Times New Roman" w:eastAsia="Times New Roman" w:hAnsi="Times New Roman"/>
          <w:sz w:val="14"/>
          <w:szCs w:val="14"/>
          <w:u w:val="single" w:color="auto"/>
          <w:color w:val="0000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4"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LEGAL MATTERS</w:t>
      </w:r>
      <w:r>
        <w:rPr>
          <w:sz w:val="20"/>
          <w:szCs w:val="20"/>
          <w:color w:val="auto"/>
        </w:rPr>
        <w:tab/>
      </w:r>
      <w:r>
        <w:rPr>
          <w:rFonts w:ascii="Times New Roman" w:cs="Times New Roman" w:eastAsia="Times New Roman" w:hAnsi="Times New Roman"/>
          <w:sz w:val="14"/>
          <w:szCs w:val="14"/>
          <w:u w:val="single" w:color="auto"/>
          <w:color w:val="0000FF"/>
        </w:rPr>
        <w:t>102</w:t>
      </w:r>
    </w:p>
    <w:p>
      <w:pPr>
        <w:spacing w:after="0" w:line="29" w:lineRule="exact"/>
        <w:rPr>
          <w:sz w:val="20"/>
          <w:szCs w:val="20"/>
          <w:color w:val="auto"/>
        </w:rPr>
      </w:pPr>
    </w:p>
    <w:p>
      <w:pPr>
        <w:ind w:left="1200"/>
        <w:spacing w:after="0"/>
        <w:tabs>
          <w:tab w:leader="dot" w:pos="7580" w:val="left"/>
        </w:tabs>
        <w:rPr>
          <w:sz w:val="20"/>
          <w:szCs w:val="20"/>
          <w:color w:val="auto"/>
        </w:rPr>
      </w:pPr>
      <w:r>
        <w:rPr>
          <w:rFonts w:ascii="Times New Roman" w:cs="Times New Roman" w:eastAsia="Times New Roman" w:hAnsi="Times New Roman"/>
          <w:sz w:val="14"/>
          <w:szCs w:val="14"/>
          <w:u w:val="single" w:color="auto"/>
          <w:color w:val="0000FF"/>
        </w:rPr>
        <w:t>WHERE YOU CAN FIND MORE INFORMATION</w:t>
      </w:r>
      <w:r>
        <w:rPr>
          <w:sz w:val="20"/>
          <w:szCs w:val="20"/>
          <w:color w:val="auto"/>
        </w:rPr>
        <w:tab/>
      </w:r>
      <w:r>
        <w:rPr>
          <w:rFonts w:ascii="Times New Roman" w:cs="Times New Roman" w:eastAsia="Times New Roman" w:hAnsi="Times New Roman"/>
          <w:sz w:val="14"/>
          <w:szCs w:val="14"/>
          <w:u w:val="single" w:color="auto"/>
          <w:color w:val="0000FF"/>
        </w:rPr>
        <w:t>102</w:t>
      </w:r>
    </w:p>
    <w:p>
      <w:pPr>
        <w:spacing w:after="0" w:line="43" w:lineRule="exact"/>
        <w:rPr>
          <w:sz w:val="20"/>
          <w:szCs w:val="20"/>
          <w:color w:val="auto"/>
        </w:rPr>
      </w:pPr>
    </w:p>
    <w:p>
      <w:pPr>
        <w:ind w:left="1200"/>
        <w:spacing w:after="0"/>
        <w:tabs>
          <w:tab w:leader="dot" w:pos="7600" w:val="left"/>
        </w:tabs>
        <w:rPr>
          <w:sz w:val="20"/>
          <w:szCs w:val="20"/>
          <w:color w:val="auto"/>
        </w:rPr>
      </w:pPr>
      <w:r>
        <w:rPr>
          <w:rFonts w:ascii="Times New Roman" w:cs="Times New Roman" w:eastAsia="Times New Roman" w:hAnsi="Times New Roman"/>
          <w:sz w:val="14"/>
          <w:szCs w:val="14"/>
          <w:u w:val="single" w:color="auto"/>
          <w:color w:val="0000FF"/>
        </w:rPr>
        <w:t>INDEX TO FINANCIAL STATEMENTS</w:t>
      </w:r>
      <w:r>
        <w:rPr>
          <w:sz w:val="20"/>
          <w:szCs w:val="20"/>
          <w:color w:val="auto"/>
        </w:rPr>
        <w:tab/>
      </w:r>
      <w:r>
        <w:rPr>
          <w:rFonts w:ascii="Times New Roman" w:cs="Times New Roman" w:eastAsia="Times New Roman" w:hAnsi="Times New Roman"/>
          <w:sz w:val="14"/>
          <w:szCs w:val="14"/>
          <w:u w:val="single" w:color="auto"/>
          <w:color w:val="0000FF"/>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42"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We may use the shelf registration statement to issue 18,386,688 shares of Common Stock issuable upon the exercise of the Innventure Warrants. The Selling Stockholders may use the shelf registration statement to sell up to an aggregate of up to 15,965,989 shares of Common Stock from time to time through any means described in the section entitled “</w:t>
      </w:r>
      <w:r>
        <w:rPr>
          <w:rFonts w:ascii="Times New Roman" w:cs="Times New Roman" w:eastAsia="Times New Roman" w:hAnsi="Times New Roman"/>
          <w:sz w:val="14"/>
          <w:szCs w:val="14"/>
          <w:i w:val="1"/>
          <w:iCs w:val="1"/>
          <w:u w:val="single" w:color="auto"/>
          <w:color w:val="0000FF"/>
        </w:rPr>
        <w:t>Plan of Distribution</w:t>
      </w:r>
      <w:r>
        <w:rPr>
          <w:rFonts w:ascii="Times New Roman" w:cs="Times New Roman" w:eastAsia="Times New Roman" w:hAnsi="Times New Roman"/>
          <w:sz w:val="14"/>
          <w:szCs w:val="14"/>
          <w:color w:val="auto"/>
        </w:rPr>
        <w:t>.” More specific terms of any securities that the Selling Stockholders offer and sell may be provided in a prospectus supplement that describes, among other things, the specific amounts and prices of the shares of Common Stock being offered and the terms of the offering. We will not receive any proceeds from the sale by the Selling Stockholders of the securities offered by them described in this prospectus, except with respect to (i) amounts received by us upon exercise of the Innventure Warrants or the 2025 WTI Warrants to the extent such warrants are exercised for cash, and (ii)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w:t>
      </w:r>
    </w:p>
    <w:p>
      <w:pPr>
        <w:spacing w:after="0" w:line="110"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4"/>
          <w:szCs w:val="14"/>
          <w:i w:val="1"/>
          <w:iCs w:val="1"/>
          <w:u w:val="single" w:color="auto"/>
          <w:color w:val="0000FF"/>
        </w:rPr>
        <w:t>Where You Can Find More Information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w:t>
      </w:r>
    </w:p>
    <w:p>
      <w:pPr>
        <w:spacing w:after="0" w:line="10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4"/>
          <w:szCs w:val="14"/>
          <w:i w:val="1"/>
          <w:iCs w:val="1"/>
          <w:u w:val="single" w:color="auto"/>
          <w:color w:val="0000FF"/>
        </w:rPr>
        <w:t>Where You Can Find More Information</w:t>
      </w:r>
      <w:r>
        <w:rPr>
          <w:rFonts w:ascii="Times New Roman" w:cs="Times New Roman" w:eastAsia="Times New Roman" w:hAnsi="Times New Roman"/>
          <w:sz w:val="14"/>
          <w:szCs w:val="14"/>
          <w:color w:val="auto"/>
        </w:rPr>
        <w:t xml:space="preserve"> .”</w:t>
      </w:r>
    </w:p>
    <w:p>
      <w:pPr>
        <w:spacing w:after="0" w:line="99"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97"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On October 2, 2024 (the “Closing Date”),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w:t>
      </w:r>
    </w:p>
    <w:p>
      <w:pPr>
        <w:sectPr>
          <w:pgSz w:w="11900" w:h="16861" w:orient="portrait"/>
          <w:cols w:equalWidth="0" w:num="1">
            <w:col w:w="9019"/>
          </w:cols>
          <w:pgMar w:left="1440" w:top="94" w:right="1440" w:bottom="0" w:gutter="0" w:footer="0" w:header="0"/>
        </w:sectPr>
      </w:pPr>
    </w:p>
    <w:bookmarkStart w:id="2" w:name="page3"/>
    <w:bookmarkEnd w:id="2"/>
    <w:p>
      <w:pPr>
        <w:spacing w:after="0" w:line="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Holdco (“LCW Merger Sub”), and Innventure Merger Sub, LLC, a Delaware limited liability company and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439"/>
        <w:spacing w:after="0" w:line="268" w:lineRule="auto"/>
        <w:rPr>
          <w:sz w:val="20"/>
          <w:szCs w:val="20"/>
          <w:color w:val="auto"/>
        </w:rPr>
      </w:pPr>
      <w:r>
        <w:rPr>
          <w:rFonts w:ascii="Times New Roman" w:cs="Times New Roman" w:eastAsia="Times New Roman" w:hAnsi="Times New Roman"/>
          <w:sz w:val="14"/>
          <w:szCs w:val="14"/>
          <w:color w:val="auto"/>
        </w:rPr>
        <w:t>wholly-owned subsidiary of Holdco (“Innventure Merger Sub”). Following the closing of the Business Combination, each of Learn CW and Innventure LLC are subsidiaries of Holdco, and Holdco became a publicly traded company. At the closing of the Business Combination, Holdco changed its name to “Innventure, Inc.” Innventure, Inc.’s Common Stock is listed on NASDAQ under the symbol “INV”.</w:t>
      </w:r>
    </w:p>
    <w:p>
      <w:pPr>
        <w:spacing w:after="0" w:line="97"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93"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This prospectus includes trademarks, service marks and trade names owned by us or other companies. All trademarks, service marks and trade names included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This prospectus contains forward-looking statements.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03"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w:t>
      </w:r>
    </w:p>
    <w:p>
      <w:pPr>
        <w:sectPr>
          <w:pgSz w:w="11900" w:h="16878" w:orient="portrait"/>
          <w:cols w:equalWidth="0" w:num="1">
            <w:col w:w="9019"/>
          </w:cols>
          <w:pgMar w:left="1440" w:top="94" w:right="1440" w:bottom="0" w:gutter="0" w:footer="0" w:header="0"/>
        </w:sectPr>
      </w:pPr>
    </w:p>
    <w:bookmarkStart w:id="3" w:name="page4"/>
    <w:bookmarkEnd w:id="3"/>
    <w:p>
      <w:pPr>
        <w:spacing w:after="0" w:line="50" w:lineRule="exact"/>
        <w:rPr>
          <w:sz w:val="20"/>
          <w:szCs w:val="20"/>
          <w:color w:val="auto"/>
        </w:rPr>
      </w:pPr>
    </w:p>
    <w:p>
      <w:pPr>
        <w:ind w:left="1160" w:right="1199"/>
        <w:spacing w:after="0" w:line="249" w:lineRule="auto"/>
        <w:rPr>
          <w:sz w:val="20"/>
          <w:szCs w:val="20"/>
          <w:color w:val="auto"/>
        </w:rPr>
      </w:pPr>
      <w:r>
        <w:rPr>
          <w:rFonts w:ascii="Times New Roman" w:cs="Times New Roman" w:eastAsia="Times New Roman" w:hAnsi="Times New Roman"/>
          <w:sz w:val="14"/>
          <w:szCs w:val="14"/>
          <w:color w:val="auto"/>
        </w:rPr>
        <w:t>These forward-looking statements involve a number of risks, uncertainties (some of which are beyond the control of the parties) or other assumptions that may cause actual results or performance to be materially different from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-182245</wp:posOffset>
            </wp:positionV>
            <wp:extent cx="716026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319"/>
        <w:spacing w:after="0" w:line="264" w:lineRule="auto"/>
        <w:rPr>
          <w:sz w:val="20"/>
          <w:szCs w:val="20"/>
          <w:color w:val="auto"/>
        </w:rPr>
      </w:pPr>
      <w:r>
        <w:rPr>
          <w:rFonts w:ascii="Times New Roman" w:cs="Times New Roman" w:eastAsia="Times New Roman" w:hAnsi="Times New Roman"/>
          <w:sz w:val="14"/>
          <w:szCs w:val="14"/>
          <w:color w:val="auto"/>
        </w:rPr>
        <w:t>expressed or implied by these forward-looking statements. The risks and uncertainties include, but are not limited to, those factors discussed and identified in other public filings made with the SEC by the Company and the following:</w:t>
      </w:r>
    </w:p>
    <w:p>
      <w:pPr>
        <w:spacing w:after="0" w:line="99" w:lineRule="exact"/>
        <w:rPr>
          <w:sz w:val="20"/>
          <w:szCs w:val="20"/>
          <w:color w:val="auto"/>
        </w:rPr>
      </w:pPr>
    </w:p>
    <w:p>
      <w:pPr>
        <w:ind w:left="1660" w:right="1399" w:hanging="249"/>
        <w:spacing w:after="0" w:line="26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Innventure’s and the Innventure Companies’ (as defined below)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99" w:lineRule="exact"/>
        <w:rPr>
          <w:rFonts w:ascii="Times New Roman" w:cs="Times New Roman" w:eastAsia="Times New Roman" w:hAnsi="Times New Roman"/>
          <w:sz w:val="14"/>
          <w:szCs w:val="14"/>
          <w:color w:val="auto"/>
        </w:rPr>
      </w:pPr>
    </w:p>
    <w:p>
      <w:pPr>
        <w:ind w:left="1660" w:right="165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market acceptance and success of Innventure’s and the Innventure Companies’ business models and growth strategies;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future capital requirements and sources and uses of cash;</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74"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meet the various conditions, including the available cash and performance targets and issuance of warrant instruments to the WTI Lenders (as defined below), and access any additional installments draws, if available, under the WTI Facility (as defined below);</w:t>
      </w:r>
    </w:p>
    <w:p>
      <w:pPr>
        <w:spacing w:after="0" w:line="92" w:lineRule="exact"/>
        <w:rPr>
          <w:rFonts w:ascii="Times New Roman" w:cs="Times New Roman" w:eastAsia="Times New Roman" w:hAnsi="Times New Roman"/>
          <w:sz w:val="14"/>
          <w:szCs w:val="14"/>
          <w:color w:val="auto"/>
        </w:rPr>
      </w:pPr>
    </w:p>
    <w:p>
      <w:pPr>
        <w:ind w:left="1660" w:right="1359" w:hanging="249"/>
        <w:spacing w:after="0" w:line="265"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meet the various conditions and satisfy the various limitations under the SEPA (as defined herein) with Yorkville, including exchange caps, issuances and subscriptions based on trading volumes, to continue to access the funds available under the SEPA or the Securities Purchase Agreement (as defined below) and related Convertible Debentures (as defined below) due to certain conditions, restrictions and limitations set forth therein;</w:t>
      </w:r>
    </w:p>
    <w:p>
      <w:pPr>
        <w:spacing w:after="0" w:line="99" w:lineRule="exact"/>
        <w:rPr>
          <w:rFonts w:ascii="Times New Roman" w:cs="Times New Roman" w:eastAsia="Times New Roman" w:hAnsi="Times New Roman"/>
          <w:sz w:val="14"/>
          <w:szCs w:val="14"/>
          <w:color w:val="auto"/>
        </w:rPr>
      </w:pPr>
    </w:p>
    <w:p>
      <w:pPr>
        <w:ind w:left="1660" w:right="189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restrictions and limitations set forth in Innventure’s debt instruments, which may impair Innventure’s financial and operating flexibility;</w:t>
      </w:r>
    </w:p>
    <w:p>
      <w:pPr>
        <w:spacing w:after="0" w:line="80" w:lineRule="exact"/>
        <w:rPr>
          <w:rFonts w:ascii="Times New Roman" w:cs="Times New Roman" w:eastAsia="Times New Roman" w:hAnsi="Times New Roman"/>
          <w:sz w:val="14"/>
          <w:szCs w:val="14"/>
          <w:color w:val="auto"/>
        </w:rPr>
      </w:pPr>
    </w:p>
    <w:p>
      <w:pPr>
        <w:ind w:left="1660" w:right="129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and the Innventure Companies’ ability to generate liquidity and maintain sufficient capital to operate as anticipated;</w:t>
      </w:r>
    </w:p>
    <w:p>
      <w:pPr>
        <w:spacing w:after="0" w:line="80" w:lineRule="exact"/>
        <w:rPr>
          <w:rFonts w:ascii="Times New Roman" w:cs="Times New Roman" w:eastAsia="Times New Roman" w:hAnsi="Times New Roman"/>
          <w:sz w:val="14"/>
          <w:szCs w:val="14"/>
          <w:color w:val="auto"/>
        </w:rPr>
      </w:pPr>
    </w:p>
    <w:p>
      <w:pPr>
        <w:ind w:left="1660" w:right="161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obtain funding for its operations and future growth and to continue as a going concern;</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technology solutions that Innventure and the Innventure Companies license or acquire from third parties or develop internally may not function as anticipated or provide the benefits anticipated;</w:t>
      </w:r>
    </w:p>
    <w:p>
      <w:pPr>
        <w:spacing w:after="0" w:line="80"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Innventure’s and the Innventure Companies’ competitors and industry;</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right="179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Innventure and the Innventure Companies to scale the operations of their respective businesses;</w:t>
      </w:r>
    </w:p>
    <w:p>
      <w:pPr>
        <w:spacing w:after="0" w:line="80"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Innventure and the Innventure Companies to establish substantial commercial sales of their products;</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Innventure and the Innventure Companies to compete against companies with greater capital and other resources or superior technology or products;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7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against Innventure or the Innventure Companies;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68"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find future opportunities to license or acquire breakthrough technology solutions from MNCs (as defined below) or other third parties (collectively, “Technology Solutions Providers”) and to satisfy the requirements imposed by or to avoid disagreements with its current and future Technology Solutions Providers;</w:t>
      </w:r>
    </w:p>
    <w:p>
      <w:pPr>
        <w:spacing w:after="0" w:line="97"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launch of new companies distracts Innventure’s management from its subsidiaries and their respective operations;</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7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92" w:lineRule="exact"/>
        <w:rPr>
          <w:rFonts w:ascii="Times New Roman" w:cs="Times New Roman" w:eastAsia="Times New Roman" w:hAnsi="Times New Roman"/>
          <w:sz w:val="14"/>
          <w:szCs w:val="14"/>
          <w:color w:val="auto"/>
        </w:rPr>
      </w:pPr>
    </w:p>
    <w:p>
      <w:pPr>
        <w:ind w:left="1660" w:right="1319" w:hanging="249"/>
        <w:spacing w:after="0" w:line="274"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92" w:lineRule="exact"/>
        <w:rPr>
          <w:rFonts w:ascii="Times New Roman" w:cs="Times New Roman" w:eastAsia="Times New Roman" w:hAnsi="Times New Roman"/>
          <w:sz w:val="14"/>
          <w:szCs w:val="14"/>
          <w:color w:val="auto"/>
        </w:rPr>
      </w:pPr>
    </w:p>
    <w:p>
      <w:pPr>
        <w:ind w:left="1660" w:right="197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a cyber-attack or a failure of Innventure’s information technology and data security infrastructure;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recognize the anticipated benefits of the Business Combination;</w:t>
      </w:r>
    </w:p>
    <w:p>
      <w:pPr>
        <w:spacing w:after="0" w:line="139"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risk and changes in applicable laws or regulations, including with respect to foreign trade policy and tariffs;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adverse effects of other economic, business, and/or competitive factors;</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related to Innventure and its Operating Companies, which have limited or no operating history;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liquidity and trading of Innventure’s securities.</w:t>
      </w:r>
    </w:p>
    <w:p>
      <w:pPr>
        <w:spacing w:after="0" w:line="140"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w:t>
      </w:r>
    </w:p>
    <w:p>
      <w:pPr>
        <w:sectPr>
          <w:pgSz w:w="11900" w:h="16889" w:orient="portrait"/>
          <w:cols w:equalWidth="0" w:num="1">
            <w:col w:w="9019"/>
          </w:cols>
          <w:pgMar w:left="1440" w:top="94" w:right="1440" w:bottom="0" w:gutter="0" w:footer="0" w:header="0"/>
        </w:sectPr>
      </w:pPr>
    </w:p>
    <w:bookmarkStart w:id="4" w:name="page5"/>
    <w:bookmarkEnd w:id="4"/>
    <w:p>
      <w:pPr>
        <w:ind w:left="1160" w:right="1159"/>
        <w:spacing w:after="0" w:line="275" w:lineRule="auto"/>
        <w:rPr>
          <w:sz w:val="20"/>
          <w:szCs w:val="20"/>
          <w:color w:val="auto"/>
        </w:rPr>
      </w:pPr>
      <w:r>
        <w:rPr>
          <w:rFonts w:ascii="Times New Roman" w:cs="Times New Roman" w:eastAsia="Times New Roman" w:hAnsi="Times New Roman"/>
          <w:sz w:val="14"/>
          <w:szCs w:val="14"/>
          <w:color w:val="auto"/>
        </w:rPr>
        <w:t>as of the date hereof, and the Company assumes no obligation to update any forward-looking statement, whether as a result of new information, future events or otherwise, except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-204470</wp:posOffset>
            </wp:positionV>
            <wp:extent cx="716026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40" w:lineRule="exact"/>
        <w:rPr>
          <w:sz w:val="20"/>
          <w:szCs w:val="20"/>
          <w:color w:val="auto"/>
        </w:rPr>
      </w:pPr>
    </w:p>
    <w:p>
      <w:pPr>
        <w:ind w:left="1160" w:right="121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i w:val="1"/>
          <w:iCs w:val="1"/>
          <w:color w:val="auto"/>
        </w:rPr>
        <w:t xml:space="preserve">” beginning on page </w:t>
      </w:r>
      <w:r>
        <w:rPr>
          <w:rFonts w:ascii="Times New Roman" w:cs="Times New Roman" w:eastAsia="Times New Roman" w:hAnsi="Times New Roman"/>
          <w:sz w:val="14"/>
          <w:szCs w:val="14"/>
          <w:i w:val="1"/>
          <w:iCs w:val="1"/>
          <w:u w:val="single" w:color="auto"/>
          <w:color w:val="0000FF"/>
        </w:rPr>
        <w:t>11</w:t>
      </w:r>
      <w:r>
        <w:rPr>
          <w:rFonts w:ascii="Times New Roman" w:cs="Times New Roman" w:eastAsia="Times New Roman" w:hAnsi="Times New Roman"/>
          <w:sz w:val="14"/>
          <w:szCs w:val="14"/>
          <w:i w:val="1"/>
          <w:iCs w:val="1"/>
          <w:color w:val="auto"/>
        </w:rPr>
        <w:t xml:space="preserve"> and the financial statements and related notes included in this prospectus.</w:t>
      </w:r>
    </w:p>
    <w:p>
      <w:pPr>
        <w:spacing w:after="0" w:line="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42"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06"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On October 24, 2023, Learn CW and Innventure LLC, a Delaware limited liability company (“Innventure LLC”), entered into a business combination agreement (the “Business Combination Agreement”) with Holdco, LCW Merger Sub, Inc., a direct, wholly-owned subsidiary of Holdco (“Innventure Merger Sub”). On September 30, 2024, the stockholders of Learn CW approved the Business Combination, and the Business Combination closed on the Closing Date. 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Common Stock is listed on NASDAQ under the symbol “INV”.</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Standby Equity Purchase Agreement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Concurrently with the parties entering into the Business Combination Agreement, the Company entered into the</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SEPA with Yorkville. Pursuant to the SEPA and subject to certain conditions and limitations, the Company has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option, but not the obligation, to sell to Yorkville, and Yorkville must subscribe for, an aggregate amount of up to</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$75.0 million of Common Stock, at the Company’s request any time during the commitment period commencing 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Closing Date and continuing for a term of three years.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The Company agreed, and paid, to YA Global II SPV, LLC, a subsidiary of Yorkville (i) a structuring fee in the amount of $25,000 and (ii) commitment fee in an amount equal to $375,000 (the “Commitment Fee”).</w:t>
      </w:r>
    </w:p>
    <w:p>
      <w:pPr>
        <w:spacing w:after="0" w:line="81" w:lineRule="exact"/>
        <w:rPr>
          <w:sz w:val="20"/>
          <w:szCs w:val="20"/>
          <w:color w:val="auto"/>
        </w:rPr>
      </w:pPr>
    </w:p>
    <w:p>
      <w:pPr>
        <w:ind w:left="1160" w:right="1239" w:firstLine="258"/>
        <w:spacing w:after="0" w:line="266" w:lineRule="auto"/>
        <w:rPr>
          <w:sz w:val="20"/>
          <w:szCs w:val="20"/>
          <w:color w:val="auto"/>
        </w:rPr>
      </w:pPr>
      <w:r>
        <w:rPr>
          <w:rFonts w:ascii="Times New Roman" w:cs="Times New Roman" w:eastAsia="Times New Roman" w:hAnsi="Times New Roman"/>
          <w:sz w:val="14"/>
          <w:szCs w:val="14"/>
          <w:color w:val="auto"/>
        </w:rPr>
        <w:t>Each advance the Company issues in writing to Yorkville under the SEPA (each, an “Advance,” and notice of such request, an “Advance Notice”) may be in an amount of Common Stock up to the greater of (i) $10.0 million or</w:t>
      </w:r>
    </w:p>
    <w:p>
      <w:pPr>
        <w:spacing w:after="0" w:line="1" w:lineRule="exact"/>
        <w:rPr>
          <w:sz w:val="20"/>
          <w:szCs w:val="20"/>
          <w:color w:val="auto"/>
        </w:rPr>
      </w:pPr>
    </w:p>
    <w:p>
      <w:pPr>
        <w:ind w:left="1160" w:right="1259" w:hanging="7"/>
        <w:spacing w:after="0" w:line="264" w:lineRule="auto"/>
        <w:tabs>
          <w:tab w:leader="none" w:pos="13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w:t>
      </w:r>
    </w:p>
    <w:p>
      <w:pPr>
        <w:sectPr>
          <w:pgSz w:w="11900" w:h="16838" w:orient="portrait"/>
          <w:cols w:equalWidth="0" w:num="1">
            <w:col w:w="9019"/>
          </w:cols>
          <w:pgMar w:left="1440" w:top="94" w:right="1440" w:bottom="0" w:gutter="0" w:footer="0" w:header="0"/>
        </w:sectPr>
      </w:pPr>
    </w:p>
    <w:bookmarkStart w:id="5" w:name="page6"/>
    <w:bookmarkEnd w:id="5"/>
    <w:p>
      <w:pPr>
        <w:ind w:left="1160" w:right="1219"/>
        <w:spacing w:after="0" w:line="201" w:lineRule="auto"/>
        <w:rPr>
          <w:sz w:val="20"/>
          <w:szCs w:val="20"/>
          <w:color w:val="auto"/>
        </w:rPr>
      </w:pPr>
      <w:r>
        <w:rPr>
          <w:rFonts w:ascii="Times New Roman" w:cs="Times New Roman" w:eastAsia="Times New Roman" w:hAnsi="Times New Roman"/>
          <w:sz w:val="14"/>
          <w:szCs w:val="14"/>
          <w:color w:val="auto"/>
        </w:rPr>
        <w:t>(“VWAP”) during the applicable one-day pricing period or (b) 97% of the lowest daily VWAP during the applicable three consecutive trading day pricing period. The applicable pricing period depends on the type of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-141605</wp:posOffset>
            </wp:positionV>
            <wp:extent cx="716026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99"/>
        <w:spacing w:after="0" w:line="272" w:lineRule="auto"/>
        <w:rPr>
          <w:sz w:val="20"/>
          <w:szCs w:val="20"/>
          <w:color w:val="auto"/>
        </w:rPr>
      </w:pPr>
      <w:r>
        <w:rPr>
          <w:rFonts w:ascii="Times New Roman" w:cs="Times New Roman" w:eastAsia="Times New Roman" w:hAnsi="Times New Roman"/>
          <w:sz w:val="14"/>
          <w:szCs w:val="14"/>
          <w:color w:val="auto"/>
        </w:rPr>
        <w:t>selected by the Company under the SEPA. As discussed below, the Company may establish a minimum acceptable price in each Advance Notice below which the Company will not be obligated to make any sales to Yorkville.</w:t>
      </w:r>
    </w:p>
    <w:p>
      <w:pPr>
        <w:spacing w:after="0" w:line="94"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Any purchase under an Advance would be subject to certain limitations and conditions, depending on selections set forth in the applicable Advance, including the following:</w:t>
      </w:r>
    </w:p>
    <w:p>
      <w:pPr>
        <w:spacing w:after="0" w:line="79" w:lineRule="exact"/>
        <w:rPr>
          <w:sz w:val="20"/>
          <w:szCs w:val="20"/>
          <w:color w:val="auto"/>
        </w:rPr>
      </w:pPr>
    </w:p>
    <w:p>
      <w:pPr>
        <w:ind w:left="1660" w:right="1179" w:hanging="249"/>
        <w:spacing w:after="0" w:line="260"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Exchange Cap: </w:t>
      </w:r>
      <w:r>
        <w:rPr>
          <w:rFonts w:ascii="Times New Roman" w:cs="Times New Roman" w:eastAsia="Times New Roman" w:hAnsi="Times New Roman"/>
          <w:sz w:val="14"/>
          <w:szCs w:val="14"/>
          <w:color w:val="auto"/>
        </w:rPr>
        <w:t>Yorkville shall not purchase or acquire any shares of Common Stock pursuant to the SEPA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would result in it and its affiliates (on an aggregated basis) beneficially owning more than 9.99% of the then outstanding voting power or number of shares of Common Stock or any shares of Common Stock that, aggregated with shares issued under all other earlier Advances, would exceed 19.99% of all shares of Common Stock outstanding on the Closing Date (which number shall be reduced, on a share-for-share basis, by the number of shares of Common Stock issued or issuable pursuant to any transaction or series of transactions that may be aggregated with the transactions contemplated by the SEPA under applicable NASDAQ rules) (the “Exchange Cap”), unless the Company obtains stockholder approval to issue shares of Common Stock in excess of the Exchange Cap in accordance with applicable NASDAQ rules or certain other requirements are met;</w:t>
      </w:r>
    </w:p>
    <w:p>
      <w:pPr>
        <w:spacing w:after="0" w:line="103" w:lineRule="exact"/>
        <w:rPr>
          <w:rFonts w:ascii="Times New Roman" w:cs="Times New Roman" w:eastAsia="Times New Roman" w:hAnsi="Times New Roman"/>
          <w:sz w:val="14"/>
          <w:szCs w:val="14"/>
          <w:color w:val="auto"/>
        </w:rPr>
      </w:pPr>
    </w:p>
    <w:p>
      <w:pPr>
        <w:jc w:val="both"/>
        <w:ind w:left="1660" w:right="1479" w:hanging="249"/>
        <w:spacing w:after="0" w:line="275"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Registration Limitation: </w:t>
      </w:r>
      <w:r>
        <w:rPr>
          <w:rFonts w:ascii="Times New Roman" w:cs="Times New Roman" w:eastAsia="Times New Roman" w:hAnsi="Times New Roman"/>
          <w:sz w:val="14"/>
          <w:szCs w:val="14"/>
          <w:color w:val="auto"/>
        </w:rPr>
        <w:t>In no event shall an Advance exceed the amount of shares of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registered under an effective registration statement that provides for the resale from time to time of the shares of Common Stock sold pursuant the SEPA;</w:t>
      </w:r>
    </w:p>
    <w:p>
      <w:pPr>
        <w:spacing w:after="0" w:line="90" w:lineRule="exact"/>
        <w:rPr>
          <w:rFonts w:ascii="Times New Roman" w:cs="Times New Roman" w:eastAsia="Times New Roman" w:hAnsi="Times New Roman"/>
          <w:sz w:val="14"/>
          <w:szCs w:val="14"/>
          <w:color w:val="auto"/>
        </w:rPr>
      </w:pPr>
    </w:p>
    <w:p>
      <w:pPr>
        <w:ind w:left="1660" w:right="1259" w:hanging="249"/>
        <w:spacing w:after="0" w:line="264"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Volume Limitation: </w:t>
      </w:r>
      <w:r>
        <w:rPr>
          <w:rFonts w:ascii="Times New Roman" w:cs="Times New Roman" w:eastAsia="Times New Roman" w:hAnsi="Times New Roman"/>
          <w:sz w:val="14"/>
          <w:szCs w:val="14"/>
          <w:color w:val="auto"/>
        </w:rPr>
        <w:t>In certain instances, if the total number of Common Stock traded on NASDAQ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applicable period 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97" w:lineRule="exact"/>
        <w:rPr>
          <w:rFonts w:ascii="Times New Roman" w:cs="Times New Roman" w:eastAsia="Times New Roman" w:hAnsi="Times New Roman"/>
          <w:sz w:val="14"/>
          <w:szCs w:val="14"/>
          <w:color w:val="auto"/>
        </w:rPr>
      </w:pPr>
    </w:p>
    <w:p>
      <w:pPr>
        <w:ind w:left="1660" w:right="1279" w:hanging="249"/>
        <w:spacing w:after="0" w:line="248"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Minimum Acceptable Price: </w:t>
      </w:r>
      <w:r>
        <w:rPr>
          <w:rFonts w:ascii="Times New Roman" w:cs="Times New Roman" w:eastAsia="Times New Roman" w:hAnsi="Times New Roman"/>
          <w:sz w:val="14"/>
          <w:szCs w:val="14"/>
          <w:color w:val="auto"/>
        </w:rPr>
        <w:t>If the Company notifies Yorkville of a minimum acceptable price (“MAP”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defined in the SEPA), then, if during the applicable period the VWAP of the Common Stock is below the specified MAP or there is no VWAP, the amount of Common Stock set forth in the Advance will be reduced by one third (1/3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provided, however, that this lower amount may be increased if certain conditions are met.</w:t>
      </w:r>
    </w:p>
    <w:p>
      <w:pPr>
        <w:spacing w:after="0" w:line="11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The SEPA will automatically terminate on the earliest to occur of (i) November 1, 2027 or (ii) the date on which Yorkville shall have made payment of Advances equal to $75.0 million. On December 24, 2024, the Company issued Yorkville 60,000 shares of Common Stock at an effective price of $12.83 per share; on December 30, 2024, the Company issued Yorkville 75,000 shares of Common Stock at an effective price of $12.86 per share; on January 8, 2025, the Company issued Yorkville 50,000 shares of Common Stock at an effective price of $12.85 per share; on January 23, 2025, the Company issued Yorkville 4,617 shares of Common Stock at an effective price of $12.37 per share; and on January 31, 2025, the Company issued Yorkville 19,376 shares of Common Stock at an effective price of $11.93 per share, each pursuant to the terms of the SEPA.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In addition, for so long as any amounts remain outstanding under the Convertible Debentures (as defined below), if the Company submits an Advance Notice then, unless otherwise agreed by Yorkville, (1) the Company may only request an Option 2 Pricing Period (as defined in the SEPA) in such Advance Notice, and (2) all of the proceeds from such Advance Notice shall be used as an Advance Payment (as defined in the Convertible Debentures), provided that, if certain conditions have been satisfied under the Convertible Debentures, with respect to any Advance Notice, then the proceeds of such Advance Notice shall be paid to the Company.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Innventure Warrants</w:t>
      </w:r>
    </w:p>
    <w:p>
      <w:pPr>
        <w:spacing w:after="0" w:line="144"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In connection with the Business Combination, Innventure assumed that certain Warrant Agreement (the “Warrant Agreement”), dated as of October 12, 2021, by and between Learn CW and Equiniti Trust Company, LLC (f/k/a American Stock Transfer &amp; Trust Company, LLC), and each of the outstanding public warrants and outstanding private placement warrants (collectively, the “Learn CW Warrants”) to acquire one Class A ordinary share, par value $0.0001 per share, of Learn CW (a “Learn CW Ordinary Share”) were, pursuant to their terms, converted into warrants to acquire, subject to substantially the same terms and conditions as were applicable under the applicable Learn CW Warrant, the number of shares of Innventure’s Common Stock equal to the number of Learn CW Ordinary Shares for which such Learn CW Warrants shall have been exercisable.</w:t>
      </w:r>
    </w:p>
    <w:p>
      <w:pPr>
        <w:spacing w:after="0" w:line="10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Each whole Innventure Warrant entitles the registered holder to purchase one share of Common Stock at a price of $11.50 per share, subject to adjustment as discussed below, except as discussed in the immediately following paragraph. Pursuant to the Warrant Agreement, an Innventure Warrant holder may exercise its Innventure Warrants only for a whole number of shares of Common Stock. This means only a whole Innventure Warrant may be exercised at a given time by an Innventure Warrant holder. The Innventure Warrants will expire five years after the completion of the Business Combination, at 5:00 p.m., New York City time, or earlier upon redemption or liquidation.</w:t>
      </w:r>
    </w:p>
    <w:p>
      <w:pPr>
        <w:spacing w:after="0" w:line="277"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We will not be obligated to deliver any Common Stock pursuant to the exercise of an Innventure Warrant and will have no obligation to settle such Innventure Warrant exercise unless a registration statement under the Securities Act of 1933, as amended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an Innventure Warrant, the holder of such Innventure Warrant will not be entitled to exercise such Innventure Warrant and such Innventure Warrant may have no value and expire worthless. In no event will we be required to net cash settle any Innventure Warrant.</w:t>
      </w:r>
    </w:p>
    <w:p>
      <w:pPr>
        <w:spacing w:after="0" w:line="103"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No fractional shares will be issued upon exercise. If, upon exercise, a holder would be entitled to receive a fractional interest in a share, we will round down to the nearest whole number of the number of shares to be issued to the holder.</w:t>
      </w:r>
    </w:p>
    <w:p>
      <w:pPr>
        <w:sectPr>
          <w:pgSz w:w="11900" w:h="16838" w:orient="portrait"/>
          <w:cols w:equalWidth="0" w:num="1">
            <w:col w:w="9019"/>
          </w:cols>
          <w:pgMar w:left="1440" w:top="94" w:right="1440" w:bottom="0" w:gutter="0" w:footer="0" w:header="0"/>
        </w:sectPr>
      </w:pPr>
    </w:p>
    <w:bookmarkStart w:id="6" w:name="page7"/>
    <w:bookmarkEnd w:id="6"/>
    <w:p>
      <w:pPr>
        <w:spacing w:after="0" w:line="36" w:lineRule="exact"/>
        <w:rPr>
          <w:sz w:val="20"/>
          <w:szCs w:val="20"/>
          <w:color w:val="auto"/>
        </w:rPr>
      </w:pPr>
    </w:p>
    <w:p>
      <w:pPr>
        <w:ind w:left="1160" w:right="1339" w:firstLine="258"/>
        <w:spacing w:after="0" w:line="209" w:lineRule="auto"/>
        <w:rPr>
          <w:sz w:val="20"/>
          <w:szCs w:val="20"/>
          <w:color w:val="auto"/>
        </w:rPr>
      </w:pPr>
      <w:r>
        <w:rPr>
          <w:rFonts w:ascii="Times New Roman" w:cs="Times New Roman" w:eastAsia="Times New Roman" w:hAnsi="Times New Roman"/>
          <w:sz w:val="14"/>
          <w:szCs w:val="14"/>
          <w:color w:val="auto"/>
        </w:rPr>
        <w:t>The Innventure Warrant holders do not have the rights or privileges of holders of shares of Common Stock or any voting rights until they exercise their Innventure Warrants and receive shares of Common Stock.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-147955</wp:posOffset>
            </wp:positionV>
            <wp:extent cx="716026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339"/>
        <w:spacing w:after="0" w:line="272" w:lineRule="auto"/>
        <w:rPr>
          <w:sz w:val="20"/>
          <w:szCs w:val="20"/>
          <w:color w:val="auto"/>
        </w:rPr>
      </w:pPr>
      <w:r>
        <w:rPr>
          <w:rFonts w:ascii="Times New Roman" w:cs="Times New Roman" w:eastAsia="Times New Roman" w:hAnsi="Times New Roman"/>
          <w:sz w:val="14"/>
          <w:szCs w:val="14"/>
          <w:color w:val="auto"/>
        </w:rPr>
        <w:t>issuance of shares of Common Stock upon exercise of the Innventure Warrants, each holder will be entitled to one vote for each share held of record on all matters to be voted on by Innventure stockholders.</w:t>
      </w:r>
    </w:p>
    <w:p>
      <w:pPr>
        <w:spacing w:after="0" w:line="9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Ducera Issuance</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On January 31, 2024, Ducera and Innventure LLC entered into an engagement letter pursuant to which Ducera provided financial advisory and investment banking services to Innventure LLC. On December 23, 2024, the Company, Innventure LLC, and Ducera entered into an amendment to the engagement letter (the “Ducera Engagement Letter”). Pursuant to the Ducera Engagement Letter, the Company was obliged to pay Ducera shares of Common Stock in partial consideration of Ducera’s services as set forth therein. On February 3, 2025, the Company issued to Ducera 85,471 shares of Common Stock pursuant to the terms of the Ducera Engagement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Grail Issuance</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On October 18, 2024, the Company and Grail Partners LLC entered into a letter agreement (the “Grail Letter Agreement”) pursuant to which Grail Partners LLC, the Company, and Innventure LLC agreed to amend the Letter Agreement, dated October 19, 2023, by and between Innventure LLC and Grail Partners LLC. Pursuant to the Grail Letter Agreement, the Company was obliged to pay an additional success fee for certain financial advisory and merchant banking services provided by issuing $3,000,000 of Series C Preferred Stock to Grail. On March 24, 2025, the Company issued to Grail an aggregate of 300,000 shares of Series C Preferred Stock in settlement of amounts owed pursuant to the terms of the Grail Letter Agreement.</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Series C Preferred Stock Financing</w:t>
      </w:r>
    </w:p>
    <w:p>
      <w:pPr>
        <w:spacing w:after="0" w:line="144"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On March 24, 2025 (the “Series C Closing Date”), the Company entered into preferred stock purchase agreements (each, a “Series C Purchase Agreement” and, collectively, the “Series C Purchase Agreements”) with certain purchasers (the “Series C Purchasers”), pursuant to which the Company issued and sold to the Series C Purchasers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103"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Series C Purchase Agreements contain customary representations, warranties, and covenants by the parties, including certain indemnification obligations of the Series C Purchasers. The representations, warranties, and covenants contained in the Series C Purchase Agreements were made only for purposes of such agreements and as of specific dates, were solely for the benefit of the Series C Purchasers and are subject to limitations agreed upon by contracting parties. As part of the Series C Purchase Agreements, the Company is required to prepare and file a registration statement with the Commission under the Securities Act, covering the resale of the shares of Common Stock issuable upon conversion of Series C Preferred Stock within 120 days from the original issuance date, which obligation is to be satisfied hereby.</w:t>
      </w:r>
    </w:p>
    <w:p>
      <w:pPr>
        <w:spacing w:after="0" w:line="10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On the Series C Closing Date, the Company also filed a Certificate of Designations (the “Series C Preferred Stock Certificate of Designations”) with the Secretary of State of the State of Delaware setting forth the terms, rights, obligations and preferences of the Series C Preferred Stock, which became effective upon filing. Pursuant to the Series C Preferred Certificate of Designation, the shares of Series C Preferred Stock have a maturity date five years after the Series C Closing Date and carry an annual 8.0% cumulative dividend, which will be paid prior to and in preference over any Junior Stock or Parity Stock (each as defined below). On the last day of the last quarter in each fiscal year of the Company, such dividends will be made as a payment in kind.. “Junior Stock” means (i) the Common Stock, (ii) any other preferred stock, other than the Company’s Series B preferred stock, par value $0.0001 per share (“Series B Preferred Stock”), and (ii) any other equity interest of the Company, in each case which by its terms ranks junior to the Series C Preferred Stock with respect to payment of dividends and/or distribution of assets. “Parity Stock” means the Company’s Series B Preferred Stock and any equity interest of the Company hereinafter created which by its terms ranks pari passu with the Series C Preferred Stock.</w:t>
      </w:r>
    </w:p>
    <w:p>
      <w:pPr>
        <w:spacing w:after="0" w:line="106"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With respect to (i) payment of dividends, (ii) distribution of assets and (iii) all other liquidation, winding up, dissolution, dividend and redemption rights, the Series C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 Per each whole share of Series C Preferred Stock, the holders of Series C Preferred Stock will be entitled to cast the number of votes equal to (i) the original issue price, which is $10.00 (the “Original Issue Price”), divided by (ii) the Minimum Price (as defined in NASDAQ Listing Rule 5635(d)) of Common Stock as of the Initial Issue Date (as determined by reference to the NASDAQ Official Closing Price) and will vote with the holders of the Common Stock as a single class and on an as-converted basis, except as provided by law or applicable NASDAQ listing rules.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74"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Shares of Series C Preferred Stock are subject to (i) a mandatory conversion on the date that is five years after</w:t>
      </w:r>
    </w:p>
    <w:p>
      <w:pPr>
        <w:sectPr>
          <w:pgSz w:w="11900" w:h="16874" w:orient="portrait"/>
          <w:cols w:equalWidth="0" w:num="1">
            <w:col w:w="9019"/>
          </w:cols>
          <w:pgMar w:left="1440" w:top="94" w:right="1440" w:bottom="0" w:gutter="0" w:footer="0" w:header="0"/>
          <w:type w:val="continuous"/>
        </w:sectPr>
      </w:pPr>
    </w:p>
    <w:bookmarkStart w:id="7" w:name="page8"/>
    <w:bookmarkEnd w:id="7"/>
    <w:p>
      <w:pPr>
        <w:spacing w:after="0" w:line="47" w:lineRule="exact"/>
        <w:rPr>
          <w:sz w:val="20"/>
          <w:szCs w:val="20"/>
          <w:color w:val="auto"/>
        </w:rPr>
      </w:pPr>
    </w:p>
    <w:p>
      <w:pPr>
        <w:ind w:left="1160" w:right="1199"/>
        <w:spacing w:after="0" w:line="259" w:lineRule="auto"/>
        <w:rPr>
          <w:sz w:val="20"/>
          <w:szCs w:val="20"/>
          <w:color w:val="auto"/>
        </w:rPr>
      </w:pPr>
      <w:r>
        <w:rPr>
          <w:rFonts w:ascii="Times New Roman" w:cs="Times New Roman" w:eastAsia="Times New Roman" w:hAnsi="Times New Roman"/>
          <w:sz w:val="14"/>
          <w:szCs w:val="14"/>
          <w:color w:val="auto"/>
        </w:rPr>
        <w:t>original issuance (the “Series C Maturity Date”) and (ii) an optional conversion, at the election of the holder, at any time prior to the Series C Maturity Date upon the effectiveness of a registration statement by the Company registering the underlying shares of Common Stock issuable upon conversion (including this registration statement). The number of shares of Common Stock that each holder of Series C Preferred Stock will receive upon conversion of all of such holder’s shares of Series C Preferred Stock will be the number of shares equal to the Series C Conversion Rate (as defined below) multiplied by the number of shares of Series C Preferred Stock held by such holder (subject to a threshold amount). No fractional shares shall be issued upon the exercise of any conversion right. Any fractional shares that a holder would otherwise be entitled to will be rounded up to the next whole share. The “Series C Conversion Rate” means a fraction whose numerator is the Original Issue Price and whose denominator is the lesser of (i) the Reset Conversion Price or (ii) $12.50. The “Reset Conversion Price” means the greater of (a) $5.00 and (b) the 10-trading day volume-weighted average closing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-1196340</wp:posOffset>
            </wp:positionV>
            <wp:extent cx="716026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Yorkville Convertible Debentures</w:t>
      </w:r>
    </w:p>
    <w:p>
      <w:pPr>
        <w:spacing w:after="0" w:line="14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On March 25, 2025, the Company entered into the Securities Purchase Agreement with Yorkville, in connection with the issuance and sale by the Company of Convertible Debentures issuable in an aggregate principal amount of up to $30,000,000, which Convertible Debentures will be convertible into shares of the Company’s Common Stock (as converted, the “Conversion Shares”). Pursuant to the Securities Purchase Agreement, Yorkville purchased, and the Company issued, $20,000,000 in aggregate principal amount of Convertible Debentures (the “First Convertible Debenture”) on April 14, 2025 (the “First Closing”). Yorkville will purchase and the Company will issue an additional $10,000,000 in aggregate principal amount of Convertible Debentures (the “Second Convertible Debenture”) after both (i) a registration statement is filed with the SEC registering the resale of the Conversion Shares and is declared effective by the SEC and (ii) the Company has received stockholder approval either through affirmative votes in the Company’s annual meeting or irrevocable proxies to do the same by a majority of the voting power of the Company of the issuance of Conversion Shares and shares issuable pursuant to the SEPA in excess of the Exchange Cap.</w:t>
      </w:r>
    </w:p>
    <w:p>
      <w:pPr>
        <w:spacing w:after="0" w:line="2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Convertible Debentures will not bear interest unless an event of default occurs and remains uncured, upon</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which the Convertible Debentures will bear interest at an annual rate of 18.0%. The Convertible Debentures will</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mature on July 14, 2026 (the “Maturity Date”). The First Convertible Debenture resulted in gross proceeds to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Company of approximately $18,000,000, representing an original issue discount of 10%. Upon issuance and sale,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Second Convertible Debenture is expect to result in gross proceeds to the Company of approximately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$9,000,000, representing an original issue discount of 10%. The Company will be required to make monthly cash</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payments of principal in amounts between $1,000,000 and $3,000,000 (as per the schedule set forth in the First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Convertible Debenture and to be set in a schedule set forth in the Second Convertible Debenture) plus a payment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premium of 5% and all accrued and unpaid interest as of the date of such installment. Such payments will commence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30 days following the date of issuance of the applicable Convertible Debenture and will continue on a monthly basis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thereafter until the applicable Convertible Debenture is repaid in full.</w:t>
      </w:r>
    </w:p>
    <w:p>
      <w:pPr>
        <w:spacing w:after="0" w:line="126"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The Convertible Debentures are and will be convertible at the option of the holder into Common Stock equal to the applicable Conversion Amount (as defined below) divided by the Conversion Price (as defined below). The conversion price for the Convertible Debentures will initially be $10.00, and will be adjusted on the six-month anniversary of the first business day after certain closing conditions are satisfied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SPA Exchange Cap (as defined below). The Conversion Amount with respect to any requested conversion will equal the principal amount requested to be converted plus all accrued and unpaid interest on the applicable Convertible Debenture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(the “SPA Exchange Cap”). The SPA Exchange Cap will not apply under certain circumstances, including if the Company obtains the approval of its stockholders as required by the applicable rules of the NASDAQ for issuances of Common Stock in excess of such amount or if the Company obtains a written opinion from outside counsel to the Company that such stockholder approval is not required.</w:t>
      </w:r>
    </w:p>
    <w:p>
      <w:pPr>
        <w:spacing w:after="0" w:line="103"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Convertible Debentures provide the Company, subject to certain conditions, with an optional redemption right pursuant to which the Company, upon 10 trading days’ prior written notice to Yorkville (the “Redemption Notice”), may redeem in cash, in whole or in part, all amounts outstanding under the Convertible Debentures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7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2025 WTI Warrants</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On April 14, 2025, the Company issued two warrants to purchase up to an aggregate total of 300,000 shares of Common Stock (the “2025 WTI Warrants”) to WTI Fund X, LLC and WTI Fund XI, LLC (the “WTI Holders”), respectively, as consideration for WTI Fund X, Inc., WTI Fund XI, Inc., WTI Fund X, LLC and WTI Fund XI, LLC (collectively, the “WTI Entities”) entering into a consent with the Company and Innventure LLC, dated March 21, 2025, pursuant to which, among other things, the WTI Entities consented to (i) the Company entering into the Securities Purchase Agreement and the transactions contemplated thereby and (ii) the Company’s issuance of Series C Preferred Stock and the payoffs of certain related party loans (as described herein). Please see the section titled “</w:t>
      </w:r>
      <w:r>
        <w:rPr>
          <w:rFonts w:ascii="Times New Roman" w:cs="Times New Roman" w:eastAsia="Times New Roman" w:hAnsi="Times New Roman"/>
          <w:sz w:val="14"/>
          <w:szCs w:val="14"/>
          <w:i w:val="1"/>
          <w:iCs w:val="1"/>
          <w:color w:val="auto"/>
        </w:rPr>
        <w:t>Shares Eligible for Future Sale</w:t>
      </w:r>
      <w:r>
        <w:rPr>
          <w:rFonts w:ascii="Times New Roman" w:cs="Times New Roman" w:eastAsia="Times New Roman" w:hAnsi="Times New Roman"/>
          <w:sz w:val="14"/>
          <w:szCs w:val="14"/>
          <w:color w:val="auto"/>
        </w:rPr>
        <w:t>” elsewhere in this prospectus for more information.</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are an “emerging growth company” as defined in Section 2(a)(19) of the Securities Act, as modified by the</w:t>
      </w:r>
    </w:p>
    <w:p>
      <w:pPr>
        <w:sectPr>
          <w:pgSz w:w="11900" w:h="16885" w:orient="portrait"/>
          <w:cols w:equalWidth="0" w:num="1">
            <w:col w:w="9019"/>
          </w:cols>
          <w:pgMar w:left="1440" w:top="114" w:right="1440" w:bottom="0" w:gutter="0" w:footer="0" w:header="0"/>
        </w:sectPr>
      </w:pPr>
    </w:p>
    <w:bookmarkStart w:id="8" w:name="page9"/>
    <w:bookmarkEnd w:id="8"/>
    <w:p>
      <w:pPr>
        <w:ind w:left="1160" w:right="1259"/>
        <w:spacing w:after="0" w:line="265" w:lineRule="auto"/>
        <w:rPr>
          <w:sz w:val="20"/>
          <w:szCs w:val="20"/>
          <w:color w:val="auto"/>
        </w:rPr>
      </w:pPr>
      <w:r>
        <w:rPr>
          <w:rFonts w:ascii="Times New Roman" w:cs="Times New Roman" w:eastAsia="Times New Roman" w:hAnsi="Times New Roman"/>
          <w:sz w:val="14"/>
          <w:szCs w:val="14"/>
          <w:color w:val="auto"/>
        </w:rPr>
        <w:t>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-554355</wp:posOffset>
            </wp:positionV>
            <wp:extent cx="716026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9"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42"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titled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 that represent challenges that we face in connection with the successful implementation of our strategy and growth of our business.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42"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Issuer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Innventure, Inc.</w:t>
      </w:r>
    </w:p>
    <w:p>
      <w:pPr>
        <w:sectPr>
          <w:pgSz w:w="11900" w:h="16838" w:orient="portrait"/>
          <w:cols w:equalWidth="0" w:num="1">
            <w:col w:w="9019"/>
          </w:cols>
          <w:pgMar w:left="1440" w:top="125" w:right="1440" w:bottom="201" w:gutter="0" w:footer="0" w:header="0"/>
        </w:sectPr>
      </w:pPr>
    </w:p>
    <w:p>
      <w:pPr>
        <w:spacing w:after="0" w:line="1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Shares of Common Stock to be issued upon</w:t>
      </w:r>
    </w:p>
    <w:p>
      <w:pPr>
        <w:ind w:left="1200"/>
        <w:spacing w:after="0"/>
        <w:rPr>
          <w:sz w:val="20"/>
          <w:szCs w:val="20"/>
          <w:color w:val="auto"/>
        </w:rPr>
      </w:pPr>
      <w:r>
        <w:rPr>
          <w:rFonts w:ascii="Times New Roman" w:cs="Times New Roman" w:eastAsia="Times New Roman" w:hAnsi="Times New Roman"/>
          <w:sz w:val="14"/>
          <w:szCs w:val="14"/>
          <w:color w:val="auto"/>
        </w:rPr>
        <w:t xml:space="preserve">exercise of the Innventure Warrants </w:t>
      </w:r>
      <w:r>
        <w:rPr>
          <w:rFonts w:ascii="Times New Roman" w:cs="Times New Roman" w:eastAsia="Times New Roman" w:hAnsi="Times New Roman"/>
          <w:sz w:val="14"/>
          <w:szCs w:val="14"/>
          <w:color w:val="B4B4B4"/>
        </w:rPr>
        <w:t>........................</w:t>
      </w:r>
    </w:p>
    <w:p>
      <w:pPr>
        <w:spacing w:after="0" w:line="102" w:lineRule="exact"/>
        <w:rPr>
          <w:sz w:val="20"/>
          <w:szCs w:val="20"/>
          <w:color w:val="auto"/>
        </w:rPr>
      </w:pPr>
    </w:p>
    <w:p>
      <w:pPr>
        <w:ind w:left="1380" w:right="80" w:hanging="192"/>
        <w:spacing w:after="0" w:line="221" w:lineRule="auto"/>
        <w:rPr>
          <w:sz w:val="20"/>
          <w:szCs w:val="20"/>
          <w:color w:val="auto"/>
        </w:rPr>
      </w:pPr>
      <w:r>
        <w:rPr>
          <w:rFonts w:ascii="Times New Roman" w:cs="Times New Roman" w:eastAsia="Times New Roman" w:hAnsi="Times New Roman"/>
          <w:sz w:val="14"/>
          <w:szCs w:val="14"/>
          <w:color w:val="auto"/>
        </w:rPr>
        <w:t>Shares of Common Stock that may be offered and sold from time to time by the Selling Stockholders named herein or their permitted</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 xml:space="preserve">transferees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18,386,688</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 to 15,965,989 shares of Common Stock, which includes (i)</w:t>
      </w:r>
    </w:p>
    <w:p>
      <w:pPr>
        <w:spacing w:after="0" w:line="5" w:lineRule="exact"/>
        <w:rPr>
          <w:sz w:val="20"/>
          <w:szCs w:val="20"/>
          <w:color w:val="auto"/>
        </w:rPr>
      </w:pPr>
    </w:p>
    <w:p>
      <w:pPr>
        <w:ind w:right="1339"/>
        <w:spacing w:after="0" w:line="213" w:lineRule="auto"/>
        <w:rPr>
          <w:sz w:val="20"/>
          <w:szCs w:val="20"/>
          <w:color w:val="auto"/>
        </w:rPr>
      </w:pPr>
      <w:r>
        <w:rPr>
          <w:rFonts w:ascii="Times New Roman" w:cs="Times New Roman" w:eastAsia="Times New Roman" w:hAnsi="Times New Roman"/>
          <w:sz w:val="14"/>
          <w:szCs w:val="14"/>
          <w:color w:val="auto"/>
        </w:rPr>
        <w:t>up to 8,480,518 shares of Common Stock that may be issued upon conversion of Series C Preferred Stock, (ii) 85,471 shares of Common Stock issued to Ducera, (iii) up to</w:t>
      </w:r>
    </w:p>
    <w:p>
      <w:pPr>
        <w:spacing w:after="0" w:line="1" w:lineRule="exact"/>
        <w:rPr>
          <w:sz w:val="20"/>
          <w:szCs w:val="20"/>
          <w:color w:val="auto"/>
        </w:rPr>
      </w:pPr>
    </w:p>
    <w:p>
      <w:pPr>
        <w:jc w:val="both"/>
        <w:ind w:right="1299"/>
        <w:spacing w:after="0" w:line="213" w:lineRule="auto"/>
        <w:rPr>
          <w:sz w:val="20"/>
          <w:szCs w:val="20"/>
          <w:color w:val="auto"/>
        </w:rPr>
      </w:pPr>
      <w:r>
        <w:rPr>
          <w:rFonts w:ascii="Times New Roman" w:cs="Times New Roman" w:eastAsia="Times New Roman" w:hAnsi="Times New Roman"/>
          <w:sz w:val="14"/>
          <w:szCs w:val="14"/>
          <w:color w:val="auto"/>
        </w:rPr>
        <w:t>3,000,000 shares of Common Stock that may be issued upon the conversion of Convertible Debentures issued to Yorkville pursuant to the Securities Purchase Agreement, (iv) up to</w:t>
      </w:r>
    </w:p>
    <w:p>
      <w:pPr>
        <w:spacing w:after="0" w:line="1" w:lineRule="exact"/>
        <w:rPr>
          <w:sz w:val="20"/>
          <w:szCs w:val="20"/>
          <w:color w:val="auto"/>
        </w:rPr>
      </w:pPr>
    </w:p>
    <w:p>
      <w:pPr>
        <w:ind w:right="1219"/>
        <w:spacing w:after="0" w:line="213" w:lineRule="auto"/>
        <w:rPr>
          <w:sz w:val="20"/>
          <w:szCs w:val="20"/>
          <w:color w:val="auto"/>
        </w:rPr>
      </w:pPr>
      <w:r>
        <w:rPr>
          <w:rFonts w:ascii="Times New Roman" w:cs="Times New Roman" w:eastAsia="Times New Roman" w:hAnsi="Times New Roman"/>
          <w:sz w:val="14"/>
          <w:szCs w:val="14"/>
          <w:color w:val="auto"/>
        </w:rPr>
        <w:t>4,100,000 shares of Common Stock that we may issue and sell to Yorkville from time to time pursuant to the SEPA (without exceeding the Exchange Cap) and (v) 300,000 shares of</w:t>
      </w:r>
    </w:p>
    <w:p>
      <w:pPr>
        <w:spacing w:after="0" w:line="1" w:lineRule="exact"/>
        <w:rPr>
          <w:sz w:val="20"/>
          <w:szCs w:val="20"/>
          <w:color w:val="auto"/>
        </w:rPr>
      </w:pPr>
    </w:p>
    <w:p>
      <w:pPr>
        <w:ind w:right="1299"/>
        <w:spacing w:after="0" w:line="230" w:lineRule="auto"/>
        <w:rPr>
          <w:sz w:val="20"/>
          <w:szCs w:val="20"/>
          <w:color w:val="auto"/>
        </w:rPr>
      </w:pPr>
      <w:r>
        <w:rPr>
          <w:rFonts w:ascii="Times New Roman" w:cs="Times New Roman" w:eastAsia="Times New Roman" w:hAnsi="Times New Roman"/>
          <w:sz w:val="14"/>
          <w:szCs w:val="14"/>
          <w:color w:val="auto"/>
        </w:rPr>
        <w:t>Common Stock that may be issued upon exercise of the 2025 WTI Warrants.</w:t>
      </w:r>
    </w:p>
    <w:p>
      <w:pPr>
        <w:spacing w:after="0" w:line="84" w:lineRule="exact"/>
        <w:rPr>
          <w:sz w:val="20"/>
          <w:szCs w:val="20"/>
          <w:color w:val="auto"/>
        </w:rPr>
      </w:pPr>
    </w:p>
    <w:p>
      <w:pPr>
        <w:sectPr>
          <w:pgSz w:w="11900" w:h="16838" w:orient="portrait"/>
          <w:cols w:equalWidth="0" w:num="2">
            <w:col w:w="4140" w:space="60"/>
            <w:col w:w="4819"/>
          </w:cols>
          <w:pgMar w:left="1440" w:top="125" w:right="1440" w:bottom="201"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 xml:space="preserve">Shares of Common Stock outstanding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47,106,300 (as of April 11, 2025)</w:t>
      </w:r>
    </w:p>
    <w:p>
      <w:pPr>
        <w:spacing w:after="0" w:line="12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Use of proceeds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We will not receive any of the proceeds from such sales of the</w:t>
      </w:r>
    </w:p>
    <w:p>
      <w:pPr>
        <w:ind w:left="4200"/>
        <w:spacing w:after="0" w:line="208" w:lineRule="auto"/>
        <w:rPr>
          <w:sz w:val="20"/>
          <w:szCs w:val="20"/>
          <w:color w:val="auto"/>
        </w:rPr>
      </w:pPr>
      <w:r>
        <w:rPr>
          <w:rFonts w:ascii="Times New Roman" w:cs="Times New Roman" w:eastAsia="Times New Roman" w:hAnsi="Times New Roman"/>
          <w:sz w:val="14"/>
          <w:szCs w:val="14"/>
          <w:color w:val="auto"/>
        </w:rPr>
        <w:t>shares of our Common Stock by the Selling Stockholders.</w:t>
      </w:r>
    </w:p>
    <w:p>
      <w:pPr>
        <w:ind w:left="4200"/>
        <w:spacing w:after="0" w:line="224" w:lineRule="auto"/>
        <w:rPr>
          <w:sz w:val="20"/>
          <w:szCs w:val="20"/>
          <w:color w:val="auto"/>
        </w:rPr>
      </w:pPr>
      <w:r>
        <w:rPr>
          <w:rFonts w:ascii="Times New Roman" w:cs="Times New Roman" w:eastAsia="Times New Roman" w:hAnsi="Times New Roman"/>
          <w:sz w:val="14"/>
          <w:szCs w:val="14"/>
          <w:color w:val="auto"/>
        </w:rPr>
        <w:t>However, we may receive (i) up to $75.0 million in aggregate</w:t>
      </w:r>
    </w:p>
    <w:p>
      <w:pPr>
        <w:ind w:left="4200"/>
        <w:spacing w:after="0" w:line="208" w:lineRule="auto"/>
        <w:rPr>
          <w:sz w:val="20"/>
          <w:szCs w:val="20"/>
          <w:color w:val="auto"/>
        </w:rPr>
      </w:pPr>
      <w:r>
        <w:rPr>
          <w:rFonts w:ascii="Times New Roman" w:cs="Times New Roman" w:eastAsia="Times New Roman" w:hAnsi="Times New Roman"/>
          <w:sz w:val="14"/>
          <w:szCs w:val="14"/>
          <w:color w:val="auto"/>
        </w:rPr>
        <w:t>gross proceeds from sales of shares of Common Stock to</w:t>
      </w:r>
    </w:p>
    <w:p>
      <w:pPr>
        <w:ind w:left="4200"/>
        <w:spacing w:after="0" w:line="208" w:lineRule="auto"/>
        <w:rPr>
          <w:sz w:val="20"/>
          <w:szCs w:val="20"/>
          <w:color w:val="auto"/>
        </w:rPr>
      </w:pPr>
      <w:r>
        <w:rPr>
          <w:rFonts w:ascii="Times New Roman" w:cs="Times New Roman" w:eastAsia="Times New Roman" w:hAnsi="Times New Roman"/>
          <w:sz w:val="14"/>
          <w:szCs w:val="14"/>
          <w:color w:val="auto"/>
        </w:rPr>
        <w:t>Yorkville pursuant to the SEPA, from time to time in our</w:t>
      </w:r>
    </w:p>
    <w:p>
      <w:pPr>
        <w:ind w:left="4200"/>
        <w:spacing w:after="0" w:line="224" w:lineRule="auto"/>
        <w:rPr>
          <w:sz w:val="20"/>
          <w:szCs w:val="20"/>
          <w:color w:val="auto"/>
        </w:rPr>
      </w:pPr>
      <w:r>
        <w:rPr>
          <w:rFonts w:ascii="Times New Roman" w:cs="Times New Roman" w:eastAsia="Times New Roman" w:hAnsi="Times New Roman"/>
          <w:sz w:val="14"/>
          <w:szCs w:val="14"/>
          <w:color w:val="auto"/>
        </w:rPr>
        <w:t>discretion after the date of the registration statement that</w:t>
      </w:r>
    </w:p>
    <w:p>
      <w:pPr>
        <w:ind w:left="4200"/>
        <w:spacing w:after="0" w:line="208" w:lineRule="auto"/>
        <w:rPr>
          <w:sz w:val="20"/>
          <w:szCs w:val="20"/>
          <w:color w:val="auto"/>
        </w:rPr>
      </w:pPr>
      <w:r>
        <w:rPr>
          <w:rFonts w:ascii="Times New Roman" w:cs="Times New Roman" w:eastAsia="Times New Roman" w:hAnsi="Times New Roman"/>
          <w:sz w:val="14"/>
          <w:szCs w:val="14"/>
          <w:color w:val="auto"/>
        </w:rPr>
        <w:t>includes this prospectus and subject to satisfaction of other</w:t>
      </w:r>
    </w:p>
    <w:p>
      <w:pPr>
        <w:ind w:left="4200"/>
        <w:spacing w:after="0" w:line="208" w:lineRule="auto"/>
        <w:rPr>
          <w:sz w:val="20"/>
          <w:szCs w:val="20"/>
          <w:color w:val="auto"/>
        </w:rPr>
      </w:pPr>
      <w:r>
        <w:rPr>
          <w:rFonts w:ascii="Times New Roman" w:cs="Times New Roman" w:eastAsia="Times New Roman" w:hAnsi="Times New Roman"/>
          <w:sz w:val="14"/>
          <w:szCs w:val="14"/>
          <w:color w:val="auto"/>
        </w:rPr>
        <w:t>conditions in the SEPA, and (ii) de minimis gross proceeds</w:t>
      </w:r>
    </w:p>
    <w:p>
      <w:pPr>
        <w:ind w:left="4200"/>
        <w:spacing w:after="0" w:line="225" w:lineRule="auto"/>
        <w:rPr>
          <w:sz w:val="20"/>
          <w:szCs w:val="20"/>
          <w:color w:val="auto"/>
        </w:rPr>
      </w:pPr>
      <w:r>
        <w:rPr>
          <w:rFonts w:ascii="Times New Roman" w:cs="Times New Roman" w:eastAsia="Times New Roman" w:hAnsi="Times New Roman"/>
          <w:sz w:val="14"/>
          <w:szCs w:val="14"/>
          <w:color w:val="auto"/>
        </w:rPr>
        <w:t>upon exercise of the 2025 WTI Warrants, to the extent such</w:t>
      </w:r>
    </w:p>
    <w:p>
      <w:pPr>
        <w:ind w:left="4200"/>
        <w:spacing w:after="0" w:line="208" w:lineRule="auto"/>
        <w:rPr>
          <w:sz w:val="20"/>
          <w:szCs w:val="20"/>
          <w:color w:val="auto"/>
        </w:rPr>
      </w:pPr>
      <w:r>
        <w:rPr>
          <w:rFonts w:ascii="Times New Roman" w:cs="Times New Roman" w:eastAsia="Times New Roman" w:hAnsi="Times New Roman"/>
          <w:sz w:val="14"/>
          <w:szCs w:val="14"/>
          <w:color w:val="auto"/>
        </w:rPr>
        <w:t>warrants are exercised for cash.</w:t>
      </w:r>
    </w:p>
    <w:p>
      <w:pPr>
        <w:ind w:left="4200"/>
        <w:spacing w:after="0" w:line="208" w:lineRule="auto"/>
        <w:rPr>
          <w:sz w:val="20"/>
          <w:szCs w:val="20"/>
          <w:color w:val="auto"/>
        </w:rPr>
      </w:pPr>
      <w:r>
        <w:rPr>
          <w:rFonts w:ascii="Times New Roman" w:cs="Times New Roman" w:eastAsia="Times New Roman" w:hAnsi="Times New Roman"/>
          <w:sz w:val="14"/>
          <w:szCs w:val="14"/>
          <w:color w:val="auto"/>
        </w:rPr>
        <w:t>Additionally, we could receive up to an aggregate of</w:t>
      </w:r>
    </w:p>
    <w:p>
      <w:pPr>
        <w:ind w:left="4200"/>
        <w:spacing w:after="0" w:line="224" w:lineRule="auto"/>
        <w:rPr>
          <w:sz w:val="20"/>
          <w:szCs w:val="20"/>
          <w:color w:val="auto"/>
        </w:rPr>
      </w:pPr>
      <w:r>
        <w:rPr>
          <w:rFonts w:ascii="Times New Roman" w:cs="Times New Roman" w:eastAsia="Times New Roman" w:hAnsi="Times New Roman"/>
          <w:sz w:val="14"/>
          <w:szCs w:val="14"/>
          <w:color w:val="auto"/>
        </w:rPr>
        <w:t>approximately $214.4 million in proceeds from the exercise of</w:t>
      </w:r>
    </w:p>
    <w:p>
      <w:pPr>
        <w:ind w:left="4200"/>
        <w:spacing w:after="0" w:line="208" w:lineRule="auto"/>
        <w:rPr>
          <w:sz w:val="20"/>
          <w:szCs w:val="20"/>
          <w:color w:val="auto"/>
        </w:rPr>
      </w:pPr>
      <w:r>
        <w:rPr>
          <w:rFonts w:ascii="Times New Roman" w:cs="Times New Roman" w:eastAsia="Times New Roman" w:hAnsi="Times New Roman"/>
          <w:sz w:val="14"/>
          <w:szCs w:val="14"/>
          <w:color w:val="auto"/>
        </w:rPr>
        <w:t>the Innventure Warrants, assuming the exercise in full of all of</w:t>
      </w:r>
    </w:p>
    <w:p>
      <w:pPr>
        <w:ind w:left="4200"/>
        <w:spacing w:after="0" w:line="208" w:lineRule="auto"/>
        <w:rPr>
          <w:sz w:val="20"/>
          <w:szCs w:val="20"/>
          <w:color w:val="auto"/>
        </w:rPr>
      </w:pPr>
      <w:r>
        <w:rPr>
          <w:rFonts w:ascii="Times New Roman" w:cs="Times New Roman" w:eastAsia="Times New Roman" w:hAnsi="Times New Roman"/>
          <w:sz w:val="14"/>
          <w:szCs w:val="14"/>
          <w:color w:val="auto"/>
        </w:rPr>
        <w:t>the Innventure Warrants for cash. We believe the likelihood</w:t>
      </w:r>
    </w:p>
    <w:p>
      <w:pPr>
        <w:ind w:left="4200"/>
        <w:spacing w:after="0" w:line="224" w:lineRule="auto"/>
        <w:rPr>
          <w:sz w:val="20"/>
          <w:szCs w:val="20"/>
          <w:color w:val="auto"/>
        </w:rPr>
      </w:pPr>
      <w:r>
        <w:rPr>
          <w:rFonts w:ascii="Times New Roman" w:cs="Times New Roman" w:eastAsia="Times New Roman" w:hAnsi="Times New Roman"/>
          <w:sz w:val="14"/>
          <w:szCs w:val="14"/>
          <w:color w:val="auto"/>
        </w:rPr>
        <w:t>that warrant holders will exercise their Innventure Warrants,</w:t>
      </w:r>
    </w:p>
    <w:p>
      <w:pPr>
        <w:ind w:left="4200"/>
        <w:spacing w:after="0" w:line="209" w:lineRule="auto"/>
        <w:rPr>
          <w:sz w:val="20"/>
          <w:szCs w:val="20"/>
          <w:color w:val="auto"/>
        </w:rPr>
      </w:pPr>
      <w:r>
        <w:rPr>
          <w:rFonts w:ascii="Times New Roman" w:cs="Times New Roman" w:eastAsia="Times New Roman" w:hAnsi="Times New Roman"/>
          <w:sz w:val="14"/>
          <w:szCs w:val="14"/>
          <w:color w:val="auto"/>
        </w:rPr>
        <w:t>and therefore the amount of cash proceeds that we would</w:t>
      </w:r>
    </w:p>
    <w:p>
      <w:pPr>
        <w:ind w:left="4200"/>
        <w:spacing w:after="0" w:line="208" w:lineRule="auto"/>
        <w:rPr>
          <w:sz w:val="20"/>
          <w:szCs w:val="20"/>
          <w:color w:val="auto"/>
        </w:rPr>
      </w:pPr>
      <w:r>
        <w:rPr>
          <w:rFonts w:ascii="Times New Roman" w:cs="Times New Roman" w:eastAsia="Times New Roman" w:hAnsi="Times New Roman"/>
          <w:sz w:val="14"/>
          <w:szCs w:val="14"/>
          <w:color w:val="auto"/>
        </w:rPr>
        <w:t>receive, is dependent upon the market price of our Common</w:t>
      </w:r>
    </w:p>
    <w:p>
      <w:pPr>
        <w:ind w:left="4200"/>
        <w:spacing w:after="0" w:line="224" w:lineRule="auto"/>
        <w:rPr>
          <w:sz w:val="20"/>
          <w:szCs w:val="20"/>
          <w:color w:val="auto"/>
        </w:rPr>
      </w:pPr>
      <w:r>
        <w:rPr>
          <w:rFonts w:ascii="Times New Roman" w:cs="Times New Roman" w:eastAsia="Times New Roman" w:hAnsi="Times New Roman"/>
          <w:sz w:val="14"/>
          <w:szCs w:val="14"/>
          <w:color w:val="auto"/>
        </w:rPr>
        <w:t>Stock. As of the date of this prospectus, all of the Innventure</w:t>
      </w:r>
    </w:p>
    <w:p>
      <w:pPr>
        <w:ind w:left="4200"/>
        <w:spacing w:after="0" w:line="208" w:lineRule="auto"/>
        <w:rPr>
          <w:sz w:val="20"/>
          <w:szCs w:val="20"/>
          <w:color w:val="auto"/>
        </w:rPr>
      </w:pPr>
      <w:r>
        <w:rPr>
          <w:rFonts w:ascii="Times New Roman" w:cs="Times New Roman" w:eastAsia="Times New Roman" w:hAnsi="Times New Roman"/>
          <w:sz w:val="14"/>
          <w:szCs w:val="14"/>
          <w:color w:val="auto"/>
        </w:rPr>
        <w:t>Warrants are “out of the money,” meaning the exercise price is</w:t>
      </w:r>
    </w:p>
    <w:p>
      <w:pPr>
        <w:ind w:left="4200"/>
        <w:spacing w:after="0" w:line="208" w:lineRule="auto"/>
        <w:rPr>
          <w:sz w:val="20"/>
          <w:szCs w:val="20"/>
          <w:color w:val="auto"/>
        </w:rPr>
      </w:pPr>
      <w:r>
        <w:rPr>
          <w:rFonts w:ascii="Times New Roman" w:cs="Times New Roman" w:eastAsia="Times New Roman" w:hAnsi="Times New Roman"/>
          <w:sz w:val="14"/>
          <w:szCs w:val="14"/>
          <w:color w:val="auto"/>
        </w:rPr>
        <w:t>higher than the market price of our Common Stock. Holders</w:t>
      </w:r>
    </w:p>
    <w:p>
      <w:pPr>
        <w:ind w:left="4200"/>
        <w:spacing w:after="0" w:line="224" w:lineRule="auto"/>
        <w:rPr>
          <w:sz w:val="20"/>
          <w:szCs w:val="20"/>
          <w:color w:val="auto"/>
        </w:rPr>
      </w:pPr>
      <w:r>
        <w:rPr>
          <w:rFonts w:ascii="Times New Roman" w:cs="Times New Roman" w:eastAsia="Times New Roman" w:hAnsi="Times New Roman"/>
          <w:sz w:val="14"/>
          <w:szCs w:val="14"/>
          <w:color w:val="auto"/>
        </w:rPr>
        <w:t>of such “out of the money” Innventure Warrants are not likely</w:t>
      </w:r>
    </w:p>
    <w:p>
      <w:pPr>
        <w:ind w:left="4200"/>
        <w:spacing w:after="0" w:line="208" w:lineRule="auto"/>
        <w:rPr>
          <w:sz w:val="20"/>
          <w:szCs w:val="20"/>
          <w:color w:val="auto"/>
        </w:rPr>
      </w:pPr>
      <w:r>
        <w:rPr>
          <w:rFonts w:ascii="Times New Roman" w:cs="Times New Roman" w:eastAsia="Times New Roman" w:hAnsi="Times New Roman"/>
          <w:sz w:val="14"/>
          <w:szCs w:val="14"/>
          <w:color w:val="auto"/>
        </w:rPr>
        <w:t>to exercise such Innventure Warrants.</w:t>
      </w:r>
    </w:p>
    <w:p>
      <w:pPr>
        <w:ind w:left="4200"/>
        <w:spacing w:after="0" w:line="208" w:lineRule="auto"/>
        <w:rPr>
          <w:sz w:val="20"/>
          <w:szCs w:val="20"/>
          <w:color w:val="auto"/>
        </w:rPr>
      </w:pPr>
      <w:r>
        <w:rPr>
          <w:rFonts w:ascii="Times New Roman" w:cs="Times New Roman" w:eastAsia="Times New Roman" w:hAnsi="Times New Roman"/>
          <w:sz w:val="14"/>
          <w:szCs w:val="14"/>
          <w:color w:val="auto"/>
        </w:rPr>
        <w:t>We will not receive any proceeds from the exercise of 2025</w:t>
      </w:r>
    </w:p>
    <w:p>
      <w:pPr>
        <w:ind w:left="4200"/>
        <w:spacing w:after="0" w:line="225" w:lineRule="auto"/>
        <w:rPr>
          <w:sz w:val="20"/>
          <w:szCs w:val="20"/>
          <w:color w:val="auto"/>
        </w:rPr>
      </w:pPr>
      <w:r>
        <w:rPr>
          <w:rFonts w:ascii="Times New Roman" w:cs="Times New Roman" w:eastAsia="Times New Roman" w:hAnsi="Times New Roman"/>
          <w:sz w:val="14"/>
          <w:szCs w:val="14"/>
          <w:color w:val="auto"/>
        </w:rPr>
        <w:t>WTI Warrants or Innventure Warrants on a cashless basis.</w:t>
      </w:r>
    </w:p>
    <w:p>
      <w:pPr>
        <w:ind w:left="4200"/>
        <w:spacing w:after="0" w:line="208" w:lineRule="auto"/>
        <w:rPr>
          <w:sz w:val="20"/>
          <w:szCs w:val="20"/>
          <w:color w:val="auto"/>
        </w:rPr>
      </w:pPr>
      <w:r>
        <w:rPr>
          <w:rFonts w:ascii="Times New Roman" w:cs="Times New Roman" w:eastAsia="Times New Roman" w:hAnsi="Times New Roman"/>
          <w:sz w:val="14"/>
          <w:szCs w:val="14"/>
          <w:color w:val="auto"/>
        </w:rPr>
        <w:t>We will bear all costs, expenses and fees in connection with</w:t>
      </w:r>
    </w:p>
    <w:p>
      <w:pPr>
        <w:ind w:left="4200"/>
        <w:spacing w:after="0" w:line="208" w:lineRule="auto"/>
        <w:rPr>
          <w:sz w:val="20"/>
          <w:szCs w:val="20"/>
          <w:color w:val="auto"/>
        </w:rPr>
      </w:pPr>
      <w:r>
        <w:rPr>
          <w:rFonts w:ascii="Times New Roman" w:cs="Times New Roman" w:eastAsia="Times New Roman" w:hAnsi="Times New Roman"/>
          <w:sz w:val="14"/>
          <w:szCs w:val="14"/>
          <w:color w:val="auto"/>
        </w:rPr>
        <w:t>the registration of our Common Stock hereunder. The Selling</w:t>
      </w:r>
    </w:p>
    <w:p>
      <w:pPr>
        <w:ind w:left="4200"/>
        <w:spacing w:after="0" w:line="224" w:lineRule="auto"/>
        <w:rPr>
          <w:sz w:val="20"/>
          <w:szCs w:val="20"/>
          <w:color w:val="auto"/>
        </w:rPr>
      </w:pPr>
      <w:r>
        <w:rPr>
          <w:rFonts w:ascii="Times New Roman" w:cs="Times New Roman" w:eastAsia="Times New Roman" w:hAnsi="Times New Roman"/>
          <w:sz w:val="14"/>
          <w:szCs w:val="14"/>
          <w:color w:val="auto"/>
        </w:rPr>
        <w:t>Stockholders will bear all commissions, discounts and certain</w:t>
      </w:r>
    </w:p>
    <w:p>
      <w:pPr>
        <w:ind w:left="4200"/>
        <w:spacing w:after="0" w:line="208" w:lineRule="auto"/>
        <w:rPr>
          <w:sz w:val="20"/>
          <w:szCs w:val="20"/>
          <w:color w:val="auto"/>
        </w:rPr>
      </w:pPr>
      <w:r>
        <w:rPr>
          <w:rFonts w:ascii="Times New Roman" w:cs="Times New Roman" w:eastAsia="Times New Roman" w:hAnsi="Times New Roman"/>
          <w:sz w:val="14"/>
          <w:szCs w:val="14"/>
          <w:color w:val="auto"/>
        </w:rPr>
        <w:t>other limited expenses, if any, attributable to their respective</w:t>
      </w:r>
    </w:p>
    <w:p>
      <w:pPr>
        <w:ind w:left="4200"/>
        <w:spacing w:after="0" w:line="208" w:lineRule="auto"/>
        <w:rPr>
          <w:sz w:val="20"/>
          <w:szCs w:val="20"/>
          <w:color w:val="auto"/>
        </w:rPr>
      </w:pPr>
      <w:r>
        <w:rPr>
          <w:rFonts w:ascii="Times New Roman" w:cs="Times New Roman" w:eastAsia="Times New Roman" w:hAnsi="Times New Roman"/>
          <w:sz w:val="14"/>
          <w:szCs w:val="14"/>
          <w:color w:val="auto"/>
        </w:rPr>
        <w:t>sales of our Common Stock.</w:t>
      </w:r>
    </w:p>
    <w:p>
      <w:pPr>
        <w:jc w:val="right"/>
        <w:ind w:right="1199"/>
        <w:spacing w:after="0" w:line="224" w:lineRule="auto"/>
        <w:rPr>
          <w:sz w:val="20"/>
          <w:szCs w:val="20"/>
          <w:color w:val="auto"/>
        </w:rPr>
      </w:pPr>
      <w:r>
        <w:rPr>
          <w:rFonts w:ascii="Times New Roman" w:cs="Times New Roman" w:eastAsia="Times New Roman" w:hAnsi="Times New Roman"/>
          <w:sz w:val="14"/>
          <w:szCs w:val="14"/>
          <w:color w:val="auto"/>
        </w:rPr>
        <w:t>Unless we inform you otherwise in a prospectus supplement or</w:t>
      </w:r>
    </w:p>
    <w:p>
      <w:pPr>
        <w:ind w:left="4200"/>
        <w:spacing w:after="0" w:line="209" w:lineRule="auto"/>
        <w:rPr>
          <w:sz w:val="20"/>
          <w:szCs w:val="20"/>
          <w:color w:val="auto"/>
        </w:rPr>
      </w:pPr>
      <w:r>
        <w:rPr>
          <w:rFonts w:ascii="Times New Roman" w:cs="Times New Roman" w:eastAsia="Times New Roman" w:hAnsi="Times New Roman"/>
          <w:sz w:val="14"/>
          <w:szCs w:val="14"/>
          <w:color w:val="auto"/>
        </w:rPr>
        <w:t>free writing prospectus, we intend to use the net proceeds from</w:t>
      </w:r>
    </w:p>
    <w:p>
      <w:pPr>
        <w:ind w:left="4200"/>
        <w:spacing w:after="0" w:line="208" w:lineRule="auto"/>
        <w:rPr>
          <w:sz w:val="20"/>
          <w:szCs w:val="20"/>
          <w:color w:val="auto"/>
        </w:rPr>
      </w:pPr>
      <w:r>
        <w:rPr>
          <w:rFonts w:ascii="Times New Roman" w:cs="Times New Roman" w:eastAsia="Times New Roman" w:hAnsi="Times New Roman"/>
          <w:sz w:val="14"/>
          <w:szCs w:val="14"/>
          <w:color w:val="auto"/>
        </w:rPr>
        <w:t>the issuance of shares to Yorkville pursuant to the SEPA, the</w:t>
      </w:r>
    </w:p>
    <w:p>
      <w:pPr>
        <w:ind w:left="4200"/>
        <w:spacing w:after="0" w:line="224" w:lineRule="auto"/>
        <w:rPr>
          <w:sz w:val="20"/>
          <w:szCs w:val="20"/>
          <w:color w:val="auto"/>
        </w:rPr>
      </w:pPr>
      <w:r>
        <w:rPr>
          <w:rFonts w:ascii="Times New Roman" w:cs="Times New Roman" w:eastAsia="Times New Roman" w:hAnsi="Times New Roman"/>
          <w:sz w:val="14"/>
          <w:szCs w:val="14"/>
          <w:color w:val="auto"/>
        </w:rPr>
        <w:t>exercise of the 2025 WTI Warrants and the exercise of the</w:t>
      </w:r>
    </w:p>
    <w:p>
      <w:pPr>
        <w:ind w:left="4200"/>
        <w:spacing w:after="0" w:line="208" w:lineRule="auto"/>
        <w:rPr>
          <w:sz w:val="20"/>
          <w:szCs w:val="20"/>
          <w:color w:val="auto"/>
        </w:rPr>
      </w:pPr>
      <w:r>
        <w:rPr>
          <w:rFonts w:ascii="Times New Roman" w:cs="Times New Roman" w:eastAsia="Times New Roman" w:hAnsi="Times New Roman"/>
          <w:sz w:val="14"/>
          <w:szCs w:val="14"/>
          <w:color w:val="auto"/>
        </w:rPr>
        <w:t>Innventure Warrants for general corporate purposes, which</w:t>
      </w:r>
    </w:p>
    <w:p>
      <w:pPr>
        <w:ind w:left="4200"/>
        <w:spacing w:after="0" w:line="208" w:lineRule="auto"/>
        <w:rPr>
          <w:sz w:val="20"/>
          <w:szCs w:val="20"/>
          <w:color w:val="auto"/>
        </w:rPr>
      </w:pPr>
      <w:r>
        <w:rPr>
          <w:rFonts w:ascii="Times New Roman" w:cs="Times New Roman" w:eastAsia="Times New Roman" w:hAnsi="Times New Roman"/>
          <w:sz w:val="14"/>
          <w:szCs w:val="14"/>
          <w:color w:val="auto"/>
        </w:rPr>
        <w:t>may include acquisitions or other strategic investments or</w:t>
      </w:r>
    </w:p>
    <w:p>
      <w:pPr>
        <w:ind w:left="4200"/>
        <w:spacing w:after="0"/>
        <w:rPr>
          <w:sz w:val="20"/>
          <w:szCs w:val="20"/>
          <w:color w:val="auto"/>
        </w:rPr>
      </w:pPr>
      <w:r>
        <w:rPr>
          <w:rFonts w:ascii="Times New Roman" w:cs="Times New Roman" w:eastAsia="Times New Roman" w:hAnsi="Times New Roman"/>
          <w:sz w:val="14"/>
          <w:szCs w:val="14"/>
          <w:color w:val="auto"/>
        </w:rPr>
        <w:t>repayment of outstanding indebtedness.</w:t>
      </w:r>
    </w:p>
    <w:p>
      <w:pPr>
        <w:spacing w:after="0" w:line="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 xml:space="preserve">Exercise price of 2025 WTI Warrants </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$0.01 per share of Common Stock</w:t>
      </w:r>
    </w:p>
    <w:p>
      <w:pPr>
        <w:sectPr>
          <w:pgSz w:w="11900" w:h="16838" w:orient="portrait"/>
          <w:cols w:equalWidth="0" w:num="1">
            <w:col w:w="9019"/>
          </w:cols>
          <w:pgMar w:left="1440" w:top="125" w:right="1440" w:bottom="201"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125" w:right="1440" w:bottom="201" w:gutter="0" w:footer="0" w:header="0"/>
          <w:type w:val="continuous"/>
        </w:sectPr>
      </w:pPr>
    </w:p>
    <w:bookmarkStart w:id="9" w:name="page10"/>
    <w:bookmarkEnd w:id="9"/>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86"/>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Exercise price of Innventure Warrants </w:t>
            </w:r>
            <w:r>
              <w:rPr>
                <w:rFonts w:ascii="Times New Roman" w:cs="Times New Roman" w:eastAsia="Times New Roman" w:hAnsi="Times New Roman"/>
                <w:sz w:val="14"/>
                <w:szCs w:val="14"/>
                <w:color w:val="B4B4B4"/>
              </w:rPr>
              <w:t>.....................</w:t>
            </w:r>
          </w:p>
        </w:tc>
        <w:tc>
          <w:tcPr>
            <w:tcW w:w="36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$11.50 per share of Common Stock</w:t>
            </w:r>
          </w:p>
        </w:tc>
      </w:tr>
      <w:tr>
        <w:trPr>
          <w:trHeight w:val="29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NASDAQ Global Market symbol </w:t>
            </w:r>
            <w:r>
              <w:rPr>
                <w:rFonts w:ascii="Times New Roman" w:cs="Times New Roman" w:eastAsia="Times New Roman" w:hAnsi="Times New Roman"/>
                <w:sz w:val="14"/>
                <w:szCs w:val="14"/>
                <w:color w:val="B4B4B4"/>
              </w:rPr>
              <w:t>............................</w:t>
            </w:r>
          </w:p>
        </w:tc>
        <w:tc>
          <w:tcPr>
            <w:tcW w:w="36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“INV”</w:t>
            </w:r>
          </w:p>
        </w:tc>
      </w:tr>
      <w:tr>
        <w:trPr>
          <w:trHeight w:val="248"/>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Risk factors </w:t>
            </w:r>
            <w:r>
              <w:rPr>
                <w:rFonts w:ascii="Times New Roman" w:cs="Times New Roman" w:eastAsia="Times New Roman" w:hAnsi="Times New Roman"/>
                <w:sz w:val="14"/>
                <w:szCs w:val="14"/>
                <w:color w:val="B4B4B4"/>
              </w:rPr>
              <w:t>..............................................................</w:t>
            </w:r>
          </w:p>
        </w:tc>
        <w:tc>
          <w:tcPr>
            <w:tcW w:w="36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Investing in our Common Stock involves a high degree of risk.</w:t>
            </w:r>
          </w:p>
        </w:tc>
      </w:tr>
      <w:tr>
        <w:trPr>
          <w:trHeight w:val="150"/>
        </w:trPr>
        <w:tc>
          <w:tcPr>
            <w:tcW w:w="2980" w:type="dxa"/>
            <w:vAlign w:val="bottom"/>
          </w:tcPr>
          <w:p>
            <w:pPr>
              <w:spacing w:after="0"/>
              <w:rPr>
                <w:sz w:val="13"/>
                <w:szCs w:val="13"/>
                <w:color w:val="auto"/>
              </w:rPr>
            </w:pPr>
          </w:p>
        </w:tc>
        <w:tc>
          <w:tcPr>
            <w:tcW w:w="3640" w:type="dxa"/>
            <w:vAlign w:val="bottom"/>
            <w:gridSpan w:val="5"/>
          </w:tcPr>
          <w:p>
            <w:pPr>
              <w:ind w:left="20"/>
              <w:spacing w:after="0" w:line="151" w:lineRule="exact"/>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color w:val="0000FF"/>
              </w:rPr>
              <w:t>Risk Factors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color w:val="0000FF"/>
              </w:rPr>
              <w:t>11</w:t>
            </w:r>
            <w:r>
              <w:rPr>
                <w:rFonts w:ascii="Times New Roman" w:cs="Times New Roman" w:eastAsia="Times New Roman" w:hAnsi="Times New Roman"/>
                <w:sz w:val="14"/>
                <w:szCs w:val="14"/>
                <w:color w:val="auto"/>
              </w:rPr>
              <w:t xml:space="preserve"> and the other</w:t>
            </w:r>
          </w:p>
        </w:tc>
      </w:tr>
      <w:tr>
        <w:trPr>
          <w:trHeight w:val="20"/>
        </w:trPr>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16"/>
        </w:trPr>
        <w:tc>
          <w:tcPr>
            <w:tcW w:w="2980" w:type="dxa"/>
            <w:vAlign w:val="bottom"/>
          </w:tcPr>
          <w:p>
            <w:pPr>
              <w:spacing w:after="0"/>
              <w:rPr>
                <w:sz w:val="10"/>
                <w:szCs w:val="10"/>
                <w:color w:val="auto"/>
              </w:rPr>
            </w:pPr>
          </w:p>
        </w:tc>
        <w:tc>
          <w:tcPr>
            <w:tcW w:w="106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3"/>
                <w:szCs w:val="13"/>
                <w:color w:val="auto"/>
              </w:rPr>
              <w:t>information in this</w:t>
            </w:r>
          </w:p>
        </w:tc>
        <w:tc>
          <w:tcPr>
            <w:tcW w:w="2580" w:type="dxa"/>
            <w:vAlign w:val="bottom"/>
            <w:gridSpan w:val="3"/>
          </w:tcPr>
          <w:p>
            <w:pPr>
              <w:ind w:left="80"/>
              <w:spacing w:after="0" w:line="116" w:lineRule="exact"/>
              <w:rPr>
                <w:sz w:val="20"/>
                <w:szCs w:val="20"/>
                <w:color w:val="auto"/>
              </w:rPr>
            </w:pPr>
            <w:r>
              <w:rPr>
                <w:rFonts w:ascii="Times New Roman" w:cs="Times New Roman" w:eastAsia="Times New Roman" w:hAnsi="Times New Roman"/>
                <w:sz w:val="13"/>
                <w:szCs w:val="13"/>
                <w:color w:val="auto"/>
              </w:rPr>
              <w:t>prospectus for a discussion of the factors</w:t>
            </w:r>
          </w:p>
        </w:tc>
      </w:tr>
      <w:tr>
        <w:trPr>
          <w:trHeight w:val="144"/>
        </w:trPr>
        <w:tc>
          <w:tcPr>
            <w:tcW w:w="2980" w:type="dxa"/>
            <w:vAlign w:val="bottom"/>
          </w:tcPr>
          <w:p>
            <w:pPr>
              <w:spacing w:after="0"/>
              <w:rPr>
                <w:sz w:val="12"/>
                <w:szCs w:val="12"/>
                <w:color w:val="auto"/>
              </w:rPr>
            </w:pPr>
          </w:p>
        </w:tc>
        <w:tc>
          <w:tcPr>
            <w:tcW w:w="3640" w:type="dxa"/>
            <w:vAlign w:val="bottom"/>
            <w:gridSpan w:val="5"/>
          </w:tcPr>
          <w:p>
            <w:pPr>
              <w:ind w:left="20"/>
              <w:spacing w:after="0" w:line="144" w:lineRule="exact"/>
              <w:rPr>
                <w:sz w:val="20"/>
                <w:szCs w:val="20"/>
                <w:color w:val="auto"/>
              </w:rPr>
            </w:pPr>
            <w:r>
              <w:rPr>
                <w:rFonts w:ascii="Times New Roman" w:cs="Times New Roman" w:eastAsia="Times New Roman" w:hAnsi="Times New Roman"/>
                <w:sz w:val="14"/>
                <w:szCs w:val="14"/>
                <w:color w:val="auto"/>
              </w:rPr>
              <w:t>you should consider carefully before you decide to invest in</w:t>
            </w:r>
          </w:p>
        </w:tc>
      </w:tr>
      <w:tr>
        <w:trPr>
          <w:trHeight w:val="186"/>
        </w:trPr>
        <w:tc>
          <w:tcPr>
            <w:tcW w:w="2980" w:type="dxa"/>
            <w:vAlign w:val="bottom"/>
          </w:tcPr>
          <w:p>
            <w:pPr>
              <w:spacing w:after="0"/>
              <w:rPr>
                <w:sz w:val="16"/>
                <w:szCs w:val="16"/>
                <w:color w:val="auto"/>
              </w:rPr>
            </w:pPr>
          </w:p>
        </w:tc>
        <w:tc>
          <w:tcPr>
            <w:tcW w:w="36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our Common 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42" w:lineRule="exact"/>
        <w:rPr>
          <w:sz w:val="20"/>
          <w:szCs w:val="20"/>
          <w:color w:val="auto"/>
        </w:rPr>
      </w:pPr>
    </w:p>
    <w:p>
      <w:pPr>
        <w:jc w:val="both"/>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Our business is subject to a number of risks and uncertainties, including those highlighted in the section entitled “</w:t>
      </w:r>
      <w:r>
        <w:rPr>
          <w:rFonts w:ascii="Times New Roman" w:cs="Times New Roman" w:eastAsia="Times New Roman" w:hAnsi="Times New Roman"/>
          <w:sz w:val="14"/>
          <w:szCs w:val="14"/>
          <w:i w:val="1"/>
          <w:iCs w:val="1"/>
          <w:u w:val="single" w:color="auto"/>
          <w:color w:val="0000FF"/>
        </w:rPr>
        <w:t>Risk Factors</w:t>
      </w:r>
      <w:r>
        <w:rPr>
          <w:rFonts w:ascii="Times New Roman" w:cs="Times New Roman" w:eastAsia="Times New Roman" w:hAnsi="Times New Roman"/>
          <w:sz w:val="14"/>
          <w:szCs w:val="14"/>
          <w:color w:val="auto"/>
        </w:rPr>
        <w:t>” immediately following this summary. Some of these principal risks include the following:</w:t>
      </w:r>
    </w:p>
    <w:p>
      <w:pPr>
        <w:spacing w:after="0" w:line="81" w:lineRule="exact"/>
        <w:rPr>
          <w:sz w:val="20"/>
          <w:szCs w:val="20"/>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may not be able to obtain additional financing to fund the operations and growth of the business.</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uncertainty regarding Innventure’s ability to maintain liquidity sufficient to operate its business effectively, which raises substantial doubt about its ability to continue as a going concern.</w:t>
      </w:r>
    </w:p>
    <w:p>
      <w:pPr>
        <w:spacing w:after="0" w:line="80" w:lineRule="exact"/>
        <w:rPr>
          <w:rFonts w:ascii="Times New Roman" w:cs="Times New Roman" w:eastAsia="Times New Roman" w:hAnsi="Times New Roman"/>
          <w:sz w:val="14"/>
          <w:szCs w:val="14"/>
          <w:color w:val="auto"/>
        </w:rPr>
      </w:pPr>
    </w:p>
    <w:p>
      <w:pPr>
        <w:ind w:left="1660" w:right="1239" w:hanging="249"/>
        <w:spacing w:after="0" w:line="274"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principal revenues are expected to be earned in the future through its Operating Companies, including through AeroFlexx, Accelsius and Refinity, and Innventure depends on its Operating Companies (as defined below) for cash.</w:t>
      </w:r>
    </w:p>
    <w:p>
      <w:pPr>
        <w:spacing w:after="0" w:line="92" w:lineRule="exact"/>
        <w:rPr>
          <w:rFonts w:ascii="Times New Roman" w:cs="Times New Roman" w:eastAsia="Times New Roman" w:hAnsi="Times New Roman"/>
          <w:sz w:val="14"/>
          <w:szCs w:val="14"/>
          <w:color w:val="auto"/>
        </w:rPr>
      </w:pPr>
    </w:p>
    <w:p>
      <w:pPr>
        <w:ind w:left="1660" w:right="167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may not be successful in finding future opportunities to license or acquire breakthrough technology solutions from Technology Solutions Providers.</w:t>
      </w:r>
    </w:p>
    <w:p>
      <w:pPr>
        <w:spacing w:after="0" w:line="80" w:lineRule="exact"/>
        <w:rPr>
          <w:rFonts w:ascii="Times New Roman" w:cs="Times New Roman" w:eastAsia="Times New Roman" w:hAnsi="Times New Roman"/>
          <w:sz w:val="14"/>
          <w:szCs w:val="14"/>
          <w:color w:val="auto"/>
        </w:rPr>
      </w:pPr>
    </w:p>
    <w:p>
      <w:pPr>
        <w:ind w:left="1660" w:right="1499" w:hanging="249"/>
        <w:spacing w:after="0" w:line="292"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Innventure Companies are currently early commercial stage companies that may never achieve or sustain profitability.</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68" w:lineRule="auto"/>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WTI Facility may impair Innventure LLC’s, Innventure’s and the Operating Companies’ financial and</w:t>
      </w:r>
    </w:p>
    <w:p>
      <w:pPr>
        <w:sectPr>
          <w:pgSz w:w="11900" w:h="16917" w:orient="portrait"/>
          <w:cols w:equalWidth="0" w:num="1">
            <w:col w:w="9019"/>
          </w:cols>
          <w:pgMar w:left="1440" w:top="1177" w:right="1440" w:bottom="0" w:gutter="0" w:footer="0" w:header="0"/>
        </w:sectPr>
      </w:pPr>
    </w:p>
    <w:bookmarkStart w:id="10" w:name="page11"/>
    <w:bookmarkEnd w:id="10"/>
    <w:p>
      <w:pPr>
        <w:ind w:left="16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operating flexibility.</w:t>
      </w:r>
    </w:p>
    <w:p>
      <w:pPr>
        <w:spacing w:after="0" w:line="140" w:lineRule="exact"/>
        <w:rPr>
          <w:sz w:val="20"/>
          <w:szCs w:val="20"/>
          <w:color w:val="auto"/>
        </w:rPr>
      </w:pPr>
    </w:p>
    <w:p>
      <w:pPr>
        <w:ind w:left="1660" w:right="1219" w:hanging="249"/>
        <w:spacing w:after="0" w:line="29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possible to predict the extent to which Innventure will, intends to, or may rely on Yorkville and the SEPA and the Convertible Debentures as a source of funding.</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possible to predict the actual number of shares Innventure will sell under the SEPA or under the Convertible Debentures to Yorkville, or the actual gross proceeds resulting from those sales.</w:t>
      </w:r>
    </w:p>
    <w:p>
      <w:pPr>
        <w:spacing w:after="0" w:line="80" w:lineRule="exact"/>
        <w:rPr>
          <w:rFonts w:ascii="Times New Roman" w:cs="Times New Roman" w:eastAsia="Times New Roman" w:hAnsi="Times New Roman"/>
          <w:sz w:val="14"/>
          <w:szCs w:val="14"/>
          <w:color w:val="auto"/>
        </w:rPr>
      </w:pPr>
    </w:p>
    <w:p>
      <w:pPr>
        <w:ind w:left="1660" w:right="1239" w:hanging="249"/>
        <w:spacing w:after="0" w:line="27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92" w:lineRule="exact"/>
        <w:rPr>
          <w:rFonts w:ascii="Times New Roman" w:cs="Times New Roman" w:eastAsia="Times New Roman" w:hAnsi="Times New Roman"/>
          <w:sz w:val="14"/>
          <w:szCs w:val="14"/>
          <w:color w:val="auto"/>
        </w:rPr>
      </w:pPr>
    </w:p>
    <w:p>
      <w:pPr>
        <w:ind w:left="1660" w:right="1179" w:hanging="249"/>
        <w:spacing w:after="0" w:line="29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is likely to be highly volatile, and you may lose some or all of your investment.</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Innventure’s share price could subject Innventure to securities class action litigation.</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shares of our Common Stock or other equity may depress its stock price.</w:t>
      </w:r>
    </w:p>
    <w:p>
      <w:pPr>
        <w:spacing w:after="0" w:line="139" w:lineRule="exact"/>
        <w:rPr>
          <w:rFonts w:ascii="Times New Roman" w:cs="Times New Roman" w:eastAsia="Times New Roman" w:hAnsi="Times New Roman"/>
          <w:sz w:val="14"/>
          <w:szCs w:val="14"/>
          <w:color w:val="auto"/>
        </w:rPr>
      </w:pPr>
    </w:p>
    <w:p>
      <w:pPr>
        <w:ind w:left="1660" w:right="1579" w:hanging="249"/>
        <w:spacing w:after="0" w:line="27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92" w:lineRule="exact"/>
        <w:rPr>
          <w:rFonts w:ascii="Times New Roman" w:cs="Times New Roman" w:eastAsia="Times New Roman" w:hAnsi="Times New Roman"/>
          <w:sz w:val="14"/>
          <w:szCs w:val="14"/>
          <w:color w:val="auto"/>
        </w:rPr>
      </w:pPr>
    </w:p>
    <w:p>
      <w:pPr>
        <w:ind w:left="1660" w:right="1519" w:hanging="249"/>
        <w:spacing w:after="0" w:line="274"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92"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offerings of debt or offerings or issuances of equity securities by the Innventure may adversely affect the market price of the Common Stock or otherwise dilute all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right="1319" w:hanging="249"/>
        <w:spacing w:after="0" w:line="27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92" w:lineRule="exact"/>
        <w:rPr>
          <w:rFonts w:ascii="Times New Roman" w:cs="Times New Roman" w:eastAsia="Times New Roman" w:hAnsi="Times New Roman"/>
          <w:sz w:val="14"/>
          <w:szCs w:val="14"/>
          <w:color w:val="auto"/>
        </w:rPr>
      </w:pPr>
    </w:p>
    <w:p>
      <w:pPr>
        <w:ind w:left="1660" w:right="1179" w:hanging="249"/>
        <w:spacing w:after="0" w:line="268"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97" w:lineRule="exact"/>
        <w:rPr>
          <w:rFonts w:ascii="Times New Roman" w:cs="Times New Roman" w:eastAsia="Times New Roman" w:hAnsi="Times New Roman"/>
          <w:sz w:val="14"/>
          <w:szCs w:val="14"/>
          <w:color w:val="auto"/>
        </w:rPr>
      </w:pPr>
    </w:p>
    <w:p>
      <w:pPr>
        <w:ind w:left="1660" w:right="1319" w:hanging="249"/>
        <w:spacing w:after="0" w:line="27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92" w:lineRule="exact"/>
        <w:rPr>
          <w:rFonts w:ascii="Times New Roman" w:cs="Times New Roman" w:eastAsia="Times New Roman" w:hAnsi="Times New Roman"/>
          <w:sz w:val="14"/>
          <w:szCs w:val="14"/>
          <w:color w:val="auto"/>
        </w:rPr>
      </w:pPr>
    </w:p>
    <w:p>
      <w:pPr>
        <w:ind w:left="1660" w:right="153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AFX, Accelsius and Refinity are early-stage companies, and their limited operating histories makes it difficult to evaluate their future prospects and the risks and challenges they may encounter.</w:t>
      </w:r>
    </w:p>
    <w:p>
      <w:pPr>
        <w:spacing w:after="0" w:line="80"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Accelsius’ cooling products may be subject to increased regulatory scrutiny due to their use of working fluid refrigerants that contain fluorine.</w:t>
      </w:r>
    </w:p>
    <w:p>
      <w:pPr>
        <w:spacing w:after="0" w:line="80" w:lineRule="exact"/>
        <w:rPr>
          <w:rFonts w:ascii="Times New Roman" w:cs="Times New Roman" w:eastAsia="Times New Roman" w:hAnsi="Times New Roman"/>
          <w:sz w:val="14"/>
          <w:szCs w:val="14"/>
          <w:color w:val="auto"/>
        </w:rPr>
      </w:pPr>
    </w:p>
    <w:p>
      <w:pPr>
        <w:ind w:left="1660" w:right="1339" w:hanging="249"/>
        <w:spacing w:after="0" w:line="274"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including customers and potential investors, may be skeptical of the viability and benefits of Accelsius’ cooling products and Refinity’s plastic waste recycling process because they are based on relatively novel and complex technology.</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68"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97" w:lineRule="exact"/>
        <w:rPr>
          <w:rFonts w:ascii="Times New Roman" w:cs="Times New Roman" w:eastAsia="Times New Roman" w:hAnsi="Times New Roman"/>
          <w:sz w:val="14"/>
          <w:szCs w:val="14"/>
          <w:color w:val="auto"/>
        </w:rPr>
      </w:pPr>
    </w:p>
    <w:p>
      <w:pPr>
        <w:ind w:left="1660" w:right="1439" w:hanging="249"/>
        <w:spacing w:after="0" w:line="268"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97"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may be unable to sufficiently protect the IP rights of itself and the Innventure Companies and may encounter disputes from time to time relating to its use of the IP of third parties.</w:t>
      </w:r>
    </w:p>
    <w:p>
      <w:pPr>
        <w:spacing w:after="0" w:line="80" w:lineRule="exact"/>
        <w:rPr>
          <w:rFonts w:ascii="Times New Roman" w:cs="Times New Roman" w:eastAsia="Times New Roman" w:hAnsi="Times New Roman"/>
          <w:sz w:val="14"/>
          <w:szCs w:val="14"/>
          <w:color w:val="auto"/>
        </w:rPr>
      </w:pPr>
    </w:p>
    <w:p>
      <w:pPr>
        <w:ind w:left="1660" w:right="1439" w:hanging="249"/>
        <w:spacing w:after="0" w:line="265"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99" w:lineRule="exact"/>
        <w:rPr>
          <w:rFonts w:ascii="Times New Roman" w:cs="Times New Roman" w:eastAsia="Times New Roman" w:hAnsi="Times New Roman"/>
          <w:sz w:val="14"/>
          <w:szCs w:val="14"/>
          <w:color w:val="auto"/>
        </w:rPr>
      </w:pPr>
    </w:p>
    <w:p>
      <w:pPr>
        <w:ind w:left="1660" w:right="169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or foreign trade policies, including additional tariffs or global trade conflicts, may adversely impact our business and operating results.</w:t>
      </w:r>
    </w:p>
    <w:p>
      <w:pPr>
        <w:spacing w:after="0" w:line="80"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or a failure in Innventure’s information technology and data security infrastructure could adversely affect Innventure’s business and operations.</w:t>
      </w:r>
    </w:p>
    <w:p>
      <w:pPr>
        <w:sectPr>
          <w:pgSz w:w="11900" w:h="16838" w:orient="portrait"/>
          <w:cols w:equalWidth="0" w:num="1">
            <w:col w:w="9019"/>
          </w:cols>
          <w:pgMar w:left="1440" w:top="157" w:right="1440" w:bottom="1119" w:gutter="0" w:footer="0" w:header="0"/>
        </w:sectPr>
      </w:pPr>
    </w:p>
    <w:bookmarkStart w:id="11" w:name="page12"/>
    <w:bookmarkEnd w:id="11"/>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40"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Innventure and the accompanying notes. Innventure’s business, financial condition or results of operations could be affected materially and adversely by any of the risks discussed below.</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Innventure’s Business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Innventure may not be able to obtain additional financing to fund the operations and growth of the business.</w:t>
      </w:r>
    </w:p>
    <w:p>
      <w:pPr>
        <w:spacing w:after="0" w:line="144"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99" w:lineRule="exact"/>
        <w:rPr>
          <w:sz w:val="20"/>
          <w:szCs w:val="20"/>
          <w:color w:val="auto"/>
        </w:rPr>
      </w:pPr>
    </w:p>
    <w:p>
      <w:pPr>
        <w:ind w:left="1160" w:right="1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77"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statements for the years ended December 31, 2024 and December 31, 2023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w:t>
      </w:r>
    </w:p>
    <w:p>
      <w:pPr>
        <w:spacing w:after="0" w:line="102" w:lineRule="exact"/>
        <w:rPr>
          <w:sz w:val="20"/>
          <w:szCs w:val="20"/>
          <w:color w:val="auto"/>
        </w:rPr>
      </w:pPr>
    </w:p>
    <w:p>
      <w:pPr>
        <w:ind w:left="1160" w:right="13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Innventure’s principal revenues are expected to be earned in the future through its Operating Companies, including through AeroFlexx, Accelsius and Refinity, and Innventure depends on its Operating Companies for cash.</w:t>
      </w:r>
    </w:p>
    <w:p>
      <w:pPr>
        <w:spacing w:after="0" w:line="91" w:lineRule="exact"/>
        <w:rPr>
          <w:sz w:val="20"/>
          <w:szCs w:val="20"/>
          <w:color w:val="auto"/>
        </w:rPr>
      </w:pPr>
    </w:p>
    <w:p>
      <w:pPr>
        <w:ind w:left="1160" w:right="1319" w:firstLine="258"/>
        <w:spacing w:after="0" w:line="259" w:lineRule="auto"/>
        <w:rPr>
          <w:sz w:val="20"/>
          <w:szCs w:val="20"/>
          <w:color w:val="auto"/>
        </w:rPr>
      </w:pPr>
      <w:r>
        <w:rPr>
          <w:rFonts w:ascii="Times New Roman" w:cs="Times New Roman" w:eastAsia="Times New Roman" w:hAnsi="Times New Roman"/>
          <w:sz w:val="14"/>
          <w:szCs w:val="14"/>
          <w:color w:val="auto"/>
        </w:rPr>
        <w:t>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(as defined below).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19"/>
        <w:spacing w:after="0" w:line="260" w:lineRule="auto"/>
        <w:rPr>
          <w:sz w:val="20"/>
          <w:szCs w:val="20"/>
          <w:color w:val="auto"/>
        </w:rPr>
      </w:pPr>
      <w:r>
        <w:rPr>
          <w:rFonts w:ascii="Times New Roman" w:cs="Times New Roman" w:eastAsia="Times New Roman" w:hAnsi="Times New Roman"/>
          <w:sz w:val="14"/>
          <w:szCs w:val="14"/>
          <w:color w:val="auto"/>
        </w:rPr>
        <w:t>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Operating Companies from making distributions, paying dividends or making loans to Innventure.</w:t>
      </w:r>
    </w:p>
    <w:p>
      <w:pPr>
        <w:spacing w:after="0" w:line="99"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Innventure’s business model is to launch Operating Companies, which are not guaranteed to succeed and could be very costly.</w:t>
      </w:r>
    </w:p>
    <w:p>
      <w:pPr>
        <w:spacing w:after="0" w:line="77"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There can be no assurance that the Operating Companies that Innventure has launched and may launch in the future will succeed, and the Operating Companies’ future financial performance is uncertain. The Operating Companies could be very costly for Innventure and could distract Innventure’s management from its other</w:t>
      </w:r>
    </w:p>
    <w:p>
      <w:pPr>
        <w:sectPr>
          <w:pgSz w:w="11900" w:h="16943" w:orient="portrait"/>
          <w:cols w:equalWidth="0" w:num="1">
            <w:col w:w="9019"/>
          </w:cols>
          <w:pgMar w:left="1440" w:top="533" w:right="1440" w:bottom="0" w:gutter="0" w:footer="0" w:header="0"/>
        </w:sectPr>
      </w:pPr>
    </w:p>
    <w:bookmarkStart w:id="12" w:name="page13"/>
    <w:bookmarkEnd w:id="12"/>
    <w:p>
      <w:pPr>
        <w:ind w:left="1160"/>
        <w:spacing w:after="0"/>
        <w:rPr>
          <w:sz w:val="20"/>
          <w:szCs w:val="20"/>
          <w:color w:val="auto"/>
        </w:rPr>
      </w:pPr>
      <w:r>
        <w:rPr>
          <w:rFonts w:ascii="Times New Roman" w:cs="Times New Roman" w:eastAsia="Times New Roman" w:hAnsi="Times New Roman"/>
          <w:sz w:val="14"/>
          <w:szCs w:val="14"/>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-99060</wp:posOffset>
            </wp:positionV>
            <wp:extent cx="716026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6" w:lineRule="exact"/>
        <w:rPr>
          <w:sz w:val="20"/>
          <w:szCs w:val="20"/>
          <w:color w:val="auto"/>
        </w:rPr>
      </w:pPr>
    </w:p>
    <w:p>
      <w:pPr>
        <w:ind w:left="116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Innventure may not be successful in finding future opportunities to license or acquire breakthrough technology solutions from Technology Solutions Providers.</w:t>
      </w:r>
    </w:p>
    <w:p>
      <w:pPr>
        <w:spacing w:after="0" w:line="77"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Innventure relies on its ability to identify and acquire breakthrough technology solutions from Technology Solutions Providers to create and operate new entities that generate future revenues. If Innventure is unable to reach agreements with Technology Solutions Providers on acceptable terms for license or acquisition of IP related to certain technology solutions, Innventure may have to curtail the founding and operating of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271" w:lineRule="exact"/>
        <w:rPr>
          <w:sz w:val="20"/>
          <w:szCs w:val="20"/>
          <w:color w:val="auto"/>
        </w:rPr>
      </w:pPr>
    </w:p>
    <w:p>
      <w:pPr>
        <w:ind w:left="1160" w:right="13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Innventure Companies are currently early commercial stage companies that may never achieve or sustain profitability.</w:t>
      </w:r>
    </w:p>
    <w:p>
      <w:pPr>
        <w:spacing w:after="0" w:line="77"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101" w:lineRule="exact"/>
        <w:rPr>
          <w:sz w:val="20"/>
          <w:szCs w:val="20"/>
          <w:color w:val="auto"/>
        </w:rPr>
      </w:pPr>
    </w:p>
    <w:p>
      <w:pPr>
        <w:ind w:left="1160" w:right="1359" w:firstLine="258"/>
        <w:spacing w:after="0" w:line="262" w:lineRule="auto"/>
        <w:rPr>
          <w:sz w:val="20"/>
          <w:szCs w:val="20"/>
          <w:color w:val="auto"/>
        </w:rPr>
      </w:pPr>
      <w:r>
        <w:rPr>
          <w:rFonts w:ascii="Times New Roman" w:cs="Times New Roman" w:eastAsia="Times New Roman" w:hAnsi="Times New Roman"/>
          <w:sz w:val="14"/>
          <w:szCs w:val="14"/>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including costs associated with tariffs,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6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96"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Under the terms of Innventure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incur liabilities to their 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w:t>
      </w:r>
    </w:p>
    <w:p>
      <w:pPr>
        <w:spacing w:after="0" w:line="274"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WTI Facility may impair Innventure LLC’s, the Company’s and the Operating Companies’ financial and operating flexibility.</w:t>
      </w:r>
    </w:p>
    <w:p>
      <w:pPr>
        <w:spacing w:after="0" w:line="77"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The WTI Facility provides for a term loan facility in an aggregate principal amount of up to $50 million, of which (i) the First Tranche was made available after October 22, 2024 and through November 15, 2024; (ii) the Second Tranche was made available after November 1, 2024 and through November 30, 2024; and (iii) the Third Tranche was made available after December 31, 2024 and through January 31, 2025 (provided that up to $7.5 million of the Third Tranche will be made available until March 31, 2025).</w:t>
      </w:r>
    </w:p>
    <w:p>
      <w:pPr>
        <w:spacing w:after="0" w:line="99"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On November 15, 2024, Innventure made an initial draw under the WTI Facility in the amount of $20 million. The receipt of any additional funds under the WTI Facility was subject to the satisfaction of certain conditions by certain deadlines, including, without limitation, with respect to the Third Tranche, satisfaction of certain financial conditions and the WTI Lenders’ satisfaction with the Company’s forward-looking plan at such time. As of the date of this prospectus, the funds under each of the Second Tranche and the Third Tranche are no longer available to the Company.</w:t>
      </w:r>
    </w:p>
    <w:p>
      <w:pPr>
        <w:spacing w:after="0" w:line="10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the WTI Lenders on a timely basis, or at all.</w:t>
      </w:r>
    </w:p>
    <w:p>
      <w:pPr>
        <w:spacing w:after="0" w:line="10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 restrictions imposed by the WTI Facility on Innventure LLC, the Company and the Operating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ectPr>
          <w:pgSz w:w="11900" w:h="16838" w:orient="portrait"/>
          <w:cols w:equalWidth="0" w:num="1">
            <w:col w:w="9019"/>
          </w:cols>
          <w:pgMar w:left="1440" w:top="136" w:right="1440" w:bottom="0" w:gutter="0" w:footer="0" w:header="0"/>
        </w:sectPr>
      </w:pPr>
    </w:p>
    <w:bookmarkStart w:id="13" w:name="page14"/>
    <w:bookmarkEnd w:id="13"/>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4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extent to which the Company will, intends to, or may rely on Yorkville and the SEPA and the Convertible Debentures as a source of funding.</w:t>
      </w:r>
    </w:p>
    <w:p>
      <w:pPr>
        <w:spacing w:after="0" w:line="7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As of February 28, 2025, Innventure has drawn $2.67 million under the SEPA. Subject to the terms and conditions of the SEPA, Innventure may, at its discretion, issue and sell to Yorkville up to $75.0 million of shares of Common Stock under the SEPA from time to time. The purchase price per share for the shares of Common Stock that Innventure may elect to sell to Yorkville under the SEPA will fluctuate based on the market prices of Common Stock for each purchase made pursuant to the SEPA, if any. Accordingly, it is not currently possible to predict the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739"/>
        <w:spacing w:after="0" w:line="292" w:lineRule="auto"/>
        <w:rPr>
          <w:sz w:val="20"/>
          <w:szCs w:val="20"/>
          <w:color w:val="auto"/>
        </w:rPr>
      </w:pPr>
      <w:r>
        <w:rPr>
          <w:rFonts w:ascii="Times New Roman" w:cs="Times New Roman" w:eastAsia="Times New Roman" w:hAnsi="Times New Roman"/>
          <w:sz w:val="14"/>
          <w:szCs w:val="14"/>
          <w:color w:val="auto"/>
        </w:rPr>
        <w:t>number of shares that will be issued and sold to Yorkville, the actual purchase price per share to be paid by Yorkville for those shares, if any, or the actual gross proceeds to be raised in connection with those sales.</w:t>
      </w:r>
    </w:p>
    <w:p>
      <w:pPr>
        <w:spacing w:after="0" w:line="8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extent to which Innventure will rely on Yorkville as a source of funding will depend on a number of factors, including the prevailing market price of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278"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extent to which Innventure will rely on the Convertible Debentures to be issued to Yorkville pursuant to the Securities Purchase Agreement as a source of funding will depend on certain conditions, restrictions, and limitations set forth therein, which could impact the aggregate principal amount of Convertible Debentures issued by Innventure and purchased by Yorkville, whether the Convertible Debentures will bear interest, and the portion of Convertible Debentures that is convertible into Common Stock.</w:t>
      </w:r>
    </w:p>
    <w:p>
      <w:pPr>
        <w:spacing w:after="0" w:line="95" w:lineRule="exact"/>
        <w:rPr>
          <w:sz w:val="20"/>
          <w:szCs w:val="20"/>
          <w:color w:val="auto"/>
        </w:rPr>
      </w:pPr>
    </w:p>
    <w:p>
      <w:pPr>
        <w:ind w:left="11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actual number of shares Innventure will sell under the SEPA or the Convertible Debentures to Yorkville, or the actual gross proceeds resulting from those sales.</w:t>
      </w:r>
    </w:p>
    <w:p>
      <w:pPr>
        <w:spacing w:after="0" w:line="77"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 Additionally, the Conversion Price applicable to the Convertible Debentures will be adjusted on the First Reset Date and the Second Reset Date, and, accordingly, it is not currently possible to predict how many shares will be sold in total under the Convertible Debentures.</w:t>
      </w:r>
    </w:p>
    <w:p>
      <w:pPr>
        <w:spacing w:after="0" w:line="106" w:lineRule="exact"/>
        <w:rPr>
          <w:sz w:val="20"/>
          <w:szCs w:val="20"/>
          <w:color w:val="auto"/>
        </w:rPr>
      </w:pPr>
    </w:p>
    <w:p>
      <w:pPr>
        <w:ind w:left="1160" w:right="1219" w:firstLine="258"/>
        <w:spacing w:after="0" w:line="258" w:lineRule="auto"/>
        <w:rPr>
          <w:sz w:val="20"/>
          <w:szCs w:val="20"/>
          <w:color w:val="auto"/>
        </w:rPr>
      </w:pPr>
      <w:r>
        <w:rPr>
          <w:rFonts w:ascii="Times New Roman" w:cs="Times New Roman" w:eastAsia="Times New Roman" w:hAnsi="Times New Roman"/>
          <w:sz w:val="14"/>
          <w:szCs w:val="14"/>
          <w:color w:val="auto"/>
        </w:rPr>
        <w:t>As of February 28, 2025, Innventure has drawn $2.67 million under the SEPA. Moreover, although the SEPA provides that Innventure may sell up to an aggregate of $75.0 million of its Common Stock to Yorkville, Innventure registered the resale by Yorkville of up to 4,418,307 shares of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w:t>
      </w:r>
    </w:p>
    <w:p>
      <w:pPr>
        <w:spacing w:after="0" w:line="110"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Any issuance and sale by Innventure under the SEPA or the Convertible Debentures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 and the Convertible Debentures.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77"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R&amp;D (as defined below),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 will and</w:t>
      </w:r>
    </w:p>
    <w:p>
      <w:pPr>
        <w:sectPr>
          <w:pgSz w:w="11900" w:h="16870" w:orient="portrait"/>
          <w:cols w:equalWidth="0" w:num="1">
            <w:col w:w="9019"/>
          </w:cols>
          <w:pgMar w:left="1440" w:top="142" w:right="1440" w:bottom="0" w:gutter="0" w:footer="0" w:header="0"/>
        </w:sectPr>
      </w:pPr>
    </w:p>
    <w:bookmarkStart w:id="14" w:name="page15"/>
    <w:bookmarkEnd w:id="14"/>
    <w:p>
      <w:pPr>
        <w:spacing w:after="0" w:line="42" w:lineRule="exact"/>
        <w:rPr>
          <w:sz w:val="20"/>
          <w:szCs w:val="20"/>
          <w:color w:val="auto"/>
        </w:rPr>
      </w:pPr>
    </w:p>
    <w:p>
      <w:pPr>
        <w:ind w:left="1160" w:right="1379"/>
        <w:spacing w:after="0" w:line="259" w:lineRule="auto"/>
        <w:rPr>
          <w:sz w:val="20"/>
          <w:szCs w:val="20"/>
          <w:color w:val="auto"/>
        </w:rPr>
      </w:pPr>
      <w:r>
        <w:rPr>
          <w:rFonts w:ascii="Times New Roman" w:cs="Times New Roman" w:eastAsia="Times New Roman" w:hAnsi="Times New Roman"/>
          <w:sz w:val="14"/>
          <w:szCs w:val="14"/>
          <w:color w:val="auto"/>
        </w:rPr>
        <w:t>may end at any point in time. In addition, all of Innventure and the Innventure Companies’ employees are at will, which means that either they or the employee may terminate their employment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-190500</wp:posOffset>
            </wp:positionV>
            <wp:extent cx="716026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102"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9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the Innventure Companies’ Operations</w:t>
      </w:r>
    </w:p>
    <w:p>
      <w:pPr>
        <w:spacing w:after="0" w:line="138" w:lineRule="exact"/>
        <w:rPr>
          <w:sz w:val="20"/>
          <w:szCs w:val="20"/>
          <w:color w:val="auto"/>
        </w:rPr>
      </w:pPr>
    </w:p>
    <w:p>
      <w:pPr>
        <w:ind w:left="1160" w:right="13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Innventure Companies are early-stage companies, and their limited operating history makes it difficult to evaluate their future prospects and the risks and challenges they may encounter.</w:t>
      </w:r>
    </w:p>
    <w:p>
      <w:pPr>
        <w:spacing w:after="0" w:line="77"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The Innventure Companies are early in the development of their commercial production capacity. Their limited operating history makes it difficult to evaluate the Innventure Companies’ future prospects and the risks and challenges they may encounter. Risks and challenges the Innventure Companies have faced or expect to face include, but are not limited to, their ability to:</w:t>
      </w:r>
    </w:p>
    <w:p>
      <w:pPr>
        <w:spacing w:after="0" w:line="97" w:lineRule="exact"/>
        <w:rPr>
          <w:sz w:val="20"/>
          <w:szCs w:val="20"/>
          <w:color w:val="auto"/>
        </w:rPr>
      </w:pPr>
    </w:p>
    <w:p>
      <w:pPr>
        <w:ind w:left="1660" w:hanging="249"/>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commercialize their products and processes;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and deliver products and processes of acceptable performance that function as anticipated;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sales revenue;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their revenue and budget for and manage their expenses;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commercial relationships;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successfully in the industry in which they operate;</w:t>
      </w:r>
    </w:p>
    <w:p>
      <w:pPr>
        <w:spacing w:after="0" w:line="139" w:lineRule="exact"/>
        <w:rPr>
          <w:rFonts w:ascii="Times New Roman" w:cs="Times New Roman" w:eastAsia="Times New Roman" w:hAnsi="Times New Roman"/>
          <w:sz w:val="14"/>
          <w:szCs w:val="14"/>
          <w:color w:val="auto"/>
        </w:rPr>
      </w:pPr>
    </w:p>
    <w:p>
      <w:pPr>
        <w:ind w:left="1660" w:right="145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and manage capital expenditures for their current and future products and manage their supply chain and supplier relationships related to their current and future products;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quickly enough due to capital and other resource constraints;</w:t>
      </w:r>
    </w:p>
    <w:p>
      <w:pPr>
        <w:spacing w:after="0" w:line="139" w:lineRule="exact"/>
        <w:rPr>
          <w:rFonts w:ascii="Times New Roman" w:cs="Times New Roman" w:eastAsia="Times New Roman" w:hAnsi="Times New Roman"/>
          <w:sz w:val="14"/>
          <w:szCs w:val="14"/>
          <w:color w:val="auto"/>
        </w:rPr>
      </w:pPr>
    </w:p>
    <w:p>
      <w:pPr>
        <w:ind w:left="1660" w:right="125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find, contract with, and retain reliable and commercially reasonable materials, components, manufacturers and inventory vendors;</w:t>
      </w:r>
    </w:p>
    <w:p>
      <w:pPr>
        <w:spacing w:after="0" w:line="80"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their business in and outside the United States, including compliance requirements of U.S. customs and export regulations;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they operate;</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regulatory and/or environmental policies that impact the Innventure Companies’ plant operations;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their reputation and brand;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IP;</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their organizations;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themselves in any legal proceeding that may arise and enforce their rights in any legal proceedings they may initiate; and</w:t>
      </w:r>
    </w:p>
    <w:p>
      <w:pPr>
        <w:spacing w:after="0" w:line="80" w:lineRule="exact"/>
        <w:rPr>
          <w:rFonts w:ascii="Times New Roman" w:cs="Times New Roman" w:eastAsia="Times New Roman" w:hAnsi="Times New Roman"/>
          <w:sz w:val="14"/>
          <w:szCs w:val="14"/>
          <w:color w:val="auto"/>
        </w:rPr>
      </w:pPr>
    </w:p>
    <w:p>
      <w:pPr>
        <w:ind w:left="1660" w:right="1539" w:hanging="249"/>
        <w:spacing w:after="0" w:line="274" w:lineRule="auto"/>
        <w:tabs>
          <w:tab w:leader="none" w:pos="1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w:t>
      </w:r>
    </w:p>
    <w:p>
      <w:pPr>
        <w:spacing w:after="0" w:line="9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w:t>
      </w:r>
    </w:p>
    <w:p>
      <w:pPr>
        <w:sectPr>
          <w:pgSz w:w="11900" w:h="16880" w:orient="portrait"/>
          <w:cols w:equalWidth="0" w:num="1">
            <w:col w:w="9019"/>
          </w:cols>
          <w:pgMar w:left="1440" w:top="94" w:right="1440" w:bottom="0" w:gutter="0" w:footer="0" w:header="0"/>
        </w:sectPr>
      </w:pPr>
    </w:p>
    <w:bookmarkStart w:id="15" w:name="page16"/>
    <w:bookmarkEnd w:id="15"/>
    <w:p>
      <w:pPr>
        <w:ind w:left="1160" w:right="1399"/>
        <w:spacing w:after="0" w:line="257" w:lineRule="auto"/>
        <w:rPr>
          <w:sz w:val="20"/>
          <w:szCs w:val="20"/>
          <w:color w:val="auto"/>
        </w:rPr>
      </w:pPr>
      <w:r>
        <w:rPr>
          <w:rFonts w:ascii="Times New Roman" w:cs="Times New Roman" w:eastAsia="Times New Roman" w:hAnsi="Times New Roman"/>
          <w:sz w:val="14"/>
          <w:szCs w:val="14"/>
          <w:color w:val="auto"/>
        </w:rPr>
        <w:t>in rapidly changing industries. If the Innventure Companies’ assumptions regarding these risks and uncertainties, which they use to plan and operate their business, are incorrect or change, or if they do not address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-189230</wp:posOffset>
            </wp:positionV>
            <wp:extent cx="716026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319"/>
        <w:spacing w:after="0" w:line="272" w:lineRule="auto"/>
        <w:rPr>
          <w:sz w:val="20"/>
          <w:szCs w:val="20"/>
          <w:color w:val="auto"/>
        </w:rPr>
      </w:pPr>
      <w:r>
        <w:rPr>
          <w:rFonts w:ascii="Times New Roman" w:cs="Times New Roman" w:eastAsia="Times New Roman" w:hAnsi="Times New Roman"/>
          <w:sz w:val="14"/>
          <w:szCs w:val="14"/>
          <w:color w:val="auto"/>
        </w:rPr>
        <w:t>successfully, their results of operations could differ materially from their expectations and their business, financial condition, results of operations and prospects could be adversely affected.</w:t>
      </w:r>
    </w:p>
    <w:p>
      <w:pPr>
        <w:spacing w:after="0" w:line="90" w:lineRule="exact"/>
        <w:rPr>
          <w:sz w:val="20"/>
          <w:szCs w:val="20"/>
          <w:color w:val="auto"/>
        </w:rPr>
      </w:pPr>
    </w:p>
    <w:p>
      <w:pPr>
        <w:ind w:left="1160" w:right="14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Accelsius’ cooling products may be subject to increased regulatory scrutiny due to their use of working fluid refrigerants that contain fluorine.</w:t>
      </w:r>
    </w:p>
    <w:p>
      <w:pPr>
        <w:spacing w:after="0" w:line="77"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160" w:right="16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market, including customers and potential investors, may be skeptical of the viability and benefits of Accelsius’ and Refinity’s products and processes because they are based on relatively novel and complex technology.</w:t>
      </w:r>
    </w:p>
    <w:p>
      <w:pPr>
        <w:spacing w:after="0" w:line="9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w:t>
      </w:r>
    </w:p>
    <w:p>
      <w:pPr>
        <w:spacing w:after="0" w:line="104" w:lineRule="exact"/>
        <w:rPr>
          <w:sz w:val="20"/>
          <w:szCs w:val="20"/>
          <w:color w:val="auto"/>
        </w:rPr>
      </w:pPr>
    </w:p>
    <w:p>
      <w:pPr>
        <w:jc w:val="both"/>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91" w:lineRule="exact"/>
        <w:rPr>
          <w:sz w:val="20"/>
          <w:szCs w:val="20"/>
          <w:color w:val="auto"/>
        </w:rPr>
      </w:pPr>
    </w:p>
    <w:p>
      <w:pPr>
        <w:ind w:left="1160" w:right="1679" w:firstLine="258"/>
        <w:spacing w:after="0" w:line="292" w:lineRule="auto"/>
        <w:rPr>
          <w:sz w:val="20"/>
          <w:szCs w:val="20"/>
          <w:color w:val="auto"/>
        </w:rPr>
      </w:pPr>
      <w:r>
        <w:rPr>
          <w:rFonts w:ascii="Times New Roman" w:cs="Times New Roman" w:eastAsia="Times New Roman" w:hAnsi="Times New Roman"/>
          <w:sz w:val="14"/>
          <w:szCs w:val="14"/>
          <w:color w:val="auto"/>
        </w:rPr>
        <w:t>AFX is early in the development of its commercial production capacity and has not yet fully diversified suppliers for critical raw materials, specifically its film.</w:t>
      </w:r>
    </w:p>
    <w:p>
      <w:pPr>
        <w:spacing w:after="0" w:line="81" w:lineRule="exact"/>
        <w:rPr>
          <w:sz w:val="20"/>
          <w:szCs w:val="20"/>
          <w:color w:val="auto"/>
        </w:rPr>
      </w:pPr>
    </w:p>
    <w:p>
      <w:pPr>
        <w:ind w:left="1160" w:right="1359" w:firstLine="258"/>
        <w:spacing w:after="0" w:line="260" w:lineRule="auto"/>
        <w:rPr>
          <w:sz w:val="20"/>
          <w:szCs w:val="20"/>
          <w:color w:val="auto"/>
        </w:rPr>
      </w:pPr>
      <w:r>
        <w:rPr>
          <w:rFonts w:ascii="Times New Roman" w:cs="Times New Roman" w:eastAsia="Times New Roman" w:hAnsi="Times New Roman"/>
          <w:sz w:val="14"/>
          <w:szCs w:val="14"/>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end of the second quarter of 2025.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106"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10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Due to increased demand across a range of industries, the global supply chain for certain raw materials and components has experienced significant strain. The global macroeconomic environment and geopolitical instability,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97" w:lineRule="exact"/>
        <w:rPr>
          <w:sz w:val="20"/>
          <w:szCs w:val="20"/>
          <w:color w:val="auto"/>
        </w:rPr>
      </w:pPr>
    </w:p>
    <w:p>
      <w:pPr>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91" w:lineRule="exact"/>
        <w:rPr>
          <w:sz w:val="20"/>
          <w:szCs w:val="20"/>
          <w:color w:val="auto"/>
        </w:rPr>
      </w:pPr>
    </w:p>
    <w:p>
      <w:pPr>
        <w:ind w:left="1160" w:right="1479" w:firstLine="258"/>
        <w:spacing w:after="0" w:line="268" w:lineRule="auto"/>
        <w:rPr>
          <w:sz w:val="20"/>
          <w:szCs w:val="20"/>
          <w:color w:val="auto"/>
        </w:rPr>
      </w:pPr>
      <w:r>
        <w:rPr>
          <w:rFonts w:ascii="Times New Roman" w:cs="Times New Roman" w:eastAsia="Times New Roman" w:hAnsi="Times New Roman"/>
          <w:sz w:val="14"/>
          <w:szCs w:val="14"/>
          <w:color w:val="auto"/>
        </w:rPr>
        <w:t>The use of AFX’s products in food grade applications is subject to regulation by the U.S. Food and Drug Administration (“FDA”). The FDA has established certain guidelines for the use of recycled plastics in food packaging, as set forth in the “Guidance for Industry - Use of Recycled Plastics in Food Packaging: Chemistry Considerations (August 2006).” In order for AFX’s products to be used in food grade applications, AFX will be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required to partner with customers or third-party co-manufacturers that possess the required food certifications to do</w:t>
      </w:r>
    </w:p>
    <w:p>
      <w:pPr>
        <w:sectPr>
          <w:pgSz w:w="11900" w:h="16838" w:orient="portrait"/>
          <w:cols w:equalWidth="0" w:num="1">
            <w:col w:w="9019"/>
          </w:cols>
          <w:pgMar w:left="1440" w:top="94" w:right="1440" w:bottom="0" w:gutter="0" w:footer="0" w:header="0"/>
          <w:type w:val="continuous"/>
        </w:sectPr>
      </w:pPr>
    </w:p>
    <w:bookmarkStart w:id="16" w:name="page17"/>
    <w:bookmarkEnd w:id="16"/>
    <w:p>
      <w:pPr>
        <w:ind w:left="1160"/>
        <w:spacing w:after="0"/>
        <w:rPr>
          <w:sz w:val="20"/>
          <w:szCs w:val="20"/>
          <w:color w:val="auto"/>
        </w:rPr>
      </w:pPr>
      <w:r>
        <w:rPr>
          <w:rFonts w:ascii="Times New Roman" w:cs="Times New Roman" w:eastAsia="Times New Roman" w:hAnsi="Times New Roman"/>
          <w:sz w:val="14"/>
          <w:szCs w:val="14"/>
          <w:color w:val="auto"/>
        </w:rPr>
        <w:t>the filling of AFX’s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33" w:lineRule="exact"/>
        <w:rPr>
          <w:sz w:val="20"/>
          <w:szCs w:val="20"/>
          <w:color w:val="auto"/>
        </w:rPr>
      </w:pPr>
    </w:p>
    <w:p>
      <w:pPr>
        <w:ind w:left="1160" w:right="1339" w:firstLine="258"/>
        <w:spacing w:after="0" w:line="263" w:lineRule="auto"/>
        <w:rPr>
          <w:sz w:val="20"/>
          <w:szCs w:val="20"/>
          <w:color w:val="auto"/>
        </w:rPr>
      </w:pPr>
      <w:r>
        <w:rPr>
          <w:rFonts w:ascii="Times New Roman" w:cs="Times New Roman" w:eastAsia="Times New Roman" w:hAnsi="Times New Roman"/>
          <w:sz w:val="14"/>
          <w:szCs w:val="14"/>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w:t>
      </w:r>
    </w:p>
    <w:p>
      <w:pPr>
        <w:spacing w:after="0" w:line="10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97"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99"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The various regulatory schemes applicable to AFX’s products will continue to apply following initial approval. Monitoring regulatory changes and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38" w:lineRule="exact"/>
        <w:rPr>
          <w:sz w:val="20"/>
          <w:szCs w:val="20"/>
          <w:color w:val="auto"/>
        </w:rPr>
      </w:pPr>
    </w:p>
    <w:p>
      <w:pPr>
        <w:ind w:left="1160" w:right="15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is likely to be highly volatile, and you may lose some or all of your investment.</w:t>
      </w:r>
    </w:p>
    <w:p>
      <w:pPr>
        <w:spacing w:after="0" w:line="77"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The market price of our Common Stock may fluctuate significantly due to a number of factors, some of which may be beyond our control, including those factors discussed in this “Risk Factors” section and many others, such as:</w:t>
      </w:r>
    </w:p>
    <w:p>
      <w:pPr>
        <w:spacing w:after="0" w:line="93" w:lineRule="exact"/>
        <w:rPr>
          <w:sz w:val="20"/>
          <w:szCs w:val="20"/>
          <w:color w:val="auto"/>
        </w:rPr>
      </w:pPr>
    </w:p>
    <w:p>
      <w:pPr>
        <w:ind w:left="1660" w:right="161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Innventure’s financial condition and operating results, including fluctuations in its quarterly and annual results;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involving Innventure’s competitors;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Innventure’s business;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Innventure’s operating performance and the performance of its competitors in general;</w:t>
      </w:r>
    </w:p>
    <w:p>
      <w:pPr>
        <w:spacing w:after="0" w:line="139" w:lineRule="exact"/>
        <w:rPr>
          <w:rFonts w:ascii="Times New Roman" w:cs="Times New Roman" w:eastAsia="Times New Roman" w:hAnsi="Times New Roman"/>
          <w:sz w:val="14"/>
          <w:szCs w:val="14"/>
          <w:color w:val="auto"/>
        </w:rPr>
      </w:pPr>
    </w:p>
    <w:p>
      <w:pPr>
        <w:ind w:left="1660" w:right="129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Innventure’s press releases, its other public announcements and its filings with the SEC;</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w:t>
      </w:r>
    </w:p>
    <w:p>
      <w:pPr>
        <w:spacing w:after="0" w:line="139" w:lineRule="exact"/>
        <w:rPr>
          <w:rFonts w:ascii="Times New Roman" w:cs="Times New Roman" w:eastAsia="Times New Roman" w:hAnsi="Times New Roman"/>
          <w:sz w:val="14"/>
          <w:szCs w:val="14"/>
          <w:color w:val="auto"/>
        </w:rPr>
      </w:pPr>
    </w:p>
    <w:p>
      <w:pPr>
        <w:ind w:left="1660" w:right="123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Innventure or its competitors;</w:t>
      </w:r>
    </w:p>
    <w:p>
      <w:pPr>
        <w:spacing w:after="0" w:line="80" w:lineRule="exact"/>
        <w:rPr>
          <w:rFonts w:ascii="Times New Roman" w:cs="Times New Roman" w:eastAsia="Times New Roman" w:hAnsi="Times New Roman"/>
          <w:sz w:val="14"/>
          <w:szCs w:val="14"/>
          <w:color w:val="auto"/>
        </w:rPr>
      </w:pPr>
    </w:p>
    <w:p>
      <w:pPr>
        <w:ind w:left="1660" w:right="155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failure to meet the estimates and projections of the investment community or that it may otherwise provide to the public;</w:t>
      </w:r>
    </w:p>
    <w:p>
      <w:pPr>
        <w:spacing w:after="0" w:line="80"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Innventure’s industry, or positive or negative recommendations or withdrawal of research coverage by securities analysts;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the Common Stock or preferred stock by Innventure or its stockholders in the future;</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the Common Stock;</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shareholder litigation;</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requirements of NASDAQ;</w:t>
      </w:r>
    </w:p>
    <w:p>
      <w:pPr>
        <w:spacing w:after="0" w:line="139" w:lineRule="exact"/>
        <w:rPr>
          <w:rFonts w:ascii="Times New Roman" w:cs="Times New Roman" w:eastAsia="Times New Roman" w:hAnsi="Times New Roman"/>
          <w:sz w:val="14"/>
          <w:szCs w:val="14"/>
          <w:color w:val="auto"/>
        </w:rPr>
      </w:pPr>
    </w:p>
    <w:p>
      <w:pPr>
        <w:ind w:left="1660" w:right="1579" w:hanging="249"/>
        <w:spacing w:after="0" w:line="292" w:lineRule="auto"/>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other events or factors, many of which are beyond Innventure’s control;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Volatility in Innventure’s share price could subject Innventure to securities class action litigation.</w:t>
      </w:r>
    </w:p>
    <w:p>
      <w:pPr>
        <w:spacing w:after="0" w:line="144" w:lineRule="exact"/>
        <w:rPr>
          <w:sz w:val="20"/>
          <w:szCs w:val="20"/>
          <w:color w:val="auto"/>
        </w:rPr>
      </w:pPr>
    </w:p>
    <w:p>
      <w:pPr>
        <w:jc w:val="both"/>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89" w:lineRule="exact"/>
        <w:rPr>
          <w:sz w:val="20"/>
          <w:szCs w:val="20"/>
          <w:color w:val="auto"/>
        </w:rPr>
      </w:pPr>
    </w:p>
    <w:p>
      <w:pPr>
        <w:jc w:val="both"/>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Innventure, or publish negative reports, then Innventure’s stock price and trading volume could decline.</w:t>
      </w:r>
    </w:p>
    <w:p>
      <w:pPr>
        <w:spacing w:after="0" w:line="77"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ectPr>
          <w:pgSz w:w="11900" w:h="16838" w:orient="portrait"/>
          <w:cols w:equalWidth="0" w:num="1">
            <w:col w:w="9019"/>
          </w:cols>
          <w:pgMar w:left="1440" w:top="94" w:right="1440" w:bottom="0" w:gutter="0" w:footer="0" w:header="0"/>
        </w:sectPr>
      </w:pP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Innventure does not currently intend to pay dividends on its Common Stock, and, consequently, your ability to</w:t>
      </w:r>
    </w:p>
    <w:p>
      <w:pPr>
        <w:sectPr>
          <w:pgSz w:w="11900" w:h="16838" w:orient="portrait"/>
          <w:cols w:equalWidth="0" w:num="1">
            <w:col w:w="9019"/>
          </w:cols>
          <w:pgMar w:left="1440" w:top="94" w:right="1440" w:bottom="0" w:gutter="0" w:footer="0" w:header="0"/>
          <w:type w:val="continuous"/>
        </w:sectPr>
      </w:pPr>
    </w:p>
    <w:bookmarkStart w:id="17" w:name="page18"/>
    <w:bookmarkEnd w:id="17"/>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achieve a return on your investment will depend on appreciation, if any, in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-69850</wp:posOffset>
            </wp:positionV>
            <wp:extent cx="716026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1"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of our Common Stock or other equity may depress its stock price.</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completion of the Business Combination and the other transactions contemplated (the “Transactions”) by the Business Combination Agreement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39"/>
        <w:spacing w:after="0" w:line="274" w:lineRule="auto"/>
        <w:rPr>
          <w:sz w:val="20"/>
          <w:szCs w:val="20"/>
          <w:color w:val="auto"/>
        </w:rPr>
      </w:pPr>
      <w:r>
        <w:rPr>
          <w:rFonts w:ascii="Times New Roman" w:cs="Times New Roman" w:eastAsia="Times New Roman" w:hAnsi="Times New Roman"/>
          <w:sz w:val="14"/>
          <w:szCs w:val="14"/>
          <w:color w:val="auto"/>
        </w:rPr>
        <w:t>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93"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97" w:lineRule="exact"/>
        <w:rPr>
          <w:sz w:val="20"/>
          <w:szCs w:val="20"/>
          <w:color w:val="auto"/>
        </w:rPr>
      </w:pPr>
    </w:p>
    <w:p>
      <w:pPr>
        <w:ind w:left="1160" w:right="14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77"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of Directors (the “Board”) of the Company. The provisions in Innventure’s charter documents include the following:</w:t>
      </w:r>
    </w:p>
    <w:p>
      <w:pPr>
        <w:spacing w:after="0" w:line="97" w:lineRule="exact"/>
        <w:rPr>
          <w:sz w:val="20"/>
          <w:szCs w:val="20"/>
          <w:color w:val="auto"/>
        </w:rPr>
      </w:pPr>
    </w:p>
    <w:p>
      <w:pPr>
        <w:ind w:left="1660" w:right="123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may delay the ability of stockholders to change the membership of a majority of the Board;</w:t>
      </w:r>
    </w:p>
    <w:p>
      <w:pPr>
        <w:spacing w:after="0" w:line="80" w:lineRule="exact"/>
        <w:rPr>
          <w:rFonts w:ascii="Times New Roman" w:cs="Times New Roman" w:eastAsia="Times New Roman" w:hAnsi="Times New Roman"/>
          <w:sz w:val="14"/>
          <w:szCs w:val="14"/>
          <w:color w:val="auto"/>
        </w:rPr>
      </w:pPr>
    </w:p>
    <w:p>
      <w:pPr>
        <w:ind w:left="1660" w:right="129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80" w:lineRule="exact"/>
        <w:rPr>
          <w:rFonts w:ascii="Times New Roman" w:cs="Times New Roman" w:eastAsia="Times New Roman" w:hAnsi="Times New Roman"/>
          <w:sz w:val="14"/>
          <w:szCs w:val="14"/>
          <w:color w:val="auto"/>
        </w:rPr>
      </w:pPr>
    </w:p>
    <w:p>
      <w:pPr>
        <w:ind w:left="1660" w:right="1179" w:hanging="249"/>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prohibition on removal of directors without cause;</w:t>
      </w:r>
    </w:p>
    <w:p>
      <w:pPr>
        <w:spacing w:after="0" w:line="139" w:lineRule="exact"/>
        <w:rPr>
          <w:rFonts w:ascii="Times New Roman" w:cs="Times New Roman" w:eastAsia="Times New Roman" w:hAnsi="Times New Roman"/>
          <w:sz w:val="14"/>
          <w:szCs w:val="14"/>
          <w:color w:val="auto"/>
        </w:rPr>
      </w:pPr>
    </w:p>
    <w:p>
      <w:pPr>
        <w:ind w:left="1660" w:right="1199" w:hanging="249"/>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alter the Bylaws without obtaining stockholder approval;</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approval of at least 2/3 of the shares entitled to vote to amend or repeal the Bylaws or amend, alter or repeal certain provisions of the A&amp;R Certificate of Incorporation;</w:t>
      </w:r>
    </w:p>
    <w:p>
      <w:pPr>
        <w:spacing w:after="0" w:line="80"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Innventure’s stockholders;</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exclusive forum provision providing that the Court of Chancery of the State of Delaware (the “Delaware Court”) will be the exclusive forum for certain actions and proceedings;</w:t>
      </w:r>
    </w:p>
    <w:p>
      <w:pPr>
        <w:spacing w:after="0" w:line="80" w:lineRule="exact"/>
        <w:rPr>
          <w:rFonts w:ascii="Times New Roman" w:cs="Times New Roman" w:eastAsia="Times New Roman" w:hAnsi="Times New Roman"/>
          <w:sz w:val="14"/>
          <w:szCs w:val="14"/>
          <w:color w:val="auto"/>
        </w:rPr>
      </w:pPr>
    </w:p>
    <w:p>
      <w:pPr>
        <w:ind w:left="1660" w:right="1259" w:hanging="249"/>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92" w:lineRule="exact"/>
        <w:rPr>
          <w:rFonts w:ascii="Times New Roman" w:cs="Times New Roman" w:eastAsia="Times New Roman" w:hAnsi="Times New Roman"/>
          <w:sz w:val="14"/>
          <w:szCs w:val="14"/>
          <w:color w:val="auto"/>
        </w:rPr>
      </w:pPr>
    </w:p>
    <w:p>
      <w:pPr>
        <w:ind w:left="1660" w:right="1179" w:hanging="249"/>
        <w:spacing w:after="0" w:line="268"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w:t>
      </w:r>
    </w:p>
    <w:p>
      <w:pPr>
        <w:spacing w:after="0" w:line="97" w:lineRule="exact"/>
        <w:rPr>
          <w:rFonts w:ascii="Times New Roman" w:cs="Times New Roman" w:eastAsia="Times New Roman" w:hAnsi="Times New Roman"/>
          <w:sz w:val="14"/>
          <w:szCs w:val="14"/>
          <w:color w:val="auto"/>
        </w:rPr>
      </w:pPr>
    </w:p>
    <w:p>
      <w:pPr>
        <w:ind w:left="1660" w:right="1259" w:hanging="249"/>
        <w:spacing w:after="0" w:line="292"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is subject to the anti-takeover provisions contained in Section 203 of the Delaware General Corporation Law, which will prevent Innventure from engaging in a business combination with any holder</w:t>
      </w:r>
    </w:p>
    <w:p>
      <w:pPr>
        <w:sectPr>
          <w:pgSz w:w="11900" w:h="16838" w:orient="portrait"/>
          <w:cols w:equalWidth="0" w:num="1">
            <w:col w:w="9019"/>
          </w:cols>
          <w:pgMar w:left="1440" w:top="90" w:right="1440" w:bottom="30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90" w:right="1440" w:bottom="308" w:gutter="0" w:footer="0" w:header="0"/>
          <w:type w:val="continuous"/>
        </w:sectPr>
      </w:pPr>
    </w:p>
    <w:bookmarkStart w:id="18" w:name="page19"/>
    <w:bookmarkEnd w:id="18"/>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right="1499"/>
        <w:spacing w:after="0" w:line="292" w:lineRule="auto"/>
        <w:rPr>
          <w:sz w:val="20"/>
          <w:szCs w:val="20"/>
          <w:color w:val="auto"/>
        </w:rPr>
      </w:pPr>
      <w:r>
        <w:rPr>
          <w:rFonts w:ascii="Times New Roman" w:cs="Times New Roman" w:eastAsia="Times New Roman" w:hAnsi="Times New Roman"/>
          <w:sz w:val="14"/>
          <w:szCs w:val="14"/>
          <w:color w:val="auto"/>
        </w:rPr>
        <w:t>of 15% or more of its capital stock unless the holder has held the stock for three years or, among other exceptions, the Board has approved the transaction.</w:t>
      </w:r>
    </w:p>
    <w:p>
      <w:pPr>
        <w:spacing w:after="0" w:line="77" w:lineRule="exact"/>
        <w:rPr>
          <w:sz w:val="20"/>
          <w:szCs w:val="20"/>
          <w:color w:val="auto"/>
        </w:rPr>
      </w:pPr>
    </w:p>
    <w:p>
      <w:pPr>
        <w:ind w:left="1160" w:right="12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91" w:lineRule="exact"/>
        <w:rPr>
          <w:sz w:val="20"/>
          <w:szCs w:val="20"/>
          <w:color w:val="auto"/>
        </w:rPr>
      </w:pPr>
    </w:p>
    <w:p>
      <w:pPr>
        <w:ind w:left="1160" w:right="1239" w:firstLine="258"/>
        <w:spacing w:after="0" w:line="259" w:lineRule="auto"/>
        <w:rPr>
          <w:sz w:val="20"/>
          <w:szCs w:val="20"/>
          <w:color w:val="auto"/>
        </w:rPr>
      </w:pPr>
      <w:r>
        <w:rPr>
          <w:rFonts w:ascii="Times New Roman" w:cs="Times New Roman" w:eastAsia="Times New Roman" w:hAnsi="Times New Roman"/>
          <w:sz w:val="14"/>
          <w:szCs w:val="14"/>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06"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Notwithstanding the foregoing, these provisions of the Warrant Agreement will not apply to suits brought to enforce any liability or duty created by the Securities Exchange Act of 1934, as amended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“Warrant Agreement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Warrant Agreement Foreign Action as agent for such warrant holder.</w:t>
      </w:r>
    </w:p>
    <w:p>
      <w:pPr>
        <w:spacing w:after="0" w:line="110" w:lineRule="exact"/>
        <w:rPr>
          <w:sz w:val="20"/>
          <w:szCs w:val="20"/>
          <w:color w:val="auto"/>
        </w:rPr>
      </w:pPr>
    </w:p>
    <w:p>
      <w:pPr>
        <w:ind w:left="1160" w:right="1319" w:firstLine="258"/>
        <w:spacing w:after="0" w:line="263" w:lineRule="auto"/>
        <w:rPr>
          <w:sz w:val="20"/>
          <w:szCs w:val="20"/>
          <w:color w:val="auto"/>
        </w:rPr>
      </w:pPr>
      <w:r>
        <w:rPr>
          <w:rFonts w:ascii="Times New Roman" w:cs="Times New Roman" w:eastAsia="Times New Roman" w:hAnsi="Times New Roman"/>
          <w:sz w:val="14"/>
          <w:szCs w:val="14"/>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97" w:lineRule="exact"/>
        <w:rPr>
          <w:sz w:val="20"/>
          <w:szCs w:val="20"/>
          <w:color w:val="auto"/>
        </w:rPr>
      </w:pPr>
    </w:p>
    <w:p>
      <w:pPr>
        <w:ind w:left="1160" w:right="11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9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2026, (2) the last day of the fiscal year (a) in which we have total annual gross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339"/>
        <w:spacing w:after="0" w:line="268" w:lineRule="auto"/>
        <w:rPr>
          <w:sz w:val="20"/>
          <w:szCs w:val="20"/>
          <w:color w:val="auto"/>
        </w:rPr>
      </w:pPr>
      <w:r>
        <w:rPr>
          <w:rFonts w:ascii="Times New Roman" w:cs="Times New Roman" w:eastAsia="Times New Roman" w:hAnsi="Times New Roman"/>
          <w:sz w:val="14"/>
          <w:szCs w:val="14"/>
          <w:color w:val="auto"/>
        </w:rPr>
        <w:t>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97" w:lineRule="exact"/>
        <w:rPr>
          <w:sz w:val="20"/>
          <w:szCs w:val="20"/>
          <w:color w:val="auto"/>
        </w:rPr>
      </w:pPr>
    </w:p>
    <w:p>
      <w:pPr>
        <w:ind w:left="1160" w:right="1399" w:firstLine="258"/>
        <w:spacing w:after="0" w:line="265" w:lineRule="auto"/>
        <w:rPr>
          <w:sz w:val="20"/>
          <w:szCs w:val="20"/>
          <w:color w:val="auto"/>
        </w:rPr>
      </w:pPr>
      <w:r>
        <w:rPr>
          <w:rFonts w:ascii="Times New Roman" w:cs="Times New Roman" w:eastAsia="Times New Roman" w:hAnsi="Times New Roman"/>
          <w:sz w:val="14"/>
          <w:szCs w:val="14"/>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99"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1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Innventure cannot predict if investors will find its Common Stock less attractive because Innventure may rely</w:t>
      </w:r>
    </w:p>
    <w:p>
      <w:pPr>
        <w:sectPr>
          <w:pgSz w:w="11900" w:h="16885" w:orient="portrait"/>
          <w:cols w:equalWidth="0" w:num="1">
            <w:col w:w="9019"/>
          </w:cols>
          <w:pgMar w:left="1440" w:top="1102" w:right="1440" w:bottom="0" w:gutter="0" w:footer="0" w:header="0"/>
        </w:sectPr>
      </w:pPr>
    </w:p>
    <w:bookmarkStart w:id="19" w:name="page20"/>
    <w:bookmarkEnd w:id="19"/>
    <w:p>
      <w:pPr>
        <w:spacing w:after="0" w:line="53" w:lineRule="exact"/>
        <w:rPr>
          <w:sz w:val="20"/>
          <w:szCs w:val="20"/>
          <w:color w:val="auto"/>
        </w:rPr>
      </w:pPr>
    </w:p>
    <w:p>
      <w:pPr>
        <w:ind w:left="1160" w:right="1259"/>
        <w:spacing w:after="0" w:line="292" w:lineRule="auto"/>
        <w:rPr>
          <w:sz w:val="20"/>
          <w:szCs w:val="20"/>
          <w:color w:val="auto"/>
        </w:rPr>
      </w:pPr>
      <w:r>
        <w:rPr>
          <w:rFonts w:ascii="Times New Roman" w:cs="Times New Roman" w:eastAsia="Times New Roman" w:hAnsi="Times New Roman"/>
          <w:sz w:val="14"/>
          <w:szCs w:val="14"/>
          <w:color w:val="auto"/>
        </w:rPr>
        <w:t>on these exemptions. If some investors find the Common Stock less attractive as a result, there may be a less active trading market for the Common Stock and its market price may be more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-238760</wp:posOffset>
            </wp:positionV>
            <wp:extent cx="716026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57" w:lineRule="exact"/>
        <w:rPr>
          <w:sz w:val="20"/>
          <w:szCs w:val="20"/>
          <w:color w:val="auto"/>
        </w:rPr>
      </w:pPr>
    </w:p>
    <w:p>
      <w:pPr>
        <w:ind w:left="1160" w:right="14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Future offerings of debt or offerings or issuances of equity securities by Innventure may adversely affect the market price of the Common Stock or otherwise dilute all other stockholders.</w:t>
      </w:r>
    </w:p>
    <w:p>
      <w:pPr>
        <w:spacing w:after="0" w:line="77"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01"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w:t>
      </w:r>
    </w:p>
    <w:p>
      <w:pPr>
        <w:spacing w:after="0" w:line="99" w:lineRule="exact"/>
        <w:rPr>
          <w:sz w:val="20"/>
          <w:szCs w:val="20"/>
          <w:color w:val="auto"/>
        </w:rPr>
      </w:pPr>
    </w:p>
    <w:p>
      <w:pPr>
        <w:ind w:left="1160" w:right="14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91"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Generally Accepted Accounting Principles (“GAAP”) in the United States requires management to make estimates and assumptions that affect the amounts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39"/>
        <w:spacing w:after="0" w:line="260" w:lineRule="auto"/>
        <w:rPr>
          <w:sz w:val="20"/>
          <w:szCs w:val="20"/>
          <w:color w:val="auto"/>
        </w:rPr>
      </w:pPr>
      <w:r>
        <w:rPr>
          <w:rFonts w:ascii="Times New Roman" w:cs="Times New Roman" w:eastAsia="Times New Roman" w:hAnsi="Times New Roman"/>
          <w:sz w:val="14"/>
          <w:szCs w:val="14"/>
          <w:color w:val="auto"/>
        </w:rPr>
        <w:t>reported in the financial statements and accompanying notes. Innventure will base its estimates on historical experience, known trends and events, and various other factors that it believes to be reasonable under the circumstances, as provided in the section entitled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106"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97" w:lineRule="exact"/>
        <w:rPr>
          <w:sz w:val="20"/>
          <w:szCs w:val="20"/>
          <w:color w:val="auto"/>
        </w:rPr>
      </w:pPr>
    </w:p>
    <w:p>
      <w:pPr>
        <w:jc w:val="both"/>
        <w:ind w:left="1160" w:right="16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91" w:lineRule="exact"/>
        <w:rPr>
          <w:sz w:val="20"/>
          <w:szCs w:val="20"/>
          <w:color w:val="auto"/>
        </w:rPr>
      </w:pPr>
    </w:p>
    <w:p>
      <w:pPr>
        <w:ind w:left="1160" w:right="1219" w:firstLine="258"/>
        <w:spacing w:after="0" w:line="259" w:lineRule="auto"/>
        <w:rPr>
          <w:sz w:val="20"/>
          <w:szCs w:val="20"/>
          <w:color w:val="auto"/>
        </w:rPr>
      </w:pPr>
      <w:r>
        <w:rPr>
          <w:rFonts w:ascii="Times New Roman" w:cs="Times New Roman" w:eastAsia="Times New Roman" w:hAnsi="Times New Roman"/>
          <w:sz w:val="14"/>
          <w:szCs w:val="14"/>
          <w:color w:val="auto"/>
        </w:rPr>
        <w:t>The Bylaws provide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272" w:lineRule="exact"/>
        <w:rPr>
          <w:sz w:val="20"/>
          <w:szCs w:val="20"/>
          <w:color w:val="auto"/>
        </w:rPr>
      </w:pPr>
    </w:p>
    <w:p>
      <w:pPr>
        <w:ind w:left="1160" w:right="13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and may adversely affect Innventure’s business and stock price.</w:t>
      </w:r>
    </w:p>
    <w:p>
      <w:pPr>
        <w:spacing w:after="0" w:line="96"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In connection with the preparation of the Company’s financial statements, certain material weaknesses were identified in the Company’s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w:t>
      </w:r>
    </w:p>
    <w:p>
      <w:pPr>
        <w:spacing w:after="0" w:line="99"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w:t>
      </w:r>
    </w:p>
    <w:p>
      <w:pPr>
        <w:sectPr>
          <w:pgSz w:w="11900" w:h="16891" w:orient="portrait"/>
          <w:cols w:equalWidth="0" w:num="1">
            <w:col w:w="9019"/>
          </w:cols>
          <w:pgMar w:left="1440" w:top="125" w:right="1440" w:bottom="0" w:gutter="0" w:footer="0" w:header="0"/>
        </w:sectPr>
      </w:pPr>
    </w:p>
    <w:bookmarkStart w:id="20" w:name="page21"/>
    <w:bookmarkEnd w:id="20"/>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59"/>
        <w:spacing w:after="0" w:line="261" w:lineRule="auto"/>
        <w:rPr>
          <w:sz w:val="20"/>
          <w:szCs w:val="20"/>
          <w:color w:val="auto"/>
        </w:rPr>
      </w:pPr>
      <w:r>
        <w:rPr>
          <w:rFonts w:ascii="Times New Roman" w:cs="Times New Roman" w:eastAsia="Times New Roman" w:hAnsi="Times New Roman"/>
          <w:sz w:val="14"/>
          <w:szCs w:val="14"/>
          <w:color w:val="auto"/>
        </w:rPr>
        <w:t>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 the SEC, and other regulatory authorities, and become subject to litigation from investors and stockholders, which could harm its reputation and its financial condition, or divert financial and management resources from its core business.</w:t>
      </w:r>
    </w:p>
    <w:p>
      <w:pPr>
        <w:spacing w:after="0" w:line="99" w:lineRule="exact"/>
        <w:rPr>
          <w:sz w:val="20"/>
          <w:szCs w:val="20"/>
          <w:color w:val="auto"/>
        </w:rPr>
      </w:pPr>
    </w:p>
    <w:p>
      <w:pPr>
        <w:jc w:val="both"/>
        <w:ind w:left="1160" w:right="12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91"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If Innventure is deemed to be an investment company under the Investment Company Act, it will be subject to additional regulatory requirements and its activities may be restricted, including:</w:t>
      </w:r>
    </w:p>
    <w:p>
      <w:pPr>
        <w:spacing w:after="0" w:line="81" w:lineRule="exact"/>
        <w:rPr>
          <w:sz w:val="20"/>
          <w:szCs w:val="20"/>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nature of its investments;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its ability to borrow;</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prohibitions on transactions with affiliates;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securities.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Each of these may make it difficult for Innventure to run its business. In addition, the law may impose upon</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Innventure burdensome requirements, including:</w:t>
      </w:r>
    </w:p>
    <w:p>
      <w:pPr>
        <w:spacing w:after="0" w:line="126" w:lineRule="exact"/>
        <w:rPr>
          <w:sz w:val="20"/>
          <w:szCs w:val="20"/>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as an investment company and subsequent regulation as an investment company;</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adoption of a specific form of corporate structure;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record keeping, voting, proxy and disclosure requirements and other rules and regulations.</w:t>
      </w:r>
    </w:p>
    <w:p>
      <w:pPr>
        <w:spacing w:after="0" w:line="14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Innventure intends to conduct its operations so that it is not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108"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93"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60" w:right="12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9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101"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w:t>
      </w:r>
    </w:p>
    <w:p>
      <w:pPr>
        <w:sectPr>
          <w:pgSz w:w="11900" w:h="16904" w:orient="portrait"/>
          <w:cols w:equalWidth="0" w:num="1">
            <w:col w:w="9019"/>
          </w:cols>
          <w:pgMar w:left="1440" w:top="501" w:right="1440" w:bottom="0" w:gutter="0" w:footer="0" w:header="0"/>
        </w:sectPr>
      </w:pPr>
    </w:p>
    <w:bookmarkStart w:id="21" w:name="page22"/>
    <w:bookmarkEnd w:id="21"/>
    <w:p>
      <w:pPr>
        <w:spacing w:after="0" w:line="1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efforts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-78740</wp:posOffset>
            </wp:positionV>
            <wp:extent cx="716026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0"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101"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02" w:lineRule="exact"/>
        <w:rPr>
          <w:sz w:val="20"/>
          <w:szCs w:val="20"/>
          <w:color w:val="auto"/>
        </w:rPr>
      </w:pPr>
    </w:p>
    <w:p>
      <w:pPr>
        <w:ind w:left="1160" w:right="15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Additional financing transactions by the Operating Companies could impact your rights as a stockholder of Innventure.</w:t>
      </w:r>
    </w:p>
    <w:p>
      <w:pPr>
        <w:spacing w:after="0" w:line="77"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Common Stock with respect to that Operating Companies’ assets and will also have priority as to liquidation and dividend and other rights more favorable than Common Stock with respect to that Operating Company. This priority, or any reduction in Innventure’s ownership interest in any Operating Companies, may reduce the value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38" w:lineRule="exact"/>
        <w:rPr>
          <w:sz w:val="20"/>
          <w:szCs w:val="20"/>
          <w:color w:val="auto"/>
        </w:rPr>
      </w:pPr>
    </w:p>
    <w:p>
      <w:pPr>
        <w:ind w:left="1160" w:right="13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Innventure may be unable to sufficiently protect the IP rights of itself and the Innventure Companies and may encounter disputes from time to time relating to its use of the IP of third parties.</w:t>
      </w:r>
    </w:p>
    <w:p>
      <w:pPr>
        <w:spacing w:after="0" w:line="77"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w:t>
      </w:r>
    </w:p>
    <w:p>
      <w:pPr>
        <w:spacing w:after="0" w:line="10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w:t>
      </w:r>
    </w:p>
    <w:p>
      <w:pPr>
        <w:spacing w:after="0" w:line="280"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9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Despite Innventure’s and the Innventure Companies’ efforts to protect these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its IP rights against them. In addition, Innventure’s and the Innventure Companies’ contractual arrangements may not effectively prevent disclosure of its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its IP and proprietary information from misappropriation or infringement by others, which is expensive, could cause a diversion of resources and may not be successful.</w:t>
      </w:r>
    </w:p>
    <w:p>
      <w:pPr>
        <w:spacing w:after="0" w:line="108"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Innventure or the Innventure Companies also may encounter disputes from time to time concerning IP rights of others, and it may not prevail in these disputes. Third parties may raise claims against Innventure alleging that Innventure, the Innventure Companies, their employees, consultants or other third parties retained or indemnified by Innventure or the Innventure Companies, infringe, dilute, misappropriate or otherwise violate their IP rights. Some</w:t>
      </w:r>
    </w:p>
    <w:p>
      <w:pPr>
        <w:sectPr>
          <w:pgSz w:w="11900" w:h="16960" w:orient="portrait"/>
          <w:cols w:equalWidth="0" w:num="1">
            <w:col w:w="9019"/>
          </w:cols>
          <w:pgMar w:left="1440" w:top="104" w:right="1440" w:bottom="0" w:gutter="0" w:footer="0" w:header="0"/>
        </w:sectPr>
      </w:pPr>
    </w:p>
    <w:bookmarkStart w:id="22" w:name="page23"/>
    <w:bookmarkEnd w:id="22"/>
    <w:p>
      <w:pPr>
        <w:ind w:left="1160" w:right="12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third-party IP rights may be extremely broad, and it may not be possible for Innventure to conduct its operations in such a way as to avoid all alleged violations of such IP rights and thus, Innventure and the Innventure Companies cannot be certain that its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19"/>
        <w:spacing w:after="0" w:line="268" w:lineRule="auto"/>
        <w:rPr>
          <w:sz w:val="20"/>
          <w:szCs w:val="20"/>
          <w:color w:val="auto"/>
        </w:rPr>
      </w:pPr>
      <w:r>
        <w:rPr>
          <w:rFonts w:ascii="Times New Roman" w:cs="Times New Roman" w:eastAsia="Times New Roman" w:hAnsi="Times New Roman"/>
          <w:sz w:val="14"/>
          <w:szCs w:val="14"/>
          <w:color w:val="auto"/>
        </w:rPr>
        <w:t>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w:t>
      </w:r>
    </w:p>
    <w:p>
      <w:pPr>
        <w:spacing w:after="0" w:line="97"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it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w:t>
      </w:r>
    </w:p>
    <w:p>
      <w:pPr>
        <w:spacing w:after="0" w:line="2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38" w:lineRule="exact"/>
        <w:rPr>
          <w:sz w:val="20"/>
          <w:szCs w:val="20"/>
          <w:color w:val="auto"/>
        </w:rPr>
      </w:pPr>
    </w:p>
    <w:p>
      <w:pPr>
        <w:ind w:left="1160" w:right="11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Innventure, the Innventure Companies, and Innventure’s MNC partners may be negatively impacted by volatility in the political and economic environment, such geopolitical unrest, economic downturns and high interest rates, and a period of sustained inflation, which could have an adverse impact on Innventure’s and the Innventure Companies’ business, financial condition, results of operations and prospects.</w:t>
      </w:r>
    </w:p>
    <w:p>
      <w:pPr>
        <w:spacing w:after="0" w:line="96"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103"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99" w:lineRule="exact"/>
        <w:rPr>
          <w:sz w:val="20"/>
          <w:szCs w:val="20"/>
          <w:color w:val="auto"/>
        </w:rPr>
      </w:pPr>
    </w:p>
    <w:p>
      <w:pPr>
        <w:ind w:left="1160" w:right="14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U.S. or foreign trade policies, including additional tariffs or global trade conflicts, may adversely impact our business and operating results.</w:t>
      </w:r>
    </w:p>
    <w:p>
      <w:pPr>
        <w:spacing w:after="0" w:line="77" w:lineRule="exact"/>
        <w:rPr>
          <w:sz w:val="20"/>
          <w:szCs w:val="20"/>
          <w:color w:val="auto"/>
        </w:rPr>
      </w:pPr>
    </w:p>
    <w:p>
      <w:pPr>
        <w:ind w:left="1160" w:right="1259" w:firstLine="258"/>
        <w:spacing w:after="0" w:line="259" w:lineRule="auto"/>
        <w:rPr>
          <w:sz w:val="20"/>
          <w:szCs w:val="20"/>
          <w:color w:val="auto"/>
        </w:rPr>
      </w:pPr>
      <w:r>
        <w:rPr>
          <w:rFonts w:ascii="Times New Roman" w:cs="Times New Roman" w:eastAsia="Times New Roman" w:hAnsi="Times New Roman"/>
          <w:sz w:val="14"/>
          <w:szCs w:val="14"/>
          <w:color w:val="auto"/>
        </w:rPr>
        <w:t>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 goods and services across international borders. Changes in foreign trade policies, such as the imposition of new tariffs, duties, or other trade barriers, can increase the cost of our products and materials, disrupt our supply 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39"/>
        <w:spacing w:after="0" w:line="268" w:lineRule="auto"/>
        <w:rPr>
          <w:sz w:val="20"/>
          <w:szCs w:val="20"/>
          <w:color w:val="auto"/>
        </w:rPr>
      </w:pPr>
      <w:r>
        <w:rPr>
          <w:rFonts w:ascii="Times New Roman" w:cs="Times New Roman" w:eastAsia="Times New Roman" w:hAnsi="Times New Roman"/>
          <w:sz w:val="14"/>
          <w:szCs w:val="14"/>
          <w:color w:val="auto"/>
        </w:rPr>
        <w:t>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w:t>
      </w:r>
    </w:p>
    <w:p>
      <w:pPr>
        <w:spacing w:after="0" w:line="93" w:lineRule="exact"/>
        <w:rPr>
          <w:sz w:val="20"/>
          <w:szCs w:val="20"/>
          <w:color w:val="auto"/>
        </w:rPr>
      </w:pPr>
    </w:p>
    <w:p>
      <w:pPr>
        <w:ind w:left="1160" w:right="11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Innventure, the Innventure Companies, and their MNC partners face risks and uncertainties related to litigation, regulatory actions and investigations.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Innventure, the Innventure Companies, and their MNC partners are subject to, and may become a party to, a</w:t>
      </w:r>
    </w:p>
    <w:p>
      <w:pPr>
        <w:sectPr>
          <w:pgSz w:w="11900" w:h="16838" w:orient="portrait"/>
          <w:cols w:equalWidth="0" w:num="1">
            <w:col w:w="9019"/>
          </w:cols>
          <w:pgMar w:left="1440" w:top="157" w:right="1440" w:bottom="0" w:gutter="0" w:footer="0" w:header="0"/>
        </w:sectPr>
      </w:pPr>
    </w:p>
    <w:bookmarkStart w:id="23" w:name="page24"/>
    <w:bookmarkEnd w:id="23"/>
    <w:p>
      <w:pPr>
        <w:spacing w:after="0" w:line="94" w:lineRule="exact"/>
        <w:rPr>
          <w:sz w:val="20"/>
          <w:szCs w:val="20"/>
          <w:color w:val="auto"/>
        </w:rPr>
      </w:pPr>
    </w:p>
    <w:p>
      <w:pPr>
        <w:ind w:left="1160" w:right="1239"/>
        <w:spacing w:after="0" w:line="193" w:lineRule="auto"/>
        <w:rPr>
          <w:sz w:val="20"/>
          <w:szCs w:val="20"/>
          <w:color w:val="auto"/>
        </w:rPr>
      </w:pPr>
      <w:r>
        <w:rPr>
          <w:rFonts w:ascii="Times New Roman" w:cs="Times New Roman" w:eastAsia="Times New Roman" w:hAnsi="Times New Roman"/>
          <w:sz w:val="14"/>
          <w:szCs w:val="14"/>
          <w:color w:val="auto"/>
        </w:rPr>
        <w:t>variety of litigation, other claims, suits, regulatory actions and government investigations and inquiries. In addition, from time to time, we may also be involved in legal proceedings and investigations arising in the ordinary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-134620</wp:posOffset>
            </wp:positionV>
            <wp:extent cx="716026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39"/>
        <w:spacing w:after="0" w:line="264" w:lineRule="auto"/>
        <w:rPr>
          <w:sz w:val="20"/>
          <w:szCs w:val="20"/>
          <w:color w:val="auto"/>
        </w:rPr>
      </w:pPr>
      <w:r>
        <w:rPr>
          <w:rFonts w:ascii="Times New Roman" w:cs="Times New Roman" w:eastAsia="Times New Roman" w:hAnsi="Times New Roman"/>
          <w:sz w:val="14"/>
          <w:szCs w:val="14"/>
          <w:color w:val="auto"/>
        </w:rPr>
        <w:t>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w:t>
      </w:r>
    </w:p>
    <w:p>
      <w:pPr>
        <w:spacing w:after="0" w:line="99"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95" w:lineRule="exact"/>
        <w:rPr>
          <w:sz w:val="20"/>
          <w:szCs w:val="20"/>
          <w:color w:val="auto"/>
        </w:rPr>
      </w:pPr>
    </w:p>
    <w:p>
      <w:pPr>
        <w:ind w:left="1160" w:right="1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Cyber-attacks or a failure in Innventure’s information technology and data security infrastructure could adversely affect Innventure’s business and operations.</w:t>
      </w:r>
    </w:p>
    <w:p>
      <w:pPr>
        <w:spacing w:after="0" w:line="77"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105" w:lineRule="exact"/>
        <w:rPr>
          <w:sz w:val="20"/>
          <w:szCs w:val="20"/>
          <w:color w:val="auto"/>
        </w:rPr>
      </w:pPr>
    </w:p>
    <w:p>
      <w:pPr>
        <w:ind w:left="1160" w:right="11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Innventure may face particular data protection and privacy risks in connection with the European Union’s Global Data Protection Regulation, the California Consumer Privacy Act and other privacy laws and regulations.</w:t>
      </w:r>
    </w:p>
    <w:p>
      <w:pPr>
        <w:spacing w:after="0" w:line="77"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99"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artificial intelligence (“AI”) systems. The changes introduced by these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spacing w:after="0" w:line="261" w:lineRule="auto"/>
        <w:rPr>
          <w:sz w:val="20"/>
          <w:szCs w:val="20"/>
          <w:color w:val="auto"/>
        </w:rPr>
      </w:pPr>
      <w:r>
        <w:rPr>
          <w:rFonts w:ascii="Times New Roman" w:cs="Times New Roman" w:eastAsia="Times New Roman" w:hAnsi="Times New Roman"/>
          <w:sz w:val="14"/>
          <w:szCs w:val="14"/>
          <w:color w:val="auto"/>
        </w:rPr>
        <w:t>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AI technologies could present business, compliance and reputational risks.</w:t>
      </w:r>
    </w:p>
    <w:p>
      <w:pPr>
        <w:spacing w:after="0" w:line="14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w:t>
      </w:r>
    </w:p>
    <w:p>
      <w:pPr>
        <w:spacing w:after="0" w:line="106" w:lineRule="exact"/>
        <w:rPr>
          <w:sz w:val="20"/>
          <w:szCs w:val="20"/>
          <w:color w:val="auto"/>
        </w:rPr>
      </w:pPr>
    </w:p>
    <w:p>
      <w:pPr>
        <w:ind w:left="1160" w:right="1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Expectations relating to ESG considerations expose Innventure to potential liabilities, increased costs, reputational harm and other adverse effects on Innventure’s business.</w:t>
      </w:r>
    </w:p>
    <w:p>
      <w:pPr>
        <w:spacing w:after="0" w:line="77"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Many governments, regulators, investors, employees, customers and other stakeholders are increasingly focused on environmental, social and governance (“ESG”) and sustainability considerations relating to businesses, including climate change and greenhouse gas (“GHG”) emissions, data privacy, AI, human capital and diversity, equity and inclusion. Innventure makes statements about its ESG targets, goals and initiatives through information provided on its website, press statements and other communications. Responding to these ESG considerations and implementation of these goals and initiatives involves risks and uncertainties, requires investments, and are impacted by factors that may be outside Innventure’s control. In addition, some stakeholders may disagree with Innventure’s goals and initiatives and the focus of stakeholders may change and evolve over time. Innventure may also amend, abandon or replace its targets, goals and initiatives due to a change in strategy, reduced relevance of such targets, goals and initiatives or changing market conditions, and Innventure may take certain actions that stakeholders or</w:t>
      </w:r>
    </w:p>
    <w:p>
      <w:pPr>
        <w:sectPr>
          <w:pgSz w:w="11900" w:h="16932" w:orient="portrait"/>
          <w:cols w:equalWidth="0" w:num="1">
            <w:col w:w="9019"/>
          </w:cols>
          <w:pgMar w:left="1440" w:top="94" w:right="1440" w:bottom="0" w:gutter="0" w:footer="0" w:header="0"/>
        </w:sectPr>
      </w:pPr>
    </w:p>
    <w:bookmarkStart w:id="24" w:name="page25"/>
    <w:bookmarkEnd w:id="24"/>
    <w:p>
      <w:pPr>
        <w:ind w:left="1160" w:right="1199"/>
        <w:spacing w:after="0" w:line="262" w:lineRule="auto"/>
        <w:rPr>
          <w:sz w:val="20"/>
          <w:szCs w:val="20"/>
          <w:color w:val="auto"/>
        </w:rPr>
      </w:pPr>
      <w:r>
        <w:rPr>
          <w:rFonts w:ascii="Times New Roman" w:cs="Times New Roman" w:eastAsia="Times New Roman" w:hAnsi="Times New Roman"/>
          <w:sz w:val="14"/>
          <w:szCs w:val="14"/>
          <w:color w:val="auto"/>
        </w:rPr>
        <w:t>regulators view as contrary to such targets, goals and initiatives. Stakeholders also may have very different views on where Innventure’s focus on ESG and sustainability issues should be placed, including differing views of regulators in various jurisdictions in which we operate. Any failure, or perceived failure, by Innventure to achieve its targets or goals, further its initiatives, adhere to its public statements, comply with federal, state or international ESG laws and regulations, or meet evolving and varied stakeholder expectations and standards could result in legal and regulatory proceedings against Innventure and materially adversely affect Innventure’s business, reputation, results of operations, financial condition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-777875</wp:posOffset>
            </wp:positionV>
            <wp:extent cx="716026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7" w:lineRule="exact"/>
        <w:rPr>
          <w:sz w:val="20"/>
          <w:szCs w:val="20"/>
          <w:color w:val="auto"/>
        </w:rPr>
      </w:pPr>
    </w:p>
    <w:p>
      <w:pPr>
        <w:ind w:left="1160" w:right="14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Climate change, or legal, regulatory or market measures to address climate change may materially adversely affect Innventure’s financial condition and business operations.</w:t>
      </w:r>
    </w:p>
    <w:p>
      <w:pPr>
        <w:spacing w:after="0" w:line="7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79"/>
        <w:spacing w:after="0" w:line="261" w:lineRule="auto"/>
        <w:rPr>
          <w:sz w:val="20"/>
          <w:szCs w:val="20"/>
          <w:color w:val="auto"/>
        </w:rPr>
      </w:pPr>
      <w:r>
        <w:rPr>
          <w:rFonts w:ascii="Times New Roman" w:cs="Times New Roman" w:eastAsia="Times New Roman" w:hAnsi="Times New Roman"/>
          <w:sz w:val="14"/>
          <w:szCs w:val="14"/>
          <w:color w:val="auto"/>
        </w:rPr>
        <w:t>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could adversely affect Innventure and the Innventure Companies.</w:t>
      </w:r>
    </w:p>
    <w:p>
      <w:pPr>
        <w:spacing w:after="0" w:line="144"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99"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For example, during October 2021, the Organisation for Economic Cooperation and Development (the “OECD”) announced that 136 countries and tax jurisdictions have agreed to implement a new “Two Pillar” approach to international taxation. Numerous countries have now enacted, or are in the process of enacting, new legislation consistent with this approach, which took effect for the first time in 2024. More countries have committed to introduce similar legislation, at different times and in different ways, through their individual agreement to tax treaty changes and through changes to their own domestic tax laws.</w:t>
      </w:r>
    </w:p>
    <w:p>
      <w:pPr>
        <w:spacing w:after="0" w:line="101"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The first of the OECD’s “pillars” establishes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second pillar establishes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 In an initial transition period from 2024 to 2026, enterprises are exempt from this additional tax if certain “Safe Harbour” tests are met.</w:t>
      </w:r>
    </w:p>
    <w:p>
      <w:pPr>
        <w:spacing w:after="0" w:line="99" w:lineRule="exact"/>
        <w:rPr>
          <w:sz w:val="20"/>
          <w:szCs w:val="20"/>
          <w:color w:val="auto"/>
        </w:rPr>
      </w:pPr>
    </w:p>
    <w:p>
      <w:pPr>
        <w:ind w:left="1160" w:right="1439" w:firstLine="258"/>
        <w:spacing w:after="0" w:line="268" w:lineRule="auto"/>
        <w:rPr>
          <w:sz w:val="20"/>
          <w:szCs w:val="20"/>
          <w:color w:val="auto"/>
        </w:rPr>
      </w:pPr>
      <w:r>
        <w:rPr>
          <w:rFonts w:ascii="Times New Roman" w:cs="Times New Roman" w:eastAsia="Times New Roman" w:hAnsi="Times New Roman"/>
          <w:sz w:val="14"/>
          <w:szCs w:val="14"/>
          <w:color w:val="auto"/>
        </w:rPr>
        <w:t>Depending on how the jurisdictions in which Innventure and the Innventure Companies operate choose to implement the OECD’s approach in their tax treaties and domestic tax laws, and future evolution of the OECD’s “Two Pillar” approach, Innventure and the Innventure Companies could be adversely affected due to its income being taxed at higher effective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ectPr>
          <w:pgSz w:w="11900" w:h="16838" w:orient="portrait"/>
          <w:cols w:equalWidth="0" w:num="1">
            <w:col w:w="9019"/>
          </w:cols>
          <w:pgMar w:left="1440" w:top="136" w:right="1440" w:bottom="0" w:gutter="0" w:footer="0" w:header="0"/>
          <w:type w:val="continuous"/>
        </w:sectPr>
      </w:pPr>
    </w:p>
    <w:bookmarkStart w:id="25" w:name="page26"/>
    <w:bookmarkEnd w:id="25"/>
    <w:p>
      <w:pPr>
        <w:jc w:val="both"/>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-433070</wp:posOffset>
            </wp:positionV>
            <wp:extent cx="716026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7" w:lineRule="exact"/>
        <w:rPr>
          <w:sz w:val="20"/>
          <w:szCs w:val="20"/>
          <w:color w:val="auto"/>
        </w:rPr>
      </w:pPr>
    </w:p>
    <w:p>
      <w:pPr>
        <w:ind w:left="1160" w:right="1299" w:firstLine="258"/>
        <w:spacing w:after="0" w:line="261" w:lineRule="auto"/>
        <w:rPr>
          <w:sz w:val="20"/>
          <w:szCs w:val="20"/>
          <w:color w:val="auto"/>
        </w:rPr>
      </w:pPr>
      <w:r>
        <w:rPr>
          <w:rFonts w:ascii="Times New Roman" w:cs="Times New Roman" w:eastAsia="Times New Roman" w:hAnsi="Times New Roman"/>
          <w:sz w:val="14"/>
          <w:szCs w:val="14"/>
          <w:color w:val="auto"/>
        </w:rPr>
        <w:t>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w:t>
      </w:r>
    </w:p>
    <w:p>
      <w:pPr>
        <w:spacing w:after="0" w:line="1" w:lineRule="exact"/>
        <w:rPr>
          <w:sz w:val="20"/>
          <w:szCs w:val="20"/>
          <w:color w:val="auto"/>
        </w:rPr>
      </w:pPr>
    </w:p>
    <w:p>
      <w:pPr>
        <w:jc w:val="both"/>
        <w:ind w:left="1160" w:right="1299" w:hanging="7"/>
        <w:spacing w:after="0" w:line="261" w:lineRule="auto"/>
        <w:tabs>
          <w:tab w:leader="none" w:pos="137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 minimis gross proceeds upon exercise of the 2025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02"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We could receive up to an aggregate of approximately $214.4 million in proceeds from the exercise of the Innventure Warrants, assuming the exercise in full of all of the Innventure Warrants for cash, but not from the resale of the shares of Common Stock issuable upon such exercise. There is no assurance that the holders of the Innventure Warrants will elect to exercise any or all of such Innventure Warrants. We believe the likelihood that Innventure Warrant holders will exercise the Innventure Warrants, and therefore the amount of cash proceeds that we would receive, is dependent upon the trading, are “out of the money,” meaning the exercise price is higher than the market price of our Common Stock. All of the Innventure Warrants outstanding as of April 15, 2025 are “out of the money.” Holders of such “out of the money” Innventure Warrants are not likely to exercise such Innventure Warrants. There can be no assurance that such Innventure Warrants will be in the money prior to their expiration dates, and therefore we may not receive any cash proceeds from the exercise of such Innventure Warrants.</w:t>
      </w:r>
    </w:p>
    <w:p>
      <w:pPr>
        <w:spacing w:after="0" w:line="103"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We will not receive any proceeds from the exercise of 2025 WTI Warrants or Innventure Warrants on a cashless basis.</w:t>
      </w:r>
    </w:p>
    <w:p>
      <w:pPr>
        <w:spacing w:after="0" w:line="81"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Unless we inform you otherwise in a prospectus supplement or free writing prospectus, we intend to use the net proceeds from the issuance of shares to Yorkville pursuant to the SEPA, from the exercise of the 2025 WTI Warrants and from the exercise of the Innventure Warrants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26"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97" w:lineRule="exact"/>
        <w:rPr>
          <w:sz w:val="20"/>
          <w:szCs w:val="20"/>
          <w:color w:val="auto"/>
        </w:rPr>
      </w:pPr>
    </w:p>
    <w:p>
      <w:pPr>
        <w:ind w:left="1160" w:right="1159" w:firstLine="258"/>
        <w:spacing w:after="0" w:line="261" w:lineRule="auto"/>
        <w:rPr>
          <w:sz w:val="20"/>
          <w:szCs w:val="20"/>
          <w:color w:val="auto"/>
        </w:rPr>
      </w:pPr>
      <w:r>
        <w:rPr>
          <w:rFonts w:ascii="Times New Roman" w:cs="Times New Roman" w:eastAsia="Times New Roman" w:hAnsi="Times New Roman"/>
          <w:sz w:val="14"/>
          <w:szCs w:val="14"/>
          <w:color w:val="auto"/>
        </w:rPr>
        <w:t>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2"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acquired or licensed from MNCs with the intent to maximize values for investors and other stakeholders through positive cash flow generated through holding long term positions in our Operating Companies. Refer to the section entitled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elsewhere in this prospectus for a detailed discussion of our business activities.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142"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Based on the allocation of resources and assessment of financial performance by our Chief Executive Officer (“CEO”) (who has been determined to be our Chief Operating Decision Maker), we have identified one reportable segment: Technology (the “Technology segment”).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ectPr>
          <w:pgSz w:w="11900" w:h="16838" w:orient="portrait"/>
          <w:cols w:equalWidth="0" w:num="1">
            <w:col w:w="9019"/>
          </w:cols>
          <w:pgMar w:left="1440" w:top="104" w:right="1440" w:bottom="0" w:gutter="0" w:footer="0" w:header="0"/>
        </w:sectPr>
      </w:pPr>
    </w:p>
    <w:bookmarkStart w:id="26" w:name="page27"/>
    <w:bookmarkEnd w:id="26"/>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01"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01"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Innventure’s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Financial Summary</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Highlights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year ended December 31, 2024 includes the following highlights:</w:t>
      </w:r>
    </w:p>
    <w:p>
      <w:pPr>
        <w:spacing w:after="0" w:line="140" w:lineRule="exact"/>
        <w:rPr>
          <w:sz w:val="20"/>
          <w:szCs w:val="20"/>
          <w:color w:val="auto"/>
        </w:rPr>
      </w:pPr>
    </w:p>
    <w:p>
      <w:pPr>
        <w:ind w:left="1660" w:hanging="249"/>
        <w:spacing w:after="0"/>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Technology segment began generating revenue related to its cooling systems for data centers.</w:t>
      </w:r>
    </w:p>
    <w:p>
      <w:pPr>
        <w:spacing w:after="0" w:line="139" w:lineRule="exact"/>
        <w:rPr>
          <w:rFonts w:ascii="Times New Roman" w:cs="Times New Roman" w:eastAsia="Times New Roman" w:hAnsi="Times New Roman"/>
          <w:sz w:val="14"/>
          <w:szCs w:val="14"/>
          <w:color w:val="auto"/>
        </w:rPr>
      </w:pPr>
    </w:p>
    <w:p>
      <w:pPr>
        <w:ind w:left="1660" w:right="1179" w:hanging="249"/>
        <w:spacing w:after="0" w:line="265"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operational expenses of approximately $10,506 and $12,517, respectively, relate to increased costs associated with public readiness activities connected with the Business Combination and the subsequent reporting requirements related to being a public entity for the Successor (as defined below) period from October 2, 2024 through December 31, 2024 and the Predecessor (as defined below) period from January 1, 2024 through October 1, 2024.</w:t>
      </w:r>
    </w:p>
    <w:p>
      <w:pPr>
        <w:spacing w:after="0" w:line="99" w:lineRule="exact"/>
        <w:rPr>
          <w:rFonts w:ascii="Times New Roman" w:cs="Times New Roman" w:eastAsia="Times New Roman" w:hAnsi="Times New Roman"/>
          <w:sz w:val="14"/>
          <w:szCs w:val="14"/>
          <w:color w:val="auto"/>
        </w:rPr>
      </w:pPr>
    </w:p>
    <w:p>
      <w:pPr>
        <w:ind w:left="1660" w:right="1239" w:hanging="249"/>
        <w:spacing w:after="0" w:line="263"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inflows from equity raises were approximately $19,552 and $26,981, respectively, for the Successor period from October 2, 2024 through December 31, 2024 and the Predecessor period from January 1, 2024 through October 1, 2024. These cash inflows from equity raises are compared to net cash outflows related to operating, investing and remaining financing activity of $8,478 and $13,345, respectively, for the Successor period from October 2, 2024 through December 31, 2024 and the Predecessor period from January 1, 2024 through October 1, 2024.</w:t>
      </w:r>
    </w:p>
    <w:p>
      <w:pPr>
        <w:spacing w:after="0" w:line="101"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Business Combination, $187,500 of intangible assets and $667,936 of goodwill were recognized. Overall, $147,515 of net identifiable assets were acquired.</w:t>
      </w:r>
    </w:p>
    <w:p>
      <w:pPr>
        <w:spacing w:after="0" w:line="79" w:lineRule="exact"/>
        <w:rPr>
          <w:sz w:val="20"/>
          <w:szCs w:val="20"/>
          <w:color w:val="auto"/>
        </w:rPr>
      </w:pPr>
    </w:p>
    <w:p>
      <w:pPr>
        <w:ind w:left="1160" w:right="1379"/>
        <w:spacing w:after="0" w:line="295" w:lineRule="auto"/>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2024 and 2023 (in thousands, except as otherwise noted)</w:t>
      </w:r>
    </w:p>
    <w:p>
      <w:pPr>
        <w:spacing w:after="0" w:line="79" w:lineRule="exact"/>
        <w:rPr>
          <w:sz w:val="20"/>
          <w:szCs w:val="20"/>
          <w:color w:val="auto"/>
        </w:rPr>
      </w:pPr>
    </w:p>
    <w:p>
      <w:pPr>
        <w:ind w:left="1160" w:right="1399" w:firstLine="258"/>
        <w:spacing w:after="0" w:line="265" w:lineRule="auto"/>
        <w:rPr>
          <w:sz w:val="20"/>
          <w:szCs w:val="20"/>
          <w:color w:val="auto"/>
        </w:rPr>
      </w:pPr>
      <w:r>
        <w:rPr>
          <w:rFonts w:ascii="Times New Roman" w:cs="Times New Roman" w:eastAsia="Times New Roman" w:hAnsi="Times New Roman"/>
          <w:sz w:val="14"/>
          <w:szCs w:val="14"/>
          <w:color w:val="auto"/>
        </w:rPr>
        <w:t>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w:t>
      </w:r>
    </w:p>
    <w:p>
      <w:pPr>
        <w:spacing w:after="0" w:line="99"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w:t>
      </w:r>
    </w:p>
    <w:p>
      <w:pPr>
        <w:sectPr>
          <w:pgSz w:w="11900" w:h="16838" w:orient="portrait"/>
          <w:cols w:equalWidth="0" w:num="1">
            <w:col w:w="9019"/>
          </w:cols>
          <w:pgMar w:left="1440" w:top="200" w:right="1440" w:bottom="3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00" w:right="1440" w:bottom="341" w:gutter="0" w:footer="0" w:header="0"/>
          <w:type w:val="continuous"/>
        </w:sectPr>
      </w:pPr>
    </w:p>
    <w:bookmarkStart w:id="27" w:name="page28"/>
    <w:bookmarkEnd w:id="27"/>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15"/>
        </w:trPr>
        <w:tc>
          <w:tcPr>
            <w:tcW w:w="21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20" w:type="dxa"/>
            <w:vAlign w:val="bottom"/>
            <w:vMerge w:val="restart"/>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Predecessor</w:t>
            </w:r>
          </w:p>
        </w:tc>
        <w:tc>
          <w:tcPr>
            <w:tcW w:w="60" w:type="dxa"/>
            <w:vAlign w:val="bottom"/>
            <w:vMerge w:val="restart"/>
          </w:tcPr>
          <w:p>
            <w:pPr>
              <w:spacing w:after="0"/>
              <w:rPr>
                <w:sz w:val="10"/>
                <w:szCs w:val="10"/>
                <w:color w:val="auto"/>
              </w:rPr>
            </w:pPr>
          </w:p>
        </w:tc>
        <w:tc>
          <w:tcPr>
            <w:tcW w:w="760" w:type="dxa"/>
            <w:vAlign w:val="bottom"/>
            <w:gridSpan w:val="3"/>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S/P Combined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Predecessor</w:t>
            </w:r>
          </w:p>
        </w:tc>
        <w:tc>
          <w:tcPr>
            <w:tcW w:w="40" w:type="dxa"/>
            <w:vAlign w:val="bottom"/>
            <w:vMerge w:val="restart"/>
          </w:tcPr>
          <w:p>
            <w:pPr>
              <w:spacing w:after="0"/>
              <w:rPr>
                <w:sz w:val="10"/>
                <w:szCs w:val="10"/>
                <w:color w:val="auto"/>
              </w:rPr>
            </w:pPr>
          </w:p>
        </w:tc>
        <w:tc>
          <w:tcPr>
            <w:tcW w:w="9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40" w:type="dxa"/>
            <w:vAlign w:val="bottom"/>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980" w:type="dxa"/>
            <w:vAlign w:val="bottom"/>
            <w:tcBorders>
              <w:bottom w:val="single" w:sz="8" w:color="auto"/>
            </w:tcBorders>
            <w:gridSpan w:val="3"/>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780" w:type="dxa"/>
            <w:vAlign w:val="bottom"/>
            <w:tcBorders>
              <w:right w:val="single" w:sz="8" w:color="auto"/>
            </w:tcBorders>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rPr>
              <w:t>Period from</w:t>
            </w:r>
          </w:p>
        </w:tc>
        <w:tc>
          <w:tcPr>
            <w:tcW w:w="20" w:type="dxa"/>
            <w:vAlign w:val="bottom"/>
          </w:tcPr>
          <w:p>
            <w:pPr>
              <w:spacing w:after="0"/>
              <w:rPr>
                <w:sz w:val="8"/>
                <w:szCs w:val="8"/>
                <w:color w:val="auto"/>
              </w:rPr>
            </w:pPr>
          </w:p>
        </w:tc>
        <w:tc>
          <w:tcPr>
            <w:tcW w:w="780" w:type="dxa"/>
            <w:vAlign w:val="bottom"/>
            <w:gridSpan w:val="2"/>
          </w:tcPr>
          <w:p>
            <w:pPr>
              <w:jc w:val="center"/>
              <w:ind w:right="60"/>
              <w:spacing w:after="0" w:line="103" w:lineRule="exact"/>
              <w:rPr>
                <w:sz w:val="20"/>
                <w:szCs w:val="20"/>
                <w:color w:val="auto"/>
              </w:rPr>
            </w:pPr>
            <w:r>
              <w:rPr>
                <w:rFonts w:ascii="Times New Roman" w:cs="Times New Roman" w:eastAsia="Times New Roman" w:hAnsi="Times New Roman"/>
                <w:sz w:val="10"/>
                <w:szCs w:val="10"/>
                <w:b w:val="1"/>
                <w:bCs w:val="1"/>
                <w:color w:val="auto"/>
              </w:rPr>
              <w:t>Period from</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160" w:type="dxa"/>
            <w:vAlign w:val="bottom"/>
          </w:tcPr>
          <w:p>
            <w:pPr>
              <w:spacing w:after="0"/>
              <w:rPr>
                <w:sz w:val="8"/>
                <w:szCs w:val="8"/>
                <w:color w:val="auto"/>
              </w:rPr>
            </w:pPr>
          </w:p>
        </w:tc>
        <w:tc>
          <w:tcPr>
            <w:tcW w:w="780" w:type="dxa"/>
            <w:vAlign w:val="bottom"/>
            <w:tcBorders>
              <w:right w:val="single" w:sz="8" w:color="auto"/>
            </w:tcBorders>
          </w:tcPr>
          <w:p>
            <w:pPr>
              <w:jc w:val="center"/>
              <w:ind w:right="10"/>
              <w:spacing w:after="0" w:line="97" w:lineRule="exact"/>
              <w:rPr>
                <w:sz w:val="20"/>
                <w:szCs w:val="20"/>
                <w:color w:val="auto"/>
              </w:rPr>
            </w:pPr>
            <w:r>
              <w:rPr>
                <w:rFonts w:ascii="Times New Roman" w:cs="Times New Roman" w:eastAsia="Times New Roman" w:hAnsi="Times New Roman"/>
                <w:sz w:val="10"/>
                <w:szCs w:val="10"/>
                <w:b w:val="1"/>
                <w:bCs w:val="1"/>
                <w:color w:val="auto"/>
                <w:w w:val="97"/>
              </w:rPr>
              <w:t>October 2,</w:t>
            </w:r>
          </w:p>
        </w:tc>
        <w:tc>
          <w:tcPr>
            <w:tcW w:w="20" w:type="dxa"/>
            <w:vAlign w:val="bottom"/>
          </w:tcPr>
          <w:p>
            <w:pPr>
              <w:spacing w:after="0"/>
              <w:rPr>
                <w:sz w:val="8"/>
                <w:szCs w:val="8"/>
                <w:color w:val="auto"/>
              </w:rPr>
            </w:pPr>
          </w:p>
        </w:tc>
        <w:tc>
          <w:tcPr>
            <w:tcW w:w="780" w:type="dxa"/>
            <w:vAlign w:val="bottom"/>
            <w:gridSpan w:val="2"/>
          </w:tcPr>
          <w:p>
            <w:pPr>
              <w:jc w:val="center"/>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100" w:type="dxa"/>
            <w:vAlign w:val="bottom"/>
          </w:tcPr>
          <w:p>
            <w:pPr>
              <w:spacing w:after="0"/>
              <w:rPr>
                <w:sz w:val="8"/>
                <w:szCs w:val="8"/>
                <w:color w:val="auto"/>
              </w:rPr>
            </w:pP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780" w:type="dxa"/>
            <w:vAlign w:val="bottom"/>
            <w:tcBorders>
              <w:right w:val="single" w:sz="8" w:color="auto"/>
            </w:tcBorders>
          </w:tcPr>
          <w:p>
            <w:pPr>
              <w:jc w:val="center"/>
              <w:ind w:right="10"/>
              <w:spacing w:after="0" w:line="103" w:lineRule="exact"/>
              <w:rPr>
                <w:sz w:val="20"/>
                <w:szCs w:val="20"/>
                <w:color w:val="auto"/>
              </w:rPr>
            </w:pPr>
            <w:r>
              <w:rPr>
                <w:rFonts w:ascii="Times New Roman" w:cs="Times New Roman" w:eastAsia="Times New Roman" w:hAnsi="Times New Roman"/>
                <w:sz w:val="10"/>
                <w:szCs w:val="10"/>
                <w:b w:val="1"/>
                <w:bCs w:val="1"/>
                <w:color w:val="auto"/>
                <w:w w:val="98"/>
              </w:rPr>
              <w:t>2024 through</w:t>
            </w:r>
          </w:p>
        </w:tc>
        <w:tc>
          <w:tcPr>
            <w:tcW w:w="20" w:type="dxa"/>
            <w:vAlign w:val="bottom"/>
          </w:tcPr>
          <w:p>
            <w:pPr>
              <w:spacing w:after="0"/>
              <w:rPr>
                <w:sz w:val="8"/>
                <w:szCs w:val="8"/>
                <w:color w:val="auto"/>
              </w:rPr>
            </w:pPr>
          </w:p>
        </w:tc>
        <w:tc>
          <w:tcPr>
            <w:tcW w:w="780" w:type="dxa"/>
            <w:vAlign w:val="bottom"/>
            <w:gridSpan w:val="2"/>
          </w:tcPr>
          <w:p>
            <w:pPr>
              <w:jc w:val="center"/>
              <w:ind w:right="40"/>
              <w:spacing w:after="0" w:line="103" w:lineRule="exact"/>
              <w:rPr>
                <w:sz w:val="20"/>
                <w:szCs w:val="20"/>
                <w:color w:val="auto"/>
              </w:rPr>
            </w:pPr>
            <w:r>
              <w:rPr>
                <w:rFonts w:ascii="Times New Roman" w:cs="Times New Roman" w:eastAsia="Times New Roman" w:hAnsi="Times New Roman"/>
                <w:sz w:val="10"/>
                <w:szCs w:val="10"/>
                <w:b w:val="1"/>
                <w:bCs w:val="1"/>
                <w:color w:val="auto"/>
              </w:rPr>
              <w:t>2024 through</w:t>
            </w: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60" w:type="dxa"/>
            <w:vAlign w:val="bottom"/>
          </w:tcPr>
          <w:p>
            <w:pPr>
              <w:spacing w:after="0"/>
              <w:rPr>
                <w:sz w:val="8"/>
                <w:szCs w:val="8"/>
                <w:color w:val="auto"/>
              </w:rPr>
            </w:pPr>
          </w:p>
        </w:tc>
        <w:tc>
          <w:tcPr>
            <w:tcW w:w="780" w:type="dxa"/>
            <w:vAlign w:val="bottom"/>
            <w:tcBorders>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20" w:type="dxa"/>
            <w:vAlign w:val="bottom"/>
          </w:tcPr>
          <w:p>
            <w:pPr>
              <w:spacing w:after="0"/>
              <w:rPr>
                <w:sz w:val="8"/>
                <w:szCs w:val="8"/>
                <w:color w:val="auto"/>
              </w:rPr>
            </w:pPr>
          </w:p>
        </w:tc>
        <w:tc>
          <w:tcPr>
            <w:tcW w:w="780" w:type="dxa"/>
            <w:vAlign w:val="bottom"/>
            <w:gridSpan w:val="2"/>
          </w:tcPr>
          <w:p>
            <w:pPr>
              <w:jc w:val="center"/>
              <w:ind w:right="40"/>
              <w:spacing w:after="0" w:line="102" w:lineRule="exact"/>
              <w:rPr>
                <w:sz w:val="20"/>
                <w:szCs w:val="20"/>
                <w:color w:val="auto"/>
              </w:rPr>
            </w:pPr>
            <w:r>
              <w:rPr>
                <w:rFonts w:ascii="Times New Roman" w:cs="Times New Roman" w:eastAsia="Times New Roman" w:hAnsi="Times New Roman"/>
                <w:sz w:val="10"/>
                <w:szCs w:val="10"/>
                <w:b w:val="1"/>
                <w:bCs w:val="1"/>
                <w:color w:val="auto"/>
              </w:rPr>
              <w:t>October 1,</w:t>
            </w:r>
          </w:p>
        </w:tc>
        <w:tc>
          <w:tcPr>
            <w:tcW w:w="760" w:type="dxa"/>
            <w:vAlign w:val="bottom"/>
            <w:gridSpan w:val="3"/>
          </w:tcPr>
          <w:p>
            <w:pPr>
              <w:jc w:val="center"/>
              <w:ind w:right="60"/>
              <w:spacing w:after="0" w:line="102"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760" w:type="dxa"/>
            <w:vAlign w:val="bottom"/>
            <w:gridSpan w:val="2"/>
          </w:tcPr>
          <w:p>
            <w:pPr>
              <w:jc w:val="center"/>
              <w:ind w:right="60"/>
              <w:spacing w:after="0" w:line="102"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1340" w:type="dxa"/>
            <w:vAlign w:val="bottom"/>
            <w:gridSpan w:val="4"/>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2024 vs 2023 Changes</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78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11"/>
                <w:szCs w:val="11"/>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11"/>
                <w:szCs w:val="11"/>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Pr>
          <w:p>
            <w:pPr>
              <w:spacing w:after="0"/>
              <w:rPr>
                <w:sz w:val="11"/>
                <w:szCs w:val="11"/>
                <w:color w:val="auto"/>
              </w:rPr>
            </w:pPr>
          </w:p>
        </w:tc>
        <w:tc>
          <w:tcPr>
            <w:tcW w:w="1340" w:type="dxa"/>
            <w:vAlign w:val="bottom"/>
            <w:tcBorders>
              <w:bottom w:val="single" w:sz="8" w:color="auto"/>
            </w:tcBorders>
            <w:gridSpan w:val="4"/>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Revenue</w:t>
            </w:r>
          </w:p>
        </w:tc>
        <w:tc>
          <w:tcPr>
            <w:tcW w:w="78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0"/>
                <w:szCs w:val="10"/>
                <w:color w:val="auto"/>
              </w:rPr>
              <w:t>456</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1,220</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1,117</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Operating Expenses</w:t>
            </w:r>
          </w:p>
        </w:tc>
        <w:tc>
          <w:tcPr>
            <w:tcW w:w="7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Cost of sales</w:t>
            </w:r>
            <w:r>
              <w:rPr>
                <w:rFonts w:ascii="Times New Roman" w:cs="Times New Roman" w:eastAsia="Times New Roman" w:hAnsi="Times New Roman"/>
                <w:sz w:val="10"/>
                <w:szCs w:val="10"/>
                <w:color w:val="B4B4B4"/>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color w:val="auto"/>
              </w:rPr>
              <w:t>3,752</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4,529</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4,529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nil</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General and administrative </w:t>
            </w:r>
            <w:r>
              <w:rPr>
                <w:rFonts w:ascii="Times New Roman" w:cs="Times New Roman" w:eastAsia="Times New Roman" w:hAnsi="Times New Roman"/>
                <w:sz w:val="10"/>
                <w:szCs w:val="10"/>
                <w:color w:val="B4B4B4"/>
              </w:rPr>
              <w:t>.................................</w:t>
            </w:r>
          </w:p>
        </w:tc>
        <w:tc>
          <w:tcPr>
            <w:tcW w:w="78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0"/>
                <w:szCs w:val="10"/>
                <w:color w:val="auto"/>
              </w:rPr>
              <w:t>29,652</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56,260</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17,589</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38,671</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5"/>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Sales and marketing</w:t>
            </w:r>
            <w:r>
              <w:rPr>
                <w:rFonts w:ascii="Times New Roman" w:cs="Times New Roman" w:eastAsia="Times New Roman" w:hAnsi="Times New Roman"/>
                <w:sz w:val="10"/>
                <w:szCs w:val="10"/>
                <w:color w:val="B4B4B4"/>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color w:val="auto"/>
              </w:rPr>
              <w:t>2,009</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6,187</w:t>
            </w:r>
          </w:p>
        </w:tc>
        <w:tc>
          <w:tcPr>
            <w:tcW w:w="4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3,205</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1"/>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Research and development </w:t>
            </w:r>
            <w:r>
              <w:rPr>
                <w:rFonts w:ascii="Times New Roman" w:cs="Times New Roman" w:eastAsia="Times New Roman" w:hAnsi="Times New Roman"/>
                <w:sz w:val="10"/>
                <w:szCs w:val="10"/>
                <w:color w:val="B4B4B4"/>
              </w:rPr>
              <w:t>.................................</w:t>
            </w:r>
          </w:p>
        </w:tc>
        <w:tc>
          <w:tcPr>
            <w:tcW w:w="7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0"/>
                <w:szCs w:val="10"/>
                <w:color w:val="auto"/>
              </w:rPr>
              <w:t>5,340</w:t>
            </w:r>
          </w:p>
        </w:tc>
        <w:tc>
          <w:tcPr>
            <w:tcW w:w="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5,978</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11,318</w:t>
            </w:r>
          </w:p>
        </w:tc>
        <w:tc>
          <w:tcPr>
            <w:tcW w:w="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4,001</w:t>
            </w:r>
          </w:p>
        </w:tc>
        <w:tc>
          <w:tcPr>
            <w:tcW w:w="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7,317</w:t>
            </w: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2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b w:val="1"/>
                <w:bCs w:val="1"/>
                <w:color w:val="auto"/>
              </w:rPr>
              <w:t>40,753</w:t>
            </w:r>
          </w:p>
        </w:tc>
        <w:tc>
          <w:tcPr>
            <w:tcW w:w="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37,541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78,294</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24,795</w:t>
            </w:r>
          </w:p>
        </w:tc>
        <w:tc>
          <w:tcPr>
            <w:tcW w:w="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53,499</w:t>
            </w: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215.8 %</w:t>
            </w:r>
          </w:p>
        </w:tc>
        <w:tc>
          <w:tcPr>
            <w:tcW w:w="0" w:type="dxa"/>
            <w:vAlign w:val="bottom"/>
          </w:tcPr>
          <w:p>
            <w:pPr>
              <w:spacing w:after="0"/>
              <w:rPr>
                <w:sz w:val="1"/>
                <w:szCs w:val="1"/>
                <w:color w:val="auto"/>
              </w:rPr>
            </w:pPr>
          </w:p>
        </w:tc>
      </w:tr>
      <w:tr>
        <w:trPr>
          <w:trHeight w:val="169"/>
        </w:trPr>
        <w:tc>
          <w:tcPr>
            <w:tcW w:w="2160" w:type="dxa"/>
            <w:vAlign w:val="bottom"/>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Loss from Operations</w:t>
            </w:r>
          </w:p>
        </w:tc>
        <w:tc>
          <w:tcPr>
            <w:tcW w:w="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(40,297)</w:t>
            </w:r>
          </w:p>
        </w:tc>
        <w:tc>
          <w:tcPr>
            <w:tcW w:w="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(36,777)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(77,074)</w:t>
            </w:r>
          </w:p>
        </w:tc>
        <w:tc>
          <w:tcPr>
            <w:tcW w:w="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(23,678)</w:t>
            </w:r>
          </w:p>
        </w:tc>
        <w:tc>
          <w:tcPr>
            <w:tcW w:w="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(53,396)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225.5 %</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Non-operating (Expense) and Income</w:t>
            </w:r>
          </w:p>
        </w:tc>
        <w:tc>
          <w:tcPr>
            <w:tcW w:w="7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Interest expense, net </w:t>
            </w:r>
            <w:r>
              <w:rPr>
                <w:rFonts w:ascii="Times New Roman" w:cs="Times New Roman" w:eastAsia="Times New Roman" w:hAnsi="Times New Roman"/>
                <w:sz w:val="10"/>
                <w:szCs w:val="10"/>
                <w:color w:val="B4B4B4"/>
              </w:rPr>
              <w:t>...........................................</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(1,132)</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(2,432)</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(1,224)</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(1,208)</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5"/>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Net gain (loss) from investments</w:t>
            </w:r>
            <w:r>
              <w:rPr>
                <w:rFonts w:ascii="Times New Roman" w:cs="Times New Roman" w:eastAsia="Times New Roman" w:hAnsi="Times New Roman"/>
                <w:sz w:val="10"/>
                <w:szCs w:val="10"/>
                <w:color w:val="B4B4B4"/>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11,547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11,547</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(6,448)</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279.1</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Net (loss) gain on investments - due to related</w:t>
            </w:r>
          </w:p>
        </w:tc>
        <w:tc>
          <w:tcPr>
            <w:tcW w:w="78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232</w:t>
            </w:r>
          </w:p>
        </w:tc>
        <w:tc>
          <w:tcPr>
            <w:tcW w:w="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(700)</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(301.7) %</w:t>
            </w:r>
          </w:p>
        </w:tc>
        <w:tc>
          <w:tcPr>
            <w:tcW w:w="0" w:type="dxa"/>
            <w:vAlign w:val="bottom"/>
          </w:tcPr>
          <w:p>
            <w:pPr>
              <w:spacing w:after="0"/>
              <w:rPr>
                <w:sz w:val="1"/>
                <w:szCs w:val="1"/>
                <w:color w:val="auto"/>
              </w:rPr>
            </w:pPr>
          </w:p>
        </w:tc>
      </w:tr>
      <w:tr>
        <w:trPr>
          <w:trHeight w:val="140"/>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parties</w:t>
            </w:r>
            <w:r>
              <w:rPr>
                <w:rFonts w:ascii="Times New Roman" w:cs="Times New Roman" w:eastAsia="Times New Roman" w:hAnsi="Times New Roman"/>
                <w:sz w:val="10"/>
                <w:szCs w:val="10"/>
                <w:color w:val="B4B4B4"/>
              </w:rPr>
              <w:t>..................................................................</w:t>
            </w:r>
          </w:p>
        </w:tc>
        <w:tc>
          <w:tcPr>
            <w:tcW w:w="780" w:type="dxa"/>
            <w:vAlign w:val="bottom"/>
            <w:tcBorders>
              <w:right w:val="single" w:sz="8" w:color="auto"/>
            </w:tcBorders>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Change in fair value of financial liabilities</w:t>
            </w:r>
            <w:r>
              <w:rPr>
                <w:rFonts w:ascii="Times New Roman" w:cs="Times New Roman" w:eastAsia="Times New Roman" w:hAnsi="Times New Roman"/>
                <w:sz w:val="10"/>
                <w:szCs w:val="10"/>
                <w:color w:val="B4B4B4"/>
              </w:rPr>
              <w:t>.........</w:t>
            </w:r>
          </w:p>
        </w:tc>
        <w:tc>
          <w:tcPr>
            <w:tcW w:w="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(20,946)</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(21,424)</w:t>
            </w:r>
          </w:p>
        </w:tc>
        <w:tc>
          <w:tcPr>
            <w:tcW w:w="40" w:type="dxa"/>
            <w:vAlign w:val="bottom"/>
          </w:tcPr>
          <w:p>
            <w:pPr>
              <w:spacing w:after="0"/>
              <w:rPr>
                <w:sz w:val="13"/>
                <w:szCs w:val="1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766</w:t>
            </w:r>
          </w:p>
        </w:tc>
        <w:tc>
          <w:tcPr>
            <w:tcW w:w="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(22,190)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6"/>
              </w:rPr>
              <w:t>(2,896.9) %</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Equity method investment (loss) income </w:t>
            </w:r>
            <w:r>
              <w:rPr>
                <w:rFonts w:ascii="Times New Roman" w:cs="Times New Roman" w:eastAsia="Times New Roman" w:hAnsi="Times New Roman"/>
                <w:sz w:val="10"/>
                <w:szCs w:val="10"/>
                <w:color w:val="B4B4B4"/>
              </w:rPr>
              <w:t>...........</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(902)</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(632)</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(98.6) %</w:t>
            </w:r>
          </w:p>
        </w:tc>
        <w:tc>
          <w:tcPr>
            <w:tcW w:w="0" w:type="dxa"/>
            <w:vAlign w:val="bottom"/>
          </w:tcPr>
          <w:p>
            <w:pPr>
              <w:spacing w:after="0"/>
              <w:rPr>
                <w:sz w:val="1"/>
                <w:szCs w:val="1"/>
                <w:color w:val="auto"/>
              </w:rPr>
            </w:pPr>
          </w:p>
        </w:tc>
      </w:tr>
      <w:tr>
        <w:trPr>
          <w:trHeight w:val="155"/>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 xml:space="preserve">Loss on conversion of promissory notes </w:t>
            </w:r>
            <w:r>
              <w:rPr>
                <w:rFonts w:ascii="Times New Roman" w:cs="Times New Roman" w:eastAsia="Times New Roman" w:hAnsi="Times New Roman"/>
                <w:sz w:val="10"/>
                <w:szCs w:val="10"/>
                <w:color w:val="B4B4B4"/>
              </w:rPr>
              <w:t>............</w:t>
            </w:r>
          </w:p>
        </w:tc>
        <w:tc>
          <w:tcPr>
            <w:tcW w:w="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nil</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Write-off of loan commitment fee asset </w:t>
            </w:r>
            <w:r>
              <w:rPr>
                <w:rFonts w:ascii="Times New Roman" w:cs="Times New Roman" w:eastAsia="Times New Roman" w:hAnsi="Times New Roman"/>
                <w:sz w:val="10"/>
                <w:szCs w:val="10"/>
                <w:color w:val="B4B4B4"/>
              </w:rPr>
              <w:t>.............</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(10,041)</w:t>
            </w:r>
          </w:p>
        </w:tc>
        <w:tc>
          <w:tcPr>
            <w:tcW w:w="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(10,041)</w:t>
            </w: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(10,041)</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nil</w:t>
            </w:r>
          </w:p>
        </w:tc>
        <w:tc>
          <w:tcPr>
            <w:tcW w:w="0" w:type="dxa"/>
            <w:vAlign w:val="bottom"/>
          </w:tcPr>
          <w:p>
            <w:pPr>
              <w:spacing w:after="0"/>
              <w:rPr>
                <w:sz w:val="1"/>
                <w:szCs w:val="1"/>
                <w:color w:val="auto"/>
              </w:rPr>
            </w:pPr>
          </w:p>
        </w:tc>
      </w:tr>
      <w:tr>
        <w:trPr>
          <w:trHeight w:val="155"/>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 xml:space="preserve">Miscellaneous other expense </w:t>
            </w:r>
            <w:r>
              <w:rPr>
                <w:rFonts w:ascii="Times New Roman" w:cs="Times New Roman" w:eastAsia="Times New Roman" w:hAnsi="Times New Roman"/>
                <w:sz w:val="10"/>
                <w:szCs w:val="10"/>
                <w:color w:val="B4B4B4"/>
              </w:rPr>
              <w:t>..............................</w:t>
            </w:r>
          </w:p>
        </w:tc>
        <w:tc>
          <w:tcPr>
            <w:tcW w:w="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color w:val="auto"/>
              </w:rPr>
              <w:t>(57)</w:t>
            </w: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Total Non-operating (Expense) Income</w:t>
            </w:r>
          </w:p>
        </w:tc>
        <w:tc>
          <w:tcPr>
            <w:tcW w:w="7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(33,078)</w:t>
            </w:r>
          </w:p>
        </w:tc>
        <w:tc>
          <w:tcPr>
            <w:tcW w:w="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9,011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(24,067)</w:t>
            </w:r>
          </w:p>
        </w:tc>
        <w:tc>
          <w:tcPr>
            <w:tcW w:w="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(7,306)</w:t>
            </w:r>
          </w:p>
        </w:tc>
        <w:tc>
          <w:tcPr>
            <w:tcW w:w="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(16,761)</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229.4 %</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(3,282)</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(70,093)</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(28,198)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(98,291)</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(30,984)</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(67,307)</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217.2 %</w:t>
            </w:r>
          </w:p>
        </w:tc>
        <w:tc>
          <w:tcPr>
            <w:tcW w:w="0" w:type="dxa"/>
            <w:vAlign w:val="bottom"/>
          </w:tcPr>
          <w:p>
            <w:pPr>
              <w:spacing w:after="0"/>
              <w:rPr>
                <w:sz w:val="1"/>
                <w:szCs w:val="1"/>
                <w:color w:val="auto"/>
              </w:rPr>
            </w:pPr>
          </w:p>
        </w:tc>
      </w:tr>
      <w:tr>
        <w:trPr>
          <w:trHeight w:val="155"/>
        </w:trPr>
        <w:tc>
          <w:tcPr>
            <w:tcW w:w="2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Less: net loss attributable to</w:t>
            </w:r>
          </w:p>
        </w:tc>
        <w:tc>
          <w:tcPr>
            <w:tcW w:w="7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Non-redeemable non-controlling interest </w:t>
            </w:r>
            <w:r>
              <w:rPr>
                <w:rFonts w:ascii="Times New Roman" w:cs="Times New Roman" w:eastAsia="Times New Roman" w:hAnsi="Times New Roman"/>
                <w:sz w:val="10"/>
                <w:szCs w:val="10"/>
                <w:color w:val="B4B4B4"/>
              </w:rPr>
              <w:t>...........</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(8,339)</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(20,101)</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(19,962)</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14,361.2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160" w:type="dxa"/>
            <w:vAlign w:val="bottom"/>
            <w:shd w:val="clear" w:color="auto" w:fill="CCEEFF"/>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Net Loss Attributable to Innventure, Inc.</w:t>
            </w:r>
          </w:p>
        </w:tc>
        <w:tc>
          <w:tcPr>
            <w:tcW w:w="7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(61,754)</w:t>
            </w:r>
          </w:p>
        </w:tc>
        <w:tc>
          <w:tcPr>
            <w:tcW w:w="2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(16,436)</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(78,190)</w:t>
            </w:r>
          </w:p>
        </w:tc>
        <w:tc>
          <w:tcPr>
            <w:tcW w:w="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(30,845)</w:t>
            </w:r>
          </w:p>
        </w:tc>
        <w:tc>
          <w:tcPr>
            <w:tcW w:w="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(47,345)</w:t>
            </w: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153.5 %</w:t>
            </w:r>
          </w:p>
        </w:tc>
        <w:tc>
          <w:tcPr>
            <w:tcW w:w="0" w:type="dxa"/>
            <w:vAlign w:val="bottom"/>
          </w:tcPr>
          <w:p>
            <w:pPr>
              <w:spacing w:after="0"/>
              <w:rPr>
                <w:sz w:val="1"/>
                <w:szCs w:val="1"/>
                <w:color w:val="auto"/>
              </w:rPr>
            </w:pPr>
          </w:p>
        </w:tc>
      </w:tr>
      <w:tr>
        <w:trPr>
          <w:trHeight w:val="138"/>
        </w:trPr>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Stockholders / Innventure LLC Unitholders</w:t>
            </w:r>
          </w:p>
        </w:tc>
        <w:tc>
          <w:tcPr>
            <w:tcW w:w="780" w:type="dxa"/>
            <w:vAlign w:val="bottom"/>
            <w:tcBorders>
              <w:bottom w:val="single" w:sz="8" w:color="auto"/>
              <w:right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Other comprehensive income, net of taxes:</w:t>
            </w:r>
          </w:p>
        </w:tc>
        <w:tc>
          <w:tcPr>
            <w:tcW w:w="780" w:type="dxa"/>
            <w:vAlign w:val="bottom"/>
            <w:tcBorders>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1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Unrealized gain on available-for-sale debt</w:t>
            </w:r>
          </w:p>
        </w:tc>
        <w:tc>
          <w:tcPr>
            <w:tcW w:w="7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0"/>
                <w:szCs w:val="10"/>
                <w:color w:val="auto"/>
              </w:rPr>
              <w:t>909</w:t>
            </w:r>
          </w:p>
        </w:tc>
        <w:tc>
          <w:tcPr>
            <w:tcW w:w="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971</w:t>
            </w:r>
          </w:p>
        </w:tc>
        <w:tc>
          <w:tcPr>
            <w:tcW w:w="40" w:type="dxa"/>
            <w:vAlign w:val="bottom"/>
          </w:tcPr>
          <w:p>
            <w:pPr>
              <w:spacing w:after="0"/>
              <w:rPr>
                <w:sz w:val="10"/>
                <w:szCs w:val="10"/>
                <w:color w:val="auto"/>
              </w:rPr>
            </w:pP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971</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4"/>
              </w:rPr>
              <w:t>nil</w:t>
            </w:r>
          </w:p>
        </w:tc>
        <w:tc>
          <w:tcPr>
            <w:tcW w:w="0" w:type="dxa"/>
            <w:vAlign w:val="bottom"/>
          </w:tcPr>
          <w:p>
            <w:pPr>
              <w:spacing w:after="0"/>
              <w:rPr>
                <w:sz w:val="1"/>
                <w:szCs w:val="1"/>
                <w:color w:val="auto"/>
              </w:rPr>
            </w:pPr>
          </w:p>
        </w:tc>
      </w:tr>
      <w:tr>
        <w:trPr>
          <w:trHeight w:val="134"/>
        </w:trPr>
        <w:tc>
          <w:tcPr>
            <w:tcW w:w="2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0"/>
                <w:szCs w:val="10"/>
                <w:color w:val="auto"/>
              </w:rPr>
              <w:t>securities - related party</w:t>
            </w:r>
            <w:r>
              <w:rPr>
                <w:rFonts w:ascii="Times New Roman" w:cs="Times New Roman" w:eastAsia="Times New Roman" w:hAnsi="Times New Roman"/>
                <w:sz w:val="10"/>
                <w:szCs w:val="10"/>
                <w:color w:val="B4B4B4"/>
              </w:rPr>
              <w:t>......................................</w:t>
            </w:r>
          </w:p>
        </w:tc>
        <w:tc>
          <w:tcPr>
            <w:tcW w:w="78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Total other comprehensive loss, net of taxes</w:t>
            </w:r>
          </w:p>
        </w:tc>
        <w:tc>
          <w:tcPr>
            <w:tcW w:w="78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0"/>
                <w:szCs w:val="10"/>
                <w:b w:val="1"/>
                <w:bCs w:val="1"/>
                <w:color w:val="auto"/>
              </w:rPr>
              <w:t>909</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971</w:t>
            </w:r>
          </w:p>
        </w:tc>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971</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nil</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Total comprehensive loss, net of taxes</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(69,184)</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(28,136)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(97,320)</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(30,984)</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(66,336)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0" w:type="dxa"/>
            <w:vAlign w:val="bottom"/>
          </w:tcPr>
          <w:p>
            <w:pPr>
              <w:spacing w:after="0"/>
              <w:rPr>
                <w:sz w:val="1"/>
                <w:szCs w:val="1"/>
                <w:color w:val="auto"/>
              </w:rPr>
            </w:pPr>
          </w:p>
        </w:tc>
      </w:tr>
      <w:tr>
        <w:trPr>
          <w:trHeight w:val="155"/>
        </w:trPr>
        <w:tc>
          <w:tcPr>
            <w:tcW w:w="21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Less: comprehensive income attributable to</w:t>
            </w:r>
          </w:p>
        </w:tc>
        <w:tc>
          <w:tcPr>
            <w:tcW w:w="7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 xml:space="preserve">Non-redeemable non-controlling interest </w:t>
            </w:r>
            <w:r>
              <w:rPr>
                <w:rFonts w:ascii="Times New Roman" w:cs="Times New Roman" w:eastAsia="Times New Roman" w:hAnsi="Times New Roman"/>
                <w:sz w:val="10"/>
                <w:szCs w:val="10"/>
                <w:color w:val="B4B4B4"/>
              </w:rPr>
              <w:t>...........</w:t>
            </w:r>
          </w:p>
        </w:tc>
        <w:tc>
          <w:tcPr>
            <w:tcW w:w="78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(8,339)</w:t>
            </w: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(20,101)</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(19,962)</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14,361.2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3"/>
        </w:trPr>
        <w:tc>
          <w:tcPr>
            <w:tcW w:w="2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160" w:type="dxa"/>
            <w:vAlign w:val="bottom"/>
            <w:shd w:val="clear" w:color="auto" w:fill="CCEEFF"/>
          </w:tcPr>
          <w:p>
            <w:pPr>
              <w:ind w:left="40"/>
              <w:spacing w:after="0" w:line="94" w:lineRule="exact"/>
              <w:rPr>
                <w:sz w:val="20"/>
                <w:szCs w:val="20"/>
                <w:color w:val="auto"/>
              </w:rPr>
            </w:pPr>
            <w:r>
              <w:rPr>
                <w:rFonts w:ascii="Times New Roman" w:cs="Times New Roman" w:eastAsia="Times New Roman" w:hAnsi="Times New Roman"/>
                <w:sz w:val="10"/>
                <w:szCs w:val="10"/>
                <w:b w:val="1"/>
                <w:bCs w:val="1"/>
                <w:color w:val="auto"/>
              </w:rPr>
              <w:t>Net Comprehensive Loss Attributable to</w:t>
            </w:r>
          </w:p>
        </w:tc>
        <w:tc>
          <w:tcPr>
            <w:tcW w:w="78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6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0"/>
                <w:szCs w:val="10"/>
                <w:b w:val="1"/>
                <w:bCs w:val="1"/>
                <w:color w:val="auto"/>
              </w:rPr>
              <w:t>Innventure, Inc. Stockholders / Innventure LLC</w:t>
            </w:r>
          </w:p>
        </w:tc>
        <w:tc>
          <w:tcPr>
            <w:tcW w:w="78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(60,845)</w:t>
            </w:r>
          </w:p>
        </w:tc>
        <w:tc>
          <w:tcPr>
            <w:tcW w:w="2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(16,374)</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(77,219)</w:t>
            </w:r>
          </w:p>
        </w:tc>
        <w:tc>
          <w:tcPr>
            <w:tcW w:w="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(30,845)</w:t>
            </w:r>
          </w:p>
        </w:tc>
        <w:tc>
          <w:tcPr>
            <w:tcW w:w="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(46,374)</w:t>
            </w: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150.3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0" w:type="dxa"/>
            <w:vAlign w:val="bottom"/>
          </w:tcPr>
          <w:p>
            <w:pPr>
              <w:spacing w:after="0"/>
              <w:rPr>
                <w:sz w:val="1"/>
                <w:szCs w:val="1"/>
                <w:color w:val="auto"/>
              </w:rPr>
            </w:pPr>
          </w:p>
        </w:tc>
      </w:tr>
      <w:tr>
        <w:trPr>
          <w:trHeight w:val="138"/>
        </w:trPr>
        <w:tc>
          <w:tcPr>
            <w:tcW w:w="2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Unitholders</w:t>
            </w:r>
          </w:p>
        </w:tc>
        <w:tc>
          <w:tcPr>
            <w:tcW w:w="780" w:type="dxa"/>
            <w:vAlign w:val="bottom"/>
            <w:tcBorders>
              <w:bottom w:val="single" w:sz="8" w:color="auto"/>
              <w:right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hanging="267"/>
        <w:spacing w:after="0"/>
        <w:tabs>
          <w:tab w:leader="none" w:pos="142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meaningful</w:t>
      </w:r>
    </w:p>
    <w:p>
      <w:pPr>
        <w:spacing w:after="0" w:line="1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54" w:lineRule="exact"/>
        <w:rPr>
          <w:sz w:val="20"/>
          <w:szCs w:val="20"/>
          <w:color w:val="auto"/>
        </w:rPr>
      </w:pPr>
    </w:p>
    <w:p>
      <w:pPr>
        <w:ind w:left="1160" w:right="1619" w:firstLine="258"/>
        <w:spacing w:after="0" w:line="292" w:lineRule="auto"/>
        <w:rPr>
          <w:sz w:val="20"/>
          <w:szCs w:val="20"/>
          <w:color w:val="auto"/>
        </w:rPr>
      </w:pPr>
      <w:r>
        <w:rPr>
          <w:rFonts w:ascii="Times New Roman" w:cs="Times New Roman" w:eastAsia="Times New Roman" w:hAnsi="Times New Roman"/>
          <w:sz w:val="14"/>
          <w:szCs w:val="14"/>
          <w:color w:val="auto"/>
        </w:rPr>
        <w:t>Revenue was $456 for the Successor period from October 2, 2024 through December 31, 2024, $764 for Predecessor period from January 1, 2024 through October 1, 2024 and $1,117 for the Predecessor year ended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December 31, 2023. Revenue for the combined twelve months ended December 31, 2024 was $1,220, an increase of $103, or 9.2%, over the comparable period for the Predecessor year ended December 31, 2023. The increase was primarily due to new product sales within the Technology segment during the combined twelve months ended December 31, 2024. The increase was partially offset by non-recurring consulting revenue provided to certain third parties for the Predecessor year ended December 31, 2023.</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Cost of sales was $3,752 for the Successor period from October 2, 2024 through December 31, 2024, $777 for Predecessor period from January 1, 2024 through October 1, 2024 and nil for the Predecessor year ended December 31, 2023. Cost of sales for the combined twelve months ended December 31, 2024 was $4,529, an increase of $4,529, over the comparable period for the Predecessor year ended December 31, 2023. The increase was due to the fact that the Technology segment was pre-revenue for the Predecessor year ended December 31, 2023 and started generating revenue from product sales during the combined twelve months ended December 31, 2024. Cost of sales relate to those costs incurred to generate the new product sale revenue as well as the amortization expense of $2,065 associated with the recognition of intangibles of the Technology segment as part of the Business Combination.</w:t>
      </w:r>
    </w:p>
    <w:p>
      <w:pPr>
        <w:spacing w:after="0" w:line="2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General and administrative expense was $29,652 for the Successor period from October 2, 2024 through December 31, 2024, $26,608 for Predecessor period from January 1, 2024 through October 1, 2024 and $17,589 for the Predecessor year ended December 31, 2023. General and administrative expense for the combined twelve months ended December 31, 2024 was $56,260, an increase of $38,671, or 219.9%, over the comparable period for the Predecessor year ended December 31, 2023. The increase in expenditure was primarily attributed to an increase</w:t>
      </w:r>
    </w:p>
    <w:p>
      <w:pPr>
        <w:sectPr>
          <w:pgSz w:w="11900" w:h="16893" w:orient="portrait"/>
          <w:cols w:equalWidth="0" w:num="1">
            <w:col w:w="9019"/>
          </w:cols>
          <w:pgMar w:left="1440" w:top="1367" w:right="1440" w:bottom="0" w:gutter="0" w:footer="0" w:header="0"/>
        </w:sectPr>
      </w:pPr>
    </w:p>
    <w:bookmarkStart w:id="28" w:name="page29"/>
    <w:bookmarkEnd w:id="28"/>
    <w:p>
      <w:pPr>
        <w:ind w:left="1160" w:right="1219"/>
        <w:spacing w:after="0" w:line="273" w:lineRule="auto"/>
        <w:rPr>
          <w:sz w:val="20"/>
          <w:szCs w:val="20"/>
          <w:color w:val="auto"/>
        </w:rPr>
      </w:pPr>
      <w:r>
        <w:rPr>
          <w:rFonts w:ascii="Times New Roman" w:cs="Times New Roman" w:eastAsia="Times New Roman" w:hAnsi="Times New Roman"/>
          <w:sz w:val="14"/>
          <w:szCs w:val="14"/>
          <w:color w:val="auto"/>
        </w:rPr>
        <w:t>in professional services, legal fees and consulting fees related to the Business Combination of $17,600. The remaining increase in expenditure was due to increased employee costs associated with increased bonuses and stock based compensation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-318770</wp:posOffset>
            </wp:positionV>
            <wp:extent cx="716026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Sales and marketing expense was $2,009 for the Successor period from October 2, 2024 through December 31, 2024, $4,178 for Predecessor period from January 1, 2024 through October 1, 2024 and $3,205 for the Predecessor year ended December 31, 2023. Sales and marketing expense for the combined twelve months ended December 31, 2024 was $6,187, an increase of $2,982, or 93.0%, over the comparable period for the Predecessor year ended December 31, 2023. The increase was primarily due to increased compensation costs as a result of increased headcount across the business and increases in advertising and marketing related events and expenses associated with the commercialization phase of the Technology segment.</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Research and Development (“R&amp;D”) expense was $5,340 for the Successor period from October 2, 2024</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through December 31, 2024, $5,978 for Predecessor period from January 1, 2024 through October 1, 2024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$4,001 for the Predecessor year ended December 31, 2023. R&amp;D expense for the combined twelve months ended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December 31, 2024 was $11,318, an increase of $7,317, or 182.9%, over the comparable period for the Predecessor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year ended December 31, 2023. The increase was primarily due to an increase in employee-related costs in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Technology segment and an increase in new product development costs.</w:t>
      </w:r>
    </w:p>
    <w:p>
      <w:pPr>
        <w:spacing w:after="0" w:line="1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144"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Interest expense, net was $1,132 for the Successor period from October 2, 2024 through December 31, 2024, $1,300 for Predecessor period from January 1, 2024 through October 1, 2024 and $1,224 for the Predecessor year ended December 31, 2023. Interest expense, net for the combined twelve months ended December 31, 2024 was $2,432, an increase of $1,208, or 98.7%, over the comparable period for the Predecessor year ended December 31, 2023. The increase was primarily due to an increase in facilities and borrowings between the periods as well as the increased cost of borrowing experienced during the Successor period.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gain (loss) from investments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Net gain on investments was nil for the Successor period from October 2, 2024 through December 31, 2024,</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$11,547 for Predecessor period from January 1, 2024 through October 1, 2024 and net loss on investments was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$6,448 for the Predecessor year ended December 31, 2023. Net gain on investments for the combined twelve months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ended December 31, 2024 was $11,547, an increase of $17,995, or 279.1%, over the comparable period for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Predecessor year ended December 31, 2023. The increase was due to the unrealized gain on investment in PCT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owned stock via Class PCTA Units (as defined below) for the year ended December 31, 2024. The PCTA associated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assets were not recognized as part of the Business Combination.</w:t>
      </w:r>
    </w:p>
    <w:p>
      <w:pPr>
        <w:spacing w:after="0" w:line="1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Net (loss) gain on investments - due to related parties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Net loss on investments – due to related parties was nil for the Successor period from October 2, 2024 through December 31, 2024, $468 for Predecessor period from January 1, 2024 through October 1, 2024 and net gain on investments was $232 for the Predecessor year ended December 31, 2023. Net loss on investments – due to related parties for the combined twelve months ended December 31, 2024 was $468, a decrease of $700, or 301.7%, over the comparable period for the Predecessor year ended December 31, 2023. The decrease was primarily due to an increase in fair value of liability - PCT stock owed to others. The PCTA associated liabilities were not recognized as part of the Business Combination.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financial liabilities</w:t>
      </w:r>
    </w:p>
    <w:p>
      <w:pPr>
        <w:spacing w:after="0" w:line="14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The fair value of financial liabilities increased by $20,946 for the Successor period from October 2, 2024 through December 31, 2024, increased by $478 for Predecessor period from January 1, 2024 through October 1, 2024, and decreased by $766 for the Predecessor year ended December 31, 2023. The fair value of financial liabilities for the combined twelve months ended December 31, 2024 increased by $21,424, an increase of $22,190, or 2,896.9%, over the comparable period for the Predecessor year ended December 31, 2023. The increase was primarily due to increases in fair value adjustments for warrants and earnout liabilities, which were offset by adjustments in the fair value of embedded derivative liabilities.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Equity method investment (loss) income</w:t>
      </w:r>
    </w:p>
    <w:p>
      <w:pPr>
        <w:spacing w:after="0" w:line="144"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Equity method investment loss was $902 for the Successor period from October 2, 2024 through December 31, 2024, equity method investment gain was $893 for Predecessor period from January 1, 2024 through October 1, 2024 and equity method investment loss was $632 for the Predecessor year ended December 31, 2023. Equity method investment loss for the combined twelve months ended December 31, 2024 was $9, a decrease of $623, or 98.6%, over the comparable period for the Predecessor year ended December 31, 2023. The loss in 2023 of $632 recognized represented nonrecurring allocated losses from the ESG Fund and AeroFlexx. The gain in 2024 was primarily due to a non-recurring allocated gain from the ESG Fund offset by a non-recurring allocated loss from investment of AeroFlexx.</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Loss on conversion of promissory notes</w:t>
      </w:r>
    </w:p>
    <w:p>
      <w:pPr>
        <w:spacing w:after="0" w:line="14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Loss on conversion of promissory notes was nil for the Successor period from October 2, 2024 through December 31, 2024, $1,119 for Predecessor period from January 1, 2024 through October 1, 2024 and nil for the Predecessor year ended December 31, 2023. Loss on conversion of promissory notes for the combined twelve months ended December 31, 2024 was $1,119, an increase of $1,119, over the comparable period for the Predecessor year ended December 31, 2023. This was due to the automatic conversion of promissory notes in the first quarter of 2024 into equity instruments which was treated as an extinguishment thereby generating a loss. There was no equivalent transaction in 2023.</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Write-off of loan commitment fee asset</w:t>
      </w:r>
    </w:p>
    <w:p>
      <w:pPr>
        <w:spacing w:after="0" w:line="144" w:lineRule="exact"/>
        <w:rPr>
          <w:sz w:val="20"/>
          <w:szCs w:val="20"/>
          <w:color w:val="auto"/>
        </w:rPr>
      </w:pPr>
    </w:p>
    <w:p>
      <w:pPr>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Write-off of loan commitment fee asset was $10,041 for the Successor period from October 2, 2024 through December 31, 2024, nil for Predecessor period from January 1, 2024 through October 1, 2024 and nil for the Predecessor year ended December 31, 2023. Write-off of loan commitment fee asset for the combined twelve</w:t>
      </w:r>
    </w:p>
    <w:p>
      <w:pPr>
        <w:sectPr>
          <w:pgSz w:w="11900" w:h="16838" w:orient="portrait"/>
          <w:cols w:equalWidth="0" w:num="1">
            <w:col w:w="9019"/>
          </w:cols>
          <w:pgMar w:left="1440" w:top="94" w:right="1440" w:bottom="0" w:gutter="0" w:footer="0" w:header="0"/>
        </w:sectPr>
      </w:pPr>
    </w:p>
    <w:bookmarkStart w:id="29" w:name="page30"/>
    <w:bookmarkEnd w:id="29"/>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months ended December 31, 2024 was $10,041, an increase of $10,041, over the comparable period for the Predecessor year ended December 31, 2023. The increase was due to a one-time write-off of loan commitment fees related to the WTI Fund loan and security agreement where the Company was unable to draw down subsequent loan tranches because it had not met certain revenue and net loss targets set by the lender. These fees included warrants and fees incurred in securing the WTI loans.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Loss attributable to non-redeemable non-controlling interests</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Loss attributable to non-redeemable non-controlling interests was $8,339 for the Successor period from October 2, 2024 through December 31, 2024, $11,762 for Predecessor period January 1, 2024 through October 1, 2024 and $139 for the Predecessor year ended December 31, 2023. Loss attributable to non-redeemable non-controlling interests for the combined twelve months ended December 31, 2024 was $20,101, an increase of $19,962, or</w:t>
      </w:r>
    </w:p>
    <w:p>
      <w:pPr>
        <w:spacing w:after="0" w:line="1" w:lineRule="exact"/>
        <w:rPr>
          <w:sz w:val="20"/>
          <w:szCs w:val="20"/>
          <w:color w:val="auto"/>
        </w:rPr>
      </w:pPr>
    </w:p>
    <w:p>
      <w:pPr>
        <w:ind w:left="1160" w:right="1219"/>
        <w:spacing w:after="0" w:line="264" w:lineRule="auto"/>
        <w:rPr>
          <w:sz w:val="20"/>
          <w:szCs w:val="20"/>
          <w:color w:val="auto"/>
        </w:rPr>
      </w:pPr>
      <w:r>
        <w:rPr>
          <w:rFonts w:ascii="Times New Roman" w:cs="Times New Roman" w:eastAsia="Times New Roman" w:hAnsi="Times New Roman"/>
          <w:sz w:val="14"/>
          <w:szCs w:val="14"/>
          <w:color w:val="auto"/>
        </w:rPr>
        <w:t>14,361.2%, over the comparable period for the Predecessor year ended December 31, 2023. This was due to the increase in Accelsius loss subject to allocable percentage during the year ended December 31, 2024 as compared to the year ended December 31, 2023.</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Unrealized gain on available-for-sale debt securities - related party</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Unrealized gain on available-for-sale debt securities - related party, was a gain of $909 for the Successor period from October 2, 2024 through December 31, 2024, a loss of $62 for Predecessor period January 1, 2024 through October 1, 2024 and nil for the Predecessor year ended December 31, 2023. Unrealized gain (loss) on available-for-sale debt securities - related party for the combined twelve months ended December 31, 2024 was $971, an increase of $971, over the comparable period for the Predecessor year ended December 31, 2023. The increase was due to the conversion of working capital advances to investments in debt securities which are classified as available-for-sale.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44"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01"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06"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01"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Investors should use caution when comparing our non-GAAP measure to similar metrics used by other companies, as definitions can vary. Adjusted EBITDA should not be considered in isolation or as a substitute for GAAP financial measures.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93" w:lineRule="exact"/>
        <w:rPr>
          <w:sz w:val="20"/>
          <w:szCs w:val="20"/>
          <w:color w:val="auto"/>
        </w:rPr>
      </w:pPr>
    </w:p>
    <w:p>
      <w:pPr>
        <w:ind w:left="1160" w:right="16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provides a reconciliation from Net Loss to EBITDA and Adjusted EBITDA for the specified periods:</w:t>
      </w:r>
    </w:p>
    <w:p>
      <w:pPr>
        <w:spacing w:after="0" w:line="132"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2720" w:type="dxa"/>
            <w:vAlign w:val="bottom"/>
          </w:tcPr>
          <w:p>
            <w:pPr>
              <w:spacing w:after="0"/>
              <w:rPr>
                <w:sz w:val="10"/>
                <w:szCs w:val="10"/>
                <w:color w:val="auto"/>
              </w:rPr>
            </w:pPr>
          </w:p>
        </w:tc>
        <w:tc>
          <w:tcPr>
            <w:tcW w:w="1000" w:type="dxa"/>
            <w:vAlign w:val="bottom"/>
            <w:vMerge w:val="restart"/>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98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rPr>
              <w:t>S/P Combined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(Non-GAAP)</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720" w:type="dxa"/>
            <w:vAlign w:val="bottom"/>
          </w:tcPr>
          <w:p>
            <w:pPr>
              <w:spacing w:after="0"/>
              <w:rPr>
                <w:sz w:val="10"/>
                <w:szCs w:val="10"/>
                <w:color w:val="auto"/>
              </w:rPr>
            </w:pPr>
          </w:p>
        </w:tc>
        <w:tc>
          <w:tcPr>
            <w:tcW w:w="1000" w:type="dxa"/>
            <w:vAlign w:val="bottom"/>
          </w:tcPr>
          <w:p>
            <w:pPr>
              <w:jc w:val="center"/>
              <w:ind w:right="37"/>
              <w:spacing w:after="0" w:line="116"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1060" w:type="dxa"/>
            <w:vAlign w:val="bottom"/>
            <w:vMerge w:val="continue"/>
          </w:tcPr>
          <w:p>
            <w:pPr>
              <w:spacing w:after="0"/>
              <w:rPr>
                <w:sz w:val="10"/>
                <w:szCs w:val="10"/>
                <w:color w:val="auto"/>
              </w:rPr>
            </w:pPr>
          </w:p>
        </w:tc>
        <w:tc>
          <w:tcPr>
            <w:tcW w:w="98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000" w:type="dxa"/>
            <w:vAlign w:val="bottom"/>
          </w:tcPr>
          <w:p>
            <w:pPr>
              <w:jc w:val="center"/>
              <w:ind w:right="37"/>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10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January 1, 2024</w:t>
            </w: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100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980" w:type="dxa"/>
            <w:vAlign w:val="bottom"/>
          </w:tcPr>
          <w:p>
            <w:pPr>
              <w:jc w:val="center"/>
              <w:ind w:right="56"/>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2720" w:type="dxa"/>
            <w:vAlign w:val="bottom"/>
          </w:tcPr>
          <w:p>
            <w:pPr>
              <w:spacing w:after="0"/>
              <w:rPr>
                <w:sz w:val="13"/>
                <w:szCs w:val="13"/>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98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20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(70,093)</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(28,198)</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(98,291)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11,173</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1,300</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12,473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r>
              <w:rPr>
                <w:rFonts w:ascii="Times New Roman" w:cs="Times New Roman" w:eastAsia="Times New Roman" w:hAnsi="Times New Roman"/>
                <w:sz w:val="14"/>
                <w:szCs w:val="14"/>
                <w:color w:val="B4B4B4"/>
              </w:rPr>
              <w:t>............</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5,455</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146</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5,601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Provision for income taxes </w:t>
            </w:r>
            <w:r>
              <w:rPr>
                <w:rFonts w:ascii="Times New Roman" w:cs="Times New Roman" w:eastAsia="Times New Roman" w:hAnsi="Times New Roman"/>
                <w:sz w:val="14"/>
                <w:szCs w:val="14"/>
                <w:color w:val="B4B4B4"/>
              </w:rPr>
              <w:t>...............................</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3,282</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(432)</w:t>
            </w: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2,850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99" w:orient="portrait"/>
          <w:cols w:equalWidth="0" w:num="1">
            <w:col w:w="9019"/>
          </w:cols>
          <w:pgMar w:left="1440" w:top="468" w:right="1440" w:bottom="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88"/>
        </w:trPr>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EBITDA </w:t>
            </w:r>
            <w:r>
              <w:rPr>
                <w:rFonts w:ascii="Times New Roman" w:cs="Times New Roman" w:eastAsia="Times New Roman" w:hAnsi="Times New Roman"/>
                <w:sz w:val="14"/>
                <w:szCs w:val="14"/>
                <w:b w:val="1"/>
                <w:bCs w:val="1"/>
                <w:color w:val="B4B4B4"/>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(50,183)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(29,752)</w:t>
            </w:r>
          </w:p>
        </w:tc>
      </w:tr>
      <w:tr>
        <w:trPr>
          <w:trHeight w:val="220"/>
        </w:trPr>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Transactionandotherrelatedcosts</w:t>
            </w:r>
            <w:r>
              <w:rPr>
                <w:rFonts w:ascii="Times New Roman" w:cs="Times New Roman" w:eastAsia="Times New Roman" w:hAnsi="Times New Roman"/>
                <w:sz w:val="18"/>
                <w:szCs w:val="18"/>
                <w:color w:val="000000"/>
                <w:vertAlign w:val="superscript"/>
              </w:rPr>
              <w:t>(2)</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2,309</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9,414</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r>
      <w:tr>
        <w:trPr>
          <w:trHeight w:val="204"/>
        </w:trPr>
        <w:tc>
          <w:tcPr>
            <w:tcW w:w="274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Change in fair value of financial liabilities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20,946</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05"/>
        </w:trPr>
        <w:tc>
          <w:tcPr>
            <w:tcW w:w="2740" w:type="dxa"/>
            <w:vAlign w:val="bottom"/>
          </w:tcPr>
          <w:p>
            <w:pPr>
              <w:jc w:val="right"/>
              <w:spacing w:after="0" w:line="205" w:lineRule="exact"/>
              <w:rPr>
                <w:sz w:val="20"/>
                <w:szCs w:val="20"/>
                <w:color w:val="auto"/>
              </w:rPr>
            </w:pPr>
            <w:r>
              <w:rPr>
                <w:rFonts w:ascii="Times New Roman" w:cs="Times New Roman" w:eastAsia="Times New Roman" w:hAnsi="Times New Roman"/>
                <w:sz w:val="14"/>
                <w:szCs w:val="14"/>
                <w:color w:val="auto"/>
              </w:rPr>
              <w:t>Stock based compensation</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16,338</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1,056</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17,394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188"/>
        </w:trPr>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Adjusted EBITDA </w:t>
            </w:r>
            <w:r>
              <w:rPr>
                <w:rFonts w:ascii="Times New Roman" w:cs="Times New Roman" w:eastAsia="Times New Roman" w:hAnsi="Times New Roman"/>
                <w:sz w:val="14"/>
                <w:szCs w:val="14"/>
                <w:b w:val="1"/>
                <w:bCs w:val="1"/>
                <w:color w:val="B4B4B4"/>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(10,590)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r>
      <w:tr>
        <w:trPr>
          <w:trHeight w:val="196"/>
        </w:trPr>
        <w:tc>
          <w:tcPr>
            <w:tcW w:w="2740" w:type="dxa"/>
            <w:vAlign w:val="bottom"/>
          </w:tcPr>
          <w:p>
            <w:pPr>
              <w:jc w:val="right"/>
              <w:ind w:right="1811"/>
              <w:spacing w:after="0"/>
              <w:rPr>
                <w:sz w:val="20"/>
                <w:szCs w:val="20"/>
                <w:color w:val="auto"/>
              </w:rPr>
            </w:pPr>
            <w:r>
              <w:rPr>
                <w:rFonts w:ascii="Times New Roman" w:cs="Times New Roman" w:eastAsia="Times New Roman" w:hAnsi="Times New Roman"/>
                <w:sz w:val="11"/>
                <w:szCs w:val="11"/>
                <w:color w:val="auto"/>
              </w:rPr>
              <w:t>_______________</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ind w:left="1420" w:right="1219" w:hanging="267"/>
        <w:spacing w:after="0" w:line="260" w:lineRule="auto"/>
        <w:tabs>
          <w:tab w:leader="none" w:pos="14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w:t>
      </w:r>
      <w:r>
        <w:rPr>
          <w:rFonts w:ascii="Times New Roman" w:cs="Times New Roman" w:eastAsia="Times New Roman" w:hAnsi="Times New Roman"/>
          <w:sz w:val="11"/>
          <w:szCs w:val="11"/>
          <w:u w:val="single" w:color="auto"/>
          <w:color w:val="auto"/>
        </w:rPr>
        <w:t>associated with the s</w:t>
      </w:r>
      <w:r>
        <w:rPr>
          <w:rFonts w:ascii="Times New Roman" w:cs="Times New Roman" w:eastAsia="Times New Roman" w:hAnsi="Times New Roman"/>
          <w:sz w:val="11"/>
          <w:szCs w:val="11"/>
          <w:color w:val="auto"/>
        </w:rPr>
        <w:t>ec</w:t>
      </w:r>
      <w:r>
        <w:rPr>
          <w:rFonts w:ascii="Times New Roman" w:cs="Times New Roman" w:eastAsia="Times New Roman" w:hAnsi="Times New Roman"/>
          <w:sz w:val="11"/>
          <w:szCs w:val="11"/>
          <w:u w:val="single" w:color="auto"/>
          <w:color w:val="auto"/>
        </w:rPr>
        <w:t>ond and third tranche</w:t>
      </w:r>
      <w:r>
        <w:rPr>
          <w:rFonts w:ascii="Times New Roman" w:cs="Times New Roman" w:eastAsia="Times New Roman" w:hAnsi="Times New Roman"/>
          <w:sz w:val="11"/>
          <w:szCs w:val="11"/>
          <w:color w:val="auto"/>
        </w:rPr>
        <w:t>s of the WTI facility. When it became known that we would not be able to draw on these subsequent tranches based on certain metrics contained within the WTI Facility agreement, we immediately wrote this asset off. For th</w:t>
      </w:r>
      <w:r>
        <w:rPr>
          <w:rFonts w:ascii="Times New Roman" w:cs="Times New Roman" w:eastAsia="Times New Roman" w:hAnsi="Times New Roman"/>
          <w:sz w:val="11"/>
          <w:szCs w:val="11"/>
          <w:color w:val="auto"/>
          <w:strike w:val="1"/>
        </w:rPr>
        <w:t>e Predecessor year e</w:t>
      </w:r>
      <w:r>
        <w:rPr>
          <w:rFonts w:ascii="Times New Roman" w:cs="Times New Roman" w:eastAsia="Times New Roman" w:hAnsi="Times New Roman"/>
          <w:sz w:val="11"/>
          <w:szCs w:val="11"/>
          <w:color w:val="auto"/>
        </w:rPr>
        <w:t>nd</w:t>
      </w:r>
      <w:r>
        <w:rPr>
          <w:rFonts w:ascii="Times New Roman" w:cs="Times New Roman" w:eastAsia="Times New Roman" w:hAnsi="Times New Roman"/>
          <w:sz w:val="11"/>
          <w:szCs w:val="11"/>
          <w:color w:val="auto"/>
          <w:strike w:val="1"/>
        </w:rPr>
        <w:t>ed December 31, 20</w:t>
      </w:r>
      <w:r>
        <w:rPr>
          <w:rFonts w:ascii="Times New Roman" w:cs="Times New Roman" w:eastAsia="Times New Roman" w:hAnsi="Times New Roman"/>
          <w:sz w:val="11"/>
          <w:szCs w:val="11"/>
          <w:color w:val="auto"/>
        </w:rPr>
        <w:t>2</w:t>
      </w:r>
      <w:r>
        <w:rPr>
          <w:rFonts w:ascii="Times New Roman" w:cs="Times New Roman" w:eastAsia="Times New Roman" w:hAnsi="Times New Roman"/>
          <w:sz w:val="11"/>
          <w:szCs w:val="11"/>
          <w:color w:val="auto"/>
          <w:strike w:val="1"/>
        </w:rPr>
        <w:t>3, this balance is com</w:t>
      </w:r>
      <w:r>
        <w:rPr>
          <w:rFonts w:ascii="Times New Roman" w:cs="Times New Roman" w:eastAsia="Times New Roman" w:hAnsi="Times New Roman"/>
          <w:sz w:val="11"/>
          <w:szCs w:val="11"/>
          <w:color w:val="auto"/>
        </w:rPr>
        <w:t>prised entirely of interest incurred on our various borrowing facilities.</w:t>
      </w:r>
    </w:p>
    <w:p>
      <w:pPr>
        <w:jc w:val="both"/>
        <w:ind w:left="1420" w:right="1539" w:hanging="267"/>
        <w:spacing w:after="0" w:line="261" w:lineRule="auto"/>
        <w:tabs>
          <w:tab w:leader="none" w:pos="14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Transaction and other related costs – For the combined twelve months ended December 31, 2024 and for the Predecessor year ended December 31, 2023 this is comprised entirely of consulting, legal, and other professional fees related to the “Business Combination.</w:t>
      </w:r>
    </w:p>
    <w:p>
      <w:pPr>
        <w:ind w:left="1420" w:right="1239" w:hanging="267"/>
        <w:spacing w:after="0" w:line="267" w:lineRule="auto"/>
        <w:tabs>
          <w:tab w:leader="none" w:pos="14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 in fair value of financial liabilities – For the co</w:t>
      </w:r>
      <w:r>
        <w:rPr>
          <w:rFonts w:ascii="Times New Roman" w:cs="Times New Roman" w:eastAsia="Times New Roman" w:hAnsi="Times New Roman"/>
          <w:sz w:val="11"/>
          <w:szCs w:val="11"/>
          <w:u w:val="single" w:color="auto"/>
          <w:color w:val="auto"/>
        </w:rPr>
        <w:t>mbined twelve mon</w:t>
      </w:r>
      <w:r>
        <w:rPr>
          <w:rFonts w:ascii="Times New Roman" w:cs="Times New Roman" w:eastAsia="Times New Roman" w:hAnsi="Times New Roman"/>
          <w:sz w:val="11"/>
          <w:szCs w:val="11"/>
          <w:color w:val="auto"/>
        </w:rPr>
        <w:t xml:space="preserve">ths </w:t>
      </w:r>
      <w:r>
        <w:rPr>
          <w:rFonts w:ascii="Times New Roman" w:cs="Times New Roman" w:eastAsia="Times New Roman" w:hAnsi="Times New Roman"/>
          <w:sz w:val="11"/>
          <w:szCs w:val="11"/>
          <w:u w:val="single" w:color="auto"/>
          <w:color w:val="auto"/>
        </w:rPr>
        <w:t>ended December 31</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2024 the change in</w:t>
      </w:r>
      <w:r>
        <w:rPr>
          <w:rFonts w:ascii="Times New Roman" w:cs="Times New Roman" w:eastAsia="Times New Roman" w:hAnsi="Times New Roman"/>
          <w:sz w:val="11"/>
          <w:szCs w:val="11"/>
          <w:color w:val="auto"/>
        </w:rPr>
        <w:t xml:space="preserve"> fair value of financial liabilities primarily consists of the change in fair value of the warrant liability, change in fair value of the earnout liability, and the change in the fair value of the embedded derivative as</w:t>
      </w:r>
      <w:r>
        <w:rPr>
          <w:rFonts w:ascii="Times New Roman" w:cs="Times New Roman" w:eastAsia="Times New Roman" w:hAnsi="Times New Roman"/>
          <w:sz w:val="11"/>
          <w:szCs w:val="11"/>
          <w:color w:val="auto"/>
          <w:strike w:val="1"/>
        </w:rPr>
        <w:t>sociated with conver</w:t>
      </w:r>
      <w:r>
        <w:rPr>
          <w:rFonts w:ascii="Times New Roman" w:cs="Times New Roman" w:eastAsia="Times New Roman" w:hAnsi="Times New Roman"/>
          <w:sz w:val="11"/>
          <w:szCs w:val="11"/>
          <w:color w:val="auto"/>
        </w:rPr>
        <w:t>tib</w:t>
      </w:r>
      <w:r>
        <w:rPr>
          <w:rFonts w:ascii="Times New Roman" w:cs="Times New Roman" w:eastAsia="Times New Roman" w:hAnsi="Times New Roman"/>
          <w:sz w:val="11"/>
          <w:szCs w:val="11"/>
          <w:color w:val="auto"/>
          <w:strike w:val="1"/>
        </w:rPr>
        <w:t>le notes prior to exti</w:t>
      </w:r>
      <w:r>
        <w:rPr>
          <w:rFonts w:ascii="Times New Roman" w:cs="Times New Roman" w:eastAsia="Times New Roman" w:hAnsi="Times New Roman"/>
          <w:sz w:val="11"/>
          <w:szCs w:val="11"/>
          <w:color w:val="auto"/>
        </w:rPr>
        <w:t>n</w:t>
      </w:r>
      <w:r>
        <w:rPr>
          <w:rFonts w:ascii="Times New Roman" w:cs="Times New Roman" w:eastAsia="Times New Roman" w:hAnsi="Times New Roman"/>
          <w:sz w:val="11"/>
          <w:szCs w:val="11"/>
          <w:color w:val="auto"/>
          <w:strike w:val="1"/>
        </w:rPr>
        <w:t>guishment. For the P</w:t>
      </w:r>
      <w:r>
        <w:rPr>
          <w:rFonts w:ascii="Times New Roman" w:cs="Times New Roman" w:eastAsia="Times New Roman" w:hAnsi="Times New Roman"/>
          <w:sz w:val="11"/>
          <w:szCs w:val="11"/>
          <w:color w:val="auto"/>
        </w:rPr>
        <w:t>redecessor year ended December 31, 2023, this is comprised entirely of the change in fair value of the embedded derivative associated with the convertible notes.</w:t>
      </w:r>
    </w:p>
    <w:p>
      <w:pPr>
        <w:spacing w:after="0" w:line="124" w:lineRule="exact"/>
        <w:rPr>
          <w:rFonts w:ascii="Times New Roman" w:cs="Times New Roman" w:eastAsia="Times New Roman" w:hAnsi="Times New Roman"/>
          <w:sz w:val="11"/>
          <w:szCs w:val="11"/>
          <w:color w:val="auto"/>
        </w:rPr>
      </w:pPr>
    </w:p>
    <w:p>
      <w:pPr>
        <w:ind w:left="1420" w:right="1259" w:hanging="267"/>
        <w:spacing w:after="0" w:line="265" w:lineRule="auto"/>
        <w:tabs>
          <w:tab w:leader="none" w:pos="14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p>
      <w:pPr>
        <w:spacing w:after="0" w:line="8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 (in thousands, except as otherwise noted)</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54" w:lineRule="exact"/>
        <w:rPr>
          <w:sz w:val="20"/>
          <w:szCs w:val="20"/>
          <w:color w:val="auto"/>
        </w:rPr>
      </w:pPr>
    </w:p>
    <w:p>
      <w:pPr>
        <w:ind w:left="1160" w:right="1539" w:firstLine="258"/>
        <w:spacing w:after="0" w:line="274" w:lineRule="auto"/>
        <w:rPr>
          <w:sz w:val="20"/>
          <w:szCs w:val="20"/>
          <w:color w:val="auto"/>
        </w:rPr>
      </w:pPr>
      <w:r>
        <w:rPr>
          <w:rFonts w:ascii="Times New Roman" w:cs="Times New Roman" w:eastAsia="Times New Roman" w:hAnsi="Times New Roman"/>
          <w:sz w:val="14"/>
          <w:szCs w:val="14"/>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is a summary of the components of our current liquidity:</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4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115"/>
        </w:trPr>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5"/>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7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right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89"/>
        </w:trPr>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Cashandcashequivalents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11,119</w:t>
            </w:r>
          </w:p>
        </w:tc>
        <w:tc>
          <w:tcPr>
            <w:tcW w:w="10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r>
      <w:tr>
        <w:trPr>
          <w:trHeight w:val="198"/>
        </w:trPr>
        <w:tc>
          <w:tcPr>
            <w:tcW w:w="4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Restricted cash</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10"/>
        </w:trPr>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Working capital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(45,061)</w:t>
            </w:r>
          </w:p>
        </w:tc>
        <w:tc>
          <w:tcPr>
            <w:tcW w:w="10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w:t>
            </w:r>
          </w:p>
        </w:tc>
      </w:tr>
      <w:tr>
        <w:trPr>
          <w:trHeight w:val="204"/>
        </w:trPr>
        <w:tc>
          <w:tcPr>
            <w:tcW w:w="4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Accumulated deficit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(78,262)</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(64,284)</w:t>
            </w:r>
          </w:p>
        </w:tc>
      </w:tr>
    </w:tbl>
    <w:p>
      <w:pPr>
        <w:spacing w:after="0" w:line="157"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expectations, we estimate we will require at least $50,000 to meet our liquidity requirements for the next 12 months.</w:t>
      </w:r>
    </w:p>
    <w:p>
      <w:pPr>
        <w:spacing w:after="0" w:line="97"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We expect to satisfy our liquidity requirements through cash on hand, cash generated from the operations of our Operating Companies, the SEPA with Yorkville (maximum remaining availability of approximately $72,000), the Convertible Debentures to be issued to Yorkville, as well as proceeds from additional financings completed by us or our Operating Companies. During the year ended December 31, 2024, the Technology segment raised approximately $18,898 of additional equity financing, in comparison to approximately $250 during the year ended December 31, 2023. In connection with our current business strategy, we intend to conduct additional fundraising of up to $25,000 to fund capital expenditures and other expenses to support the growth of the business.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Bridge Financing</w:t>
      </w:r>
    </w:p>
    <w:p>
      <w:pPr>
        <w:spacing w:after="0" w:line="140"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01"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03" w:lineRule="exact"/>
        <w:rPr>
          <w:sz w:val="20"/>
          <w:szCs w:val="20"/>
          <w:color w:val="auto"/>
        </w:rPr>
      </w:pPr>
    </w:p>
    <w:p>
      <w:pPr>
        <w:jc w:val="both"/>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On March 20, 2025, the Company entered into agreements to convert and repay the aggregate principal amount</w:t>
      </w:r>
    </w:p>
    <w:p>
      <w:pPr>
        <w:sectPr>
          <w:pgSz w:w="11900" w:h="16838" w:orient="portrait"/>
          <w:cols w:equalWidth="0" w:num="1">
            <w:col w:w="9019"/>
          </w:cols>
          <w:pgMar w:left="1440" w:top="144" w:right="1440" w:bottom="0" w:gutter="0" w:footer="0" w:header="0"/>
        </w:sectPr>
      </w:pPr>
    </w:p>
    <w:bookmarkStart w:id="31" w:name="page32"/>
    <w:bookmarkEnd w:id="31"/>
    <w:p>
      <w:pPr>
        <w:spacing w:after="0" w:line="50" w:lineRule="exact"/>
        <w:rPr>
          <w:sz w:val="20"/>
          <w:szCs w:val="20"/>
          <w:color w:val="auto"/>
        </w:rPr>
      </w:pPr>
    </w:p>
    <w:p>
      <w:pPr>
        <w:ind w:left="1160" w:right="1299"/>
        <w:spacing w:after="0" w:line="233" w:lineRule="auto"/>
        <w:rPr>
          <w:sz w:val="20"/>
          <w:szCs w:val="20"/>
          <w:color w:val="auto"/>
        </w:rPr>
      </w:pPr>
      <w:r>
        <w:rPr>
          <w:rFonts w:ascii="Times New Roman" w:cs="Times New Roman" w:eastAsia="Times New Roman" w:hAnsi="Times New Roman"/>
          <w:sz w:val="14"/>
          <w:szCs w:val="14"/>
          <w:color w:val="auto"/>
        </w:rPr>
        <w:t>of these unsecured promissory notes with the two related parties and, on March 24, 2025, issued shares of the Company’s Series C preferred stock, par value $0.0001 per share (the “Series C Preferred Stock”) and paid cash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-168910</wp:posOffset>
            </wp:positionV>
            <wp:extent cx="716026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479"/>
        <w:spacing w:after="0" w:line="272" w:lineRule="auto"/>
        <w:rPr>
          <w:sz w:val="20"/>
          <w:szCs w:val="20"/>
          <w:color w:val="auto"/>
        </w:rPr>
      </w:pPr>
      <w:r>
        <w:rPr>
          <w:rFonts w:ascii="Times New Roman" w:cs="Times New Roman" w:eastAsia="Times New Roman" w:hAnsi="Times New Roman"/>
          <w:sz w:val="14"/>
          <w:szCs w:val="14"/>
          <w:color w:val="auto"/>
        </w:rPr>
        <w:t>settle these unsecured promissory notes with the two unrelated parties. See “</w:t>
      </w:r>
      <w:r>
        <w:rPr>
          <w:rFonts w:ascii="Times New Roman" w:cs="Times New Roman" w:eastAsia="Times New Roman" w:hAnsi="Times New Roman"/>
          <w:sz w:val="14"/>
          <w:szCs w:val="14"/>
          <w:i w:val="1"/>
          <w:iCs w:val="1"/>
          <w:color w:val="auto"/>
        </w:rPr>
        <w:t>Certain Relationships and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Party Transactions” </w:t>
      </w:r>
      <w:r>
        <w:rPr>
          <w:rFonts w:ascii="Times New Roman" w:cs="Times New Roman" w:eastAsia="Times New Roman" w:hAnsi="Times New Roman"/>
          <w:sz w:val="14"/>
          <w:szCs w:val="14"/>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Series B Preferred Stock</w:t>
      </w:r>
    </w:p>
    <w:p>
      <w:pPr>
        <w:spacing w:after="0" w:line="140"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 xml:space="preserve">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 See further discussion of the Series B Preferred Stock in </w:t>
      </w:r>
      <w:r>
        <w:rPr>
          <w:rFonts w:ascii="Times New Roman" w:cs="Times New Roman" w:eastAsia="Times New Roman" w:hAnsi="Times New Roman"/>
          <w:sz w:val="14"/>
          <w:szCs w:val="14"/>
          <w:b w:val="1"/>
          <w:bCs w:val="1"/>
          <w:color w:val="auto"/>
        </w:rPr>
        <w:t>Note 13. Stockholders' Equity within the notes to the consolidated financial statements.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Series C Preferred Stock</w:t>
      </w:r>
    </w:p>
    <w:p>
      <w:pPr>
        <w:spacing w:after="0" w:line="140"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5,000,000 shares of preferred stock are designated as Series C Preferred Stock. On March 24, 2025, the Company agreed to issue an aggregate of up to 275,000 shares of the Series C Preferred Stock in a private placement, at a price of $10.00 per share of Series C Preferred Stock, resulting in an aggregate purchase price of approximately $2,750 before deducting fees and other estimated offering expenses. In connection with the preferred stock purchase agreements, the Company received an aggregate amount of $1,500 in advanced funds. In consideration of these funds, the Company issued 150,000 shares of Series C Preferred Stock to the respective parties.</w:t>
      </w:r>
    </w:p>
    <w:p>
      <w:pPr>
        <w:spacing w:after="0" w:line="277"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color w:val="auto"/>
        </w:rPr>
        <w:t>Additionally, on March 24, 2025, the Company issued 578,294 shares of Series C Preferred Stock in exchange for the termination of a related party loan with Glockner Family Venture Fund, LP and issued 1,392,059 shares of Common Stock in exchange for the termination of another related party loan between AeroFlexx Packaging Company, LLC and Auto Now Acceptance Co., LLC. Further, on March 24, 2025, the Company issued an aggregate of 300,000 shares of Series C Preferred Stock for financial advisory and merchant banking services rendered. See further discussion of the Series C Preferred Stock in the sub-section titled “Bridge Financing” above and in Note 21. Subsequent Events within the notes to the consolidated financial statements.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Convertible Debentures</w:t>
      </w:r>
    </w:p>
    <w:p>
      <w:pPr>
        <w:spacing w:after="0" w:line="140"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On March 25, 2025, the Company entered into the Securities Purchase Agreement to the issuance and sale of the Convertible Debentures with an aggregate principal amount of up to $30,000. These Convertible Debentures will be convertible into Conversion Shares. On April 14, 2025, the Company issued $20,000 in aggregate principal amount of Convertible Debentures.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 Convertible Debentures will bear interest at an annual rate of 18%. The Convertible Debentures will mature 15 months after the First Closing Date and can be converted into shares of Common Stock at a conversion price to be determined. The Convertible Debentures were and will be issued at an original issue discount of 10%. In connection with the Securities Purchase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 See further discussion of the Convertible Debentures in Note 21. Subsequent Events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Cash Flows</w:t>
      </w:r>
    </w:p>
    <w:p>
      <w:pPr>
        <w:spacing w:after="0" w:line="140"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Cash flows associated with operating, investing and financing activities for the years ended December 31, 2024 and 2023 are summarized as follows:</w:t>
      </w:r>
    </w:p>
    <w:p>
      <w:pPr>
        <w:spacing w:after="0" w:line="121" w:lineRule="exact"/>
        <w:rPr>
          <w:sz w:val="20"/>
          <w:szCs w:val="20"/>
          <w:color w:val="auto"/>
        </w:rPr>
      </w:pPr>
    </w:p>
    <w:tbl>
      <w:tblPr>
        <w:tblLayout w:type="fixed"/>
        <w:tblInd w:w="3500" w:type="dxa"/>
        <w:tblCellMar>
          <w:top w:w="0" w:type="dxa"/>
          <w:left w:w="0" w:type="dxa"/>
          <w:bottom w:w="0" w:type="dxa"/>
          <w:right w:w="0" w:type="dxa"/>
        </w:tblCellMar>
      </w:tblPr>
      <w:tr>
        <w:trPr>
          <w:trHeight w:val="126"/>
        </w:trPr>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S/P</w:t>
            </w: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2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Combined</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6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9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October 2,</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January 1,</w:t>
            </w: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20" w:type="dxa"/>
            <w:vAlign w:val="bottom"/>
          </w:tcPr>
          <w:p>
            <w:pPr>
              <w:jc w:val="center"/>
              <w:ind w:right="43"/>
              <w:spacing w:after="0" w:line="116" w:lineRule="exact"/>
              <w:rPr>
                <w:sz w:val="20"/>
                <w:szCs w:val="20"/>
                <w:color w:val="auto"/>
              </w:rPr>
            </w:pPr>
            <w:r>
              <w:rPr>
                <w:rFonts w:ascii="Times New Roman" w:cs="Times New Roman" w:eastAsia="Times New Roman" w:hAnsi="Times New Roman"/>
                <w:sz w:val="11"/>
                <w:szCs w:val="11"/>
                <w:b w:val="1"/>
                <w:bCs w:val="1"/>
                <w:color w:val="auto"/>
              </w:rPr>
              <w:t>2024</w:t>
            </w: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2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through</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through</w:t>
            </w:r>
          </w:p>
        </w:tc>
        <w:tc>
          <w:tcPr>
            <w:tcW w:w="7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89" w:orient="portrait"/>
          <w:cols w:equalWidth="0" w:num="1">
            <w:col w:w="9019"/>
          </w:cols>
          <w:pgMar w:left="1440" w:top="94" w:right="1440" w:bottom="0" w:gutter="0" w:footer="0" w:header="0"/>
        </w:sectPr>
      </w:pPr>
    </w:p>
    <w:bookmarkStart w:id="32" w:name="page33"/>
    <w:bookmarkEnd w:id="32"/>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October 1,</w:t>
            </w:r>
          </w:p>
        </w:tc>
        <w:tc>
          <w:tcPr>
            <w:tcW w:w="1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1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w:t>
            </w:r>
          </w:p>
        </w:tc>
        <w:tc>
          <w:tcPr>
            <w:tcW w:w="120" w:type="dxa"/>
            <w:vAlign w:val="bottom"/>
          </w:tcPr>
          <w:p>
            <w:pPr>
              <w:spacing w:after="0"/>
              <w:rPr>
                <w:sz w:val="11"/>
                <w:szCs w:val="11"/>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36"/>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Net Cash Used in Operating</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(29,214)</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(48,062)</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(19,476)</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(28,586)</w:t>
            </w: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146.8 %</w:t>
            </w:r>
          </w:p>
        </w:tc>
        <w:tc>
          <w:tcPr>
            <w:tcW w:w="0" w:type="dxa"/>
            <w:vAlign w:val="bottom"/>
          </w:tcPr>
          <w:p>
            <w:pPr>
              <w:spacing w:after="0"/>
              <w:rPr>
                <w:sz w:val="1"/>
                <w:szCs w:val="1"/>
                <w:color w:val="auto"/>
              </w:rPr>
            </w:pPr>
          </w:p>
        </w:tc>
      </w:tr>
      <w:tr>
        <w:trPr>
          <w:trHeight w:val="147"/>
        </w:trPr>
        <w:tc>
          <w:tcPr>
            <w:tcW w:w="22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Net Cash Provided by (Used in)</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5,532</w:t>
            </w:r>
          </w:p>
        </w:tc>
        <w:tc>
          <w:tcPr>
            <w:tcW w:w="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118.5 %</w:t>
            </w:r>
          </w:p>
        </w:tc>
        <w:tc>
          <w:tcPr>
            <w:tcW w:w="0" w:type="dxa"/>
            <w:vAlign w:val="bottom"/>
          </w:tcPr>
          <w:p>
            <w:pPr>
              <w:spacing w:after="0"/>
              <w:rPr>
                <w:sz w:val="1"/>
                <w:szCs w:val="1"/>
                <w:color w:val="auto"/>
              </w:rPr>
            </w:pPr>
          </w:p>
        </w:tc>
      </w:tr>
      <w:tr>
        <w:trPr>
          <w:trHeight w:val="186"/>
        </w:trPr>
        <w:tc>
          <w:tcPr>
            <w:tcW w:w="2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r>
              <w:rPr>
                <w:rFonts w:ascii="Times New Roman" w:cs="Times New Roman" w:eastAsia="Times New Roman" w:hAnsi="Times New Roman"/>
                <w:sz w:val="14"/>
                <w:szCs w:val="14"/>
                <w:color w:val="B4B4B4"/>
              </w:rPr>
              <w:t>.............................</w:t>
            </w: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240" w:type="dxa"/>
            <w:vAlign w:val="bottom"/>
            <w:tcBorders>
              <w:bottom w:val="single" w:sz="8" w:color="CCEEFF"/>
            </w:tcBorders>
          </w:tcPr>
          <w:p>
            <w:pPr>
              <w:ind w:left="40"/>
              <w:spacing w:after="0" w:line="158" w:lineRule="exact"/>
              <w:rPr>
                <w:sz w:val="20"/>
                <w:szCs w:val="20"/>
                <w:color w:val="auto"/>
              </w:rPr>
            </w:pPr>
            <w:r>
              <w:rPr>
                <w:rFonts w:ascii="Times New Roman" w:cs="Times New Roman" w:eastAsia="Times New Roman" w:hAnsi="Times New Roman"/>
                <w:sz w:val="14"/>
                <w:szCs w:val="14"/>
                <w:color w:val="auto"/>
              </w:rPr>
              <w:t>Net Cash Provided by Financing</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40" w:type="dxa"/>
            <w:vAlign w:val="bottom"/>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Activities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33,466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38,441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71,907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19,174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52,733</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275.0 %</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ind w:left="40"/>
              <w:spacing w:after="0" w:line="155" w:lineRule="exact"/>
              <w:rPr>
                <w:sz w:val="20"/>
                <w:szCs w:val="20"/>
                <w:color w:val="auto"/>
              </w:rPr>
            </w:pPr>
            <w:r>
              <w:rPr>
                <w:rFonts w:ascii="Times New Roman" w:cs="Times New Roman" w:eastAsia="Times New Roman" w:hAnsi="Times New Roman"/>
                <w:sz w:val="14"/>
                <w:szCs w:val="14"/>
                <w:color w:val="auto"/>
              </w:rPr>
              <w:t>Net Increase (Decrease) in Cash,</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240" w:type="dxa"/>
            <w:vAlign w:val="bottom"/>
          </w:tcPr>
          <w:p>
            <w:pPr>
              <w:ind w:left="40"/>
              <w:spacing w:after="0" w:line="140" w:lineRule="exact"/>
              <w:rPr>
                <w:sz w:val="20"/>
                <w:szCs w:val="20"/>
                <w:color w:val="auto"/>
              </w:rPr>
            </w:pPr>
            <w:r>
              <w:rPr>
                <w:rFonts w:ascii="Times New Roman" w:cs="Times New Roman" w:eastAsia="Times New Roman" w:hAnsi="Times New Roman"/>
                <w:sz w:val="14"/>
                <w:szCs w:val="14"/>
                <w:color w:val="auto"/>
              </w:rPr>
              <w:t>Cash Equivalents and Restricted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11,074</w:t>
            </w:r>
          </w:p>
        </w:tc>
        <w:tc>
          <w:tcPr>
            <w:tcW w:w="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13,636</w:t>
            </w:r>
          </w:p>
        </w:tc>
        <w:tc>
          <w:tcPr>
            <w:tcW w:w="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24,710</w:t>
            </w:r>
          </w:p>
        </w:tc>
        <w:tc>
          <w:tcPr>
            <w:tcW w:w="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29,679</w:t>
            </w:r>
          </w:p>
        </w:tc>
        <w:tc>
          <w:tcPr>
            <w:tcW w:w="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(597.3)%</w:t>
            </w:r>
          </w:p>
        </w:tc>
        <w:tc>
          <w:tcPr>
            <w:tcW w:w="0" w:type="dxa"/>
            <w:vAlign w:val="bottom"/>
          </w:tcPr>
          <w:p>
            <w:pPr>
              <w:spacing w:after="0"/>
              <w:rPr>
                <w:sz w:val="1"/>
                <w:szCs w:val="1"/>
                <w:color w:val="auto"/>
              </w:rPr>
            </w:pPr>
          </w:p>
        </w:tc>
      </w:tr>
      <w:tr>
        <w:trPr>
          <w:trHeight w:val="186"/>
        </w:trPr>
        <w:tc>
          <w:tcPr>
            <w:tcW w:w="2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Cash </w:t>
            </w:r>
            <w:r>
              <w:rPr>
                <w:rFonts w:ascii="Times New Roman" w:cs="Times New Roman" w:eastAsia="Times New Roman" w:hAnsi="Times New Roman"/>
                <w:sz w:val="14"/>
                <w:szCs w:val="14"/>
                <w:color w:val="B4B4B4"/>
              </w:rPr>
              <w:t>....................................................</w:t>
            </w: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-1071880</wp:posOffset>
            </wp:positionV>
            <wp:extent cx="716026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Net Cash Used in Operating Activities</w:t>
      </w:r>
    </w:p>
    <w:p>
      <w:pPr>
        <w:spacing w:after="0" w:line="140"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Cash flows used in operating activities were $48,062 for the combined twelve months ended December 31, 2024, as compared to $19,476 for the y</w:t>
      </w:r>
      <w:r>
        <w:rPr>
          <w:rFonts w:ascii="Times New Roman" w:cs="Times New Roman" w:eastAsia="Times New Roman" w:hAnsi="Times New Roman"/>
          <w:sz w:val="14"/>
          <w:szCs w:val="14"/>
          <w:u w:val="single" w:color="auto"/>
          <w:color w:val="auto"/>
        </w:rPr>
        <w:t>ear ended D</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u w:val="single" w:color="auto"/>
          <w:color w:val="auto"/>
        </w:rPr>
        <w:t>cember 31, 2023, an increase of $28,58</w:t>
      </w:r>
      <w:r>
        <w:rPr>
          <w:rFonts w:ascii="Times New Roman" w:cs="Times New Roman" w:eastAsia="Times New Roman" w:hAnsi="Times New Roman"/>
          <w:sz w:val="14"/>
          <w:szCs w:val="14"/>
          <w:color w:val="auto"/>
        </w:rPr>
        <w:t>6</w:t>
      </w:r>
      <w:r>
        <w:rPr>
          <w:rFonts w:ascii="Times New Roman" w:cs="Times New Roman" w:eastAsia="Times New Roman" w:hAnsi="Times New Roman"/>
          <w:sz w:val="14"/>
          <w:szCs w:val="14"/>
          <w:u w:val="single" w:color="auto"/>
          <w:color w:val="auto"/>
        </w:rPr>
        <w:t>, or 146.8%</w:t>
      </w:r>
      <w:r>
        <w:rPr>
          <w:rFonts w:ascii="Times New Roman" w:cs="Times New Roman" w:eastAsia="Times New Roman" w:hAnsi="Times New Roman"/>
          <w:sz w:val="14"/>
          <w:szCs w:val="14"/>
          <w:color w:val="auto"/>
        </w:rPr>
        <w:t>. The increase is primarily related to change additional costs incurred in connection with the Business Combination, increased employee compensation costs associated with increased headcount. In addition, there was an increase in R&amp;D costs at the Technology segment.</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Net Cash Provided (Used in) by Investing Activities</w:t>
      </w:r>
    </w:p>
    <w:p>
      <w:pPr>
        <w:spacing w:after="0" w:line="140"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Cash flows provided by in investing activities were $865 for the combined twelve months ended December 31, 2024, as compared to cash flows used in investing activities of $4,667 for the year ended December 31, 2023, an increase of $5,532 or 118.5%. The increase is primarily related cash withdrawn from the trust as a result of the Business Combination offset by to loans to an equity method investee and acquisitions of property, plant and equipment.</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140"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Cash flows provided by financing activities were $71,907 for the year ended December 31, 2024, as compared to $19,174 for the year ended December 31, 2023, an increase of $52,733 or 275.0%. The increase is primarily related to proceeds from issuance of equity and debt financing, partially offset by increased repayment of debt.</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Indebtedness</w:t>
      </w:r>
    </w:p>
    <w:p>
      <w:pPr>
        <w:spacing w:after="0" w:line="140"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Refer to Note 5. Borrowings to our consolidated financial statements for the years ended December 31, 2024 and 2023 included in the consolidated financial statements included elsewhere in this prospectus for a discussion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Contractual Obligations</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presents a summary of our contractual obligations, including payments due by period, as of</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December 31, 2024:</w:t>
      </w:r>
    </w:p>
    <w:p>
      <w:pPr>
        <w:spacing w:after="0" w:line="186"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262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2026</w:t>
            </w:r>
          </w:p>
        </w:tc>
        <w:tc>
          <w:tcPr>
            <w:tcW w:w="40" w:type="dxa"/>
            <w:vAlign w:val="bottom"/>
          </w:tcPr>
          <w:p>
            <w:pPr>
              <w:spacing w:after="0"/>
              <w:rPr>
                <w:sz w:val="13"/>
                <w:szCs w:val="13"/>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2027</w:t>
            </w:r>
          </w:p>
        </w:tc>
        <w:tc>
          <w:tcPr>
            <w:tcW w:w="40" w:type="dxa"/>
            <w:vAlign w:val="bottom"/>
          </w:tcPr>
          <w:p>
            <w:pPr>
              <w:spacing w:after="0"/>
              <w:rPr>
                <w:sz w:val="13"/>
                <w:szCs w:val="13"/>
                <w:color w:val="auto"/>
              </w:rPr>
            </w:pP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2028</w:t>
            </w:r>
          </w:p>
        </w:tc>
        <w:tc>
          <w:tcPr>
            <w:tcW w:w="4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9"/>
        </w:trPr>
        <w:tc>
          <w:tcPr>
            <w:tcW w:w="2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Operatinglease</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98"/>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Debt obligations </w:t>
            </w:r>
            <w:r>
              <w:rPr>
                <w:rFonts w:ascii="Times New Roman" w:cs="Times New Roman" w:eastAsia="Times New Roman" w:hAnsi="Times New Roman"/>
                <w:sz w:val="14"/>
                <w:szCs w:val="14"/>
                <w:color w:val="B4B4B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34,725</w:t>
            </w:r>
          </w:p>
        </w:tc>
      </w:tr>
      <w:tr>
        <w:trPr>
          <w:trHeight w:val="193"/>
        </w:trPr>
        <w:tc>
          <w:tcPr>
            <w:tcW w:w="2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Going Concern</w:t>
      </w:r>
    </w:p>
    <w:p>
      <w:pPr>
        <w:spacing w:after="0" w:line="140"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 cost structure. In connection with our assessment of going concern considerations in accordance with Financial Accounting Standard Board’s Accounting Standards Update 2014-15, “</w:t>
      </w:r>
      <w:r>
        <w:rPr>
          <w:rFonts w:ascii="Times New Roman" w:cs="Times New Roman" w:eastAsia="Times New Roman" w:hAnsi="Times New Roman"/>
          <w:sz w:val="14"/>
          <w:szCs w:val="14"/>
          <w:i w:val="1"/>
          <w:iCs w:val="1"/>
          <w:color w:val="auto"/>
        </w:rPr>
        <w:t>Disclosures of Uncertainties about 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Entity’s Ability to Continue as a Going Concern </w:t>
      </w:r>
      <w:r>
        <w:rPr>
          <w:rFonts w:ascii="Times New Roman" w:cs="Times New Roman" w:eastAsia="Times New Roman" w:hAnsi="Times New Roman"/>
          <w:sz w:val="14"/>
          <w:szCs w:val="14"/>
          <w:color w:val="auto"/>
        </w:rPr>
        <w:t>,” management has determined that these conditions raise substantial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doubt about our ability to continue as a going concern within one year after the date of the consolidated financial statements included elsewhere in this prospectus. If we are unable to realize our assets, obtain adequate capital from the SEPA or otherwise generate sufficient revenues to support our cost structure within the normal operating cycle of a twelve (12) month period, we may have to consider supplementing our available sources of funds through the following sources:</w:t>
      </w:r>
    </w:p>
    <w:p>
      <w:pPr>
        <w:spacing w:after="0" w:line="280" w:lineRule="exact"/>
        <w:rPr>
          <w:sz w:val="20"/>
          <w:szCs w:val="20"/>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available sources of financing from banks and other financial institutions;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financing; or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support from our related parties and shareholders.</w:t>
      </w:r>
    </w:p>
    <w:p>
      <w:pPr>
        <w:spacing w:after="0" w:line="140"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Risks Related to Innventure’s Business</w:t>
      </w:r>
      <w:r>
        <w:rPr>
          <w:rFonts w:ascii="Times New Roman" w:cs="Times New Roman" w:eastAsia="Times New Roman" w:hAnsi="Times New Roman"/>
          <w:sz w:val="14"/>
          <w:szCs w:val="14"/>
          <w:color w:val="auto"/>
        </w:rPr>
        <w:t xml:space="preserve"> – There is uncertainty regarding Innventure’s ability to maintain liquidity sufficient to operate its business effectively, which raises substantial doubt about its ability to continue as a going concern.”</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consolidated financial statements have been prepared assuming that we will continue as a going concern</w:t>
      </w:r>
    </w:p>
    <w:p>
      <w:pPr>
        <w:sectPr>
          <w:pgSz w:w="11900" w:h="16838" w:orient="portrait"/>
          <w:cols w:equalWidth="0" w:num="1">
            <w:col w:w="9019"/>
          </w:cols>
          <w:pgMar w:left="1440" w:top="88" w:right="1440" w:bottom="0" w:gutter="0" w:footer="0" w:header="0"/>
        </w:sectPr>
      </w:pPr>
    </w:p>
    <w:bookmarkStart w:id="33" w:name="page34"/>
    <w:bookmarkEnd w:id="33"/>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and, accordingly, do not include any adjustments that might result from the outcome of this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142"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Refer to Note 2. Accounting Policies to our consolidated financial statements for the years ended December 31, 2024 and 2023 included elsewhere in this prospectus for a discussion of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2"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that we acquire or license from technology innovators. These technology innovators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in late 2015 (technology initially sourced from P&amp;G), AeroFlexx in 2018 (technology sourced from P&amp;G), and Accelsius in 2022 (technology initially sourced from the Nokia), and Refinity in 2024 (technology initially sourced from the VTT; collaboration agreement with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07"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w:t>
      </w:r>
    </w:p>
    <w:p>
      <w:pPr>
        <w:spacing w:after="0" w:line="10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We use our systematic, repeatable DownSelect (as defined below)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analytics to assess each opportunity and seeks opportunities for the MNC to help accelerate early market adoption by becoming early customers or offering channel access.</w:t>
      </w:r>
    </w:p>
    <w:p>
      <w:pPr>
        <w:spacing w:after="0" w:line="103"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DownSelect process consists of four separate phases, with successive phases building on work done in the previous phases and deepening the level of analyses done as opportunities progress through the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935"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right="1419" w:firstLine="258"/>
        <w:spacing w:after="0" w:line="295" w:lineRule="auto"/>
        <w:rPr>
          <w:sz w:val="20"/>
          <w:szCs w:val="20"/>
          <w:color w:val="auto"/>
        </w:rPr>
      </w:pPr>
      <w:r>
        <w:rPr>
          <w:rFonts w:ascii="Times New Roman" w:cs="Times New Roman" w:eastAsia="Times New Roman" w:hAnsi="Times New Roman"/>
          <w:sz w:val="14"/>
          <w:szCs w:val="14"/>
          <w:i w:val="1"/>
          <w:iCs w:val="1"/>
          <w:color w:val="auto"/>
        </w:rPr>
        <w:t>Phase 1 – Opportunity Screen</w:t>
      </w:r>
      <w:r>
        <w:rPr>
          <w:rFonts w:ascii="Times New Roman" w:cs="Times New Roman" w:eastAsia="Times New Roman" w:hAnsi="Times New Roman"/>
          <w:sz w:val="14"/>
          <w:szCs w:val="14"/>
          <w:color w:val="auto"/>
        </w:rPr>
        <w:t>: Innventure’s team screens opportunities that are reflective of the four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dimensions of the DownSelect Process; (1) technology developed by an MNC or other technology innovator, (2)</w:t>
      </w:r>
    </w:p>
    <w:p>
      <w:pPr>
        <w:sectPr>
          <w:pgSz w:w="11900" w:h="16935" w:orient="portrait"/>
          <w:cols w:equalWidth="0" w:num="1">
            <w:col w:w="9019"/>
          </w:cols>
          <w:pgMar w:left="1440" w:top="94" w:right="1440" w:bottom="0" w:gutter="0" w:footer="0" w:header="0"/>
          <w:type w:val="continuous"/>
        </w:sectPr>
      </w:pPr>
    </w:p>
    <w:bookmarkStart w:id="34" w:name="page35"/>
    <w:bookmarkEnd w:id="34"/>
    <w:p>
      <w:pPr>
        <w:spacing w:after="0" w:line="47" w:lineRule="exact"/>
        <w:rPr>
          <w:sz w:val="20"/>
          <w:szCs w:val="20"/>
          <w:color w:val="auto"/>
        </w:rPr>
      </w:pPr>
    </w:p>
    <w:p>
      <w:pPr>
        <w:ind w:left="1160" w:right="1459"/>
        <w:spacing w:after="0" w:line="293" w:lineRule="auto"/>
        <w:rPr>
          <w:sz w:val="20"/>
          <w:szCs w:val="20"/>
          <w:color w:val="auto"/>
        </w:rPr>
      </w:pPr>
      <w:r>
        <w:rPr>
          <w:rFonts w:ascii="Times New Roman" w:cs="Times New Roman" w:eastAsia="Times New Roman" w:hAnsi="Times New Roman"/>
          <w:sz w:val="14"/>
          <w:szCs w:val="14"/>
          <w:color w:val="auto"/>
        </w:rPr>
        <w:t>significant market need, (3) transformative solution and (4) strategic execution. We analyze high level business, financial, and technology issues to determine if the opportunity meets our key success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-232410</wp:posOffset>
            </wp:positionV>
            <wp:extent cx="716026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58" w:lineRule="exact"/>
        <w:rPr>
          <w:sz w:val="20"/>
          <w:szCs w:val="20"/>
          <w:color w:val="auto"/>
        </w:rPr>
      </w:pPr>
    </w:p>
    <w:p>
      <w:pPr>
        <w:ind w:left="1160" w:right="129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Phase 2 – Critical Factor Assessment</w:t>
      </w:r>
      <w:r>
        <w:rPr>
          <w:rFonts w:ascii="Times New Roman" w:cs="Times New Roman" w:eastAsia="Times New Roman" w:hAnsi="Times New Roman"/>
          <w:sz w:val="14"/>
          <w:szCs w:val="14"/>
          <w:color w:val="auto"/>
        </w:rPr>
        <w:t>: We identify, assess, and prioritize an opportunity’s critical success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risk factors and develop a plan (to be 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spacing w:after="0" w:line="96"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Phase 3 – Comprehensive Quantification</w:t>
      </w:r>
      <w:r>
        <w:rPr>
          <w:rFonts w:ascii="Times New Roman" w:cs="Times New Roman" w:eastAsia="Times New Roman" w:hAnsi="Times New Roman"/>
          <w:sz w:val="14"/>
          <w:szCs w:val="14"/>
          <w:color w:val="auto"/>
        </w:rPr>
        <w:t>: The Innventure team conducts a comprehensive review across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DownSelect dimensions. A core focus is on quantitative analysis and strategy of the 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w:t>
      </w:r>
    </w:p>
    <w:p>
      <w:pPr>
        <w:spacing w:after="0" w:line="105"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For an opportunity that successfully passes through Phase 3, the DownSelect team, in collaboration with Innventure senior leadership, recommends to the Board that the opportunity move to Phase 4 and proceed to create a new Innventure Company.</w:t>
      </w:r>
    </w:p>
    <w:p>
      <w:pPr>
        <w:spacing w:after="0" w:line="91" w:lineRule="exact"/>
        <w:rPr>
          <w:sz w:val="20"/>
          <w:szCs w:val="20"/>
          <w:color w:val="auto"/>
        </w:rPr>
      </w:pPr>
    </w:p>
    <w:p>
      <w:pPr>
        <w:ind w:left="1160" w:right="127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Phase 4 – Strategy &amp; Formation</w:t>
      </w:r>
      <w:r>
        <w:rPr>
          <w:rFonts w:ascii="Times New Roman" w:cs="Times New Roman" w:eastAsia="Times New Roman" w:hAnsi="Times New Roman"/>
          <w:sz w:val="14"/>
          <w:szCs w:val="14"/>
          <w:color w:val="auto"/>
        </w:rPr>
        <w:t>: We set the initial strategy, including go-to-market strategies and initial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plan, for the Innventure Company, secure control of the technology via licensing or ownership, and create the new company.</w:t>
      </w:r>
    </w:p>
    <w:p>
      <w:pPr>
        <w:spacing w:after="0" w:line="93"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majority (or sole) ownership.</w:t>
      </w:r>
    </w:p>
    <w:p>
      <w:pPr>
        <w:spacing w:after="0" w:line="106"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01"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Historically, and prior to the Business Combination, the Innventure model targeted exits for our new companies at 5-7 years after inception through a sale, initial public offering or merger, including a merger with a special purpose acquisition company. In 2024, we determined that this approach could result in exiting companies prior to creating their maximum shareholder value.</w:t>
      </w:r>
    </w:p>
    <w:p>
      <w:pPr>
        <w:spacing w:after="0" w:line="97"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As we continue to advance the Innventure model, we have moved to an approach designed to allow us to build and hold companies, with goals of generating positive cash flows of one or more majority-owned new Innventure companies and maximizing value for investors and other stakeholders. As part of our recently adopted “Disruptive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160" w:right="1219"/>
        <w:spacing w:after="0" w:line="263" w:lineRule="auto"/>
        <w:rPr>
          <w:sz w:val="20"/>
          <w:szCs w:val="20"/>
          <w:color w:val="auto"/>
        </w:rPr>
      </w:pPr>
      <w:r>
        <w:rPr>
          <w:rFonts w:ascii="Times New Roman" w:cs="Times New Roman" w:eastAsia="Times New Roman" w:hAnsi="Times New Roman"/>
          <w:sz w:val="14"/>
          <w:szCs w:val="14"/>
          <w:color w:val="auto"/>
        </w:rPr>
        <w:t>Conglomerate Model,” Innventure intends to retain majority (or sole) ownership. We believe that holding majority stakes in companies allows those companies to mature further and gives us the opportunity to derive greater value from those companies as we operate them over the long term. We are currently deploying this model for Accelsius and Refinity. While an opportunistic sale or other disposition of one or more of our majority-held companies could occur in the future, exit transactions are not expected to be a factor in the business plans for Accelsius or Refinity or for future Operating Companies.</w:t>
      </w:r>
    </w:p>
    <w:p>
      <w:pPr>
        <w:spacing w:after="0" w:line="101" w:lineRule="exact"/>
        <w:rPr>
          <w:sz w:val="20"/>
          <w:szCs w:val="20"/>
          <w:color w:val="auto"/>
        </w:rPr>
      </w:pPr>
    </w:p>
    <w:p>
      <w:pPr>
        <w:jc w:val="both"/>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Innventure was founded in 2015 and currently operates its business under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prospectus and should not be considered a part of this prospectus.</w:t>
      </w:r>
    </w:p>
    <w:p>
      <w:pPr>
        <w:spacing w:after="0" w:line="99"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are led by Gregory W. (Bill) Haskell, our CEO, who also serves as a Class I Director; David Yablunosky, our Chief Financial Officer (“CFO”), who also serves as a Class II Director; our Founders, Mike Otworth, who also serves as our Executive Chairman, and Dr. John Scott, who also serves as our Chief Strategy Officer; and Roland Austrup, our Chief Growth Officer; and a strong team of senior leaders that bring experience and expertise in scaling start-ups, capital markets, operations, marketing, and technology evaluation.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Corporate Structure</w:t>
      </w:r>
    </w:p>
    <w:p>
      <w:pPr>
        <w:spacing w:after="0" w:line="142"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As of March 7, 2025, Innventure LLC owns 37.9% of AeroFlexx, and the remainder of AeroFlexx is collectively owned by Innventure and AeroFlexx directors, officers and employees (9.0%); Innventus ESG Fund I, L.P. (the “ESG Fund”) (34.7%); and investors external to Innventure and AeroFlexx (18.4%). Further, as of March 7, 2025, Innventure LLC owns 52.7% of Accelsius, and the remainder of Accelsius is collectively owned by Innventure and Accelsius directors, officers, and employees (25.5%), the ESG Fund (4.1%), and investors external to Innventure and Accelsius (17.7%). As of March 7, 2025, Innventure LLC owns 71.8% of Refinity Holdings, LLC (“Refinity Holdings”), an affiliate of Dow is expected to own 5.0%, and the remainder of Refinity Holdings is collectively owned by Innventure and Refinity Holdings directors, officers, and employees (28.2%). Refinity Holdings owns 100% of Refinity. Innventure, through Innventure LLC as its subsidiary, owns 37.9%, 52.7% and 71.8% of AeroFlexx, Accelsius and Refinity Holdings, respectively.</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Following the Business Combination, the Class PCTA Units and Class I Units (as defined below) remain</w:t>
      </w:r>
    </w:p>
    <w:p>
      <w:pPr>
        <w:sectPr>
          <w:pgSz w:w="11900" w:h="16885" w:orient="portrait"/>
          <w:cols w:equalWidth="0" w:num="1">
            <w:col w:w="9019"/>
          </w:cols>
          <w:pgMar w:left="1440" w:top="114" w:right="1440" w:bottom="0" w:gutter="0" w:footer="0" w:header="0"/>
        </w:sectPr>
      </w:pPr>
    </w:p>
    <w:bookmarkStart w:id="35" w:name="page36"/>
    <w:bookmarkEnd w:id="35"/>
    <w:p>
      <w:pPr>
        <w:jc w:val="both"/>
        <w:ind w:left="1160" w:right="1399"/>
        <w:spacing w:after="0" w:line="292" w:lineRule="auto"/>
        <w:rPr>
          <w:sz w:val="20"/>
          <w:szCs w:val="20"/>
          <w:color w:val="auto"/>
        </w:rPr>
      </w:pPr>
      <w:r>
        <w:rPr>
          <w:rFonts w:ascii="Times New Roman" w:cs="Times New Roman" w:eastAsia="Times New Roman" w:hAnsi="Times New Roman"/>
          <w:sz w:val="14"/>
          <w:szCs w:val="14"/>
          <w:color w:val="auto"/>
        </w:rPr>
        <w:t>outstanding and their holders retain the limited voting rights attendant thereto with respect to matters concerning Class PCTA and Class I business. Innventure otherwise owns all of the membership interests in Innventure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-238760</wp:posOffset>
            </wp:positionV>
            <wp:extent cx="716026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1"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Following the Business Combination, the ESG Fund owns 32.5% of AeroFlexx and 4.3% of Accelsius.</w:t>
      </w:r>
    </w:p>
    <w:p>
      <w:pPr>
        <w:spacing w:after="0" w:line="99" w:lineRule="exact"/>
        <w:rPr>
          <w:sz w:val="20"/>
          <w:szCs w:val="20"/>
          <w:color w:val="auto"/>
        </w:rPr>
      </w:pPr>
    </w:p>
    <w:p>
      <w:pPr>
        <w:ind w:left="1160" w:right="1279" w:firstLine="258"/>
        <w:spacing w:after="0" w:line="261" w:lineRule="auto"/>
        <w:rPr>
          <w:sz w:val="20"/>
          <w:szCs w:val="20"/>
          <w:color w:val="auto"/>
        </w:rPr>
      </w:pPr>
      <w:r>
        <w:rPr>
          <w:rFonts w:ascii="Times New Roman" w:cs="Times New Roman" w:eastAsia="Times New Roman" w:hAnsi="Times New Roman"/>
          <w:sz w:val="14"/>
          <w:szCs w:val="14"/>
          <w:color w:val="auto"/>
        </w:rPr>
        <w:t>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42"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In 2022 alone, the top 100 companies by R&amp;D expenditure spent over $700 billion on R&amp;D. Many patents fail to be commercialized for various reasons, including misalignment with core business strategies, lack of commercialization resources, and poor timing in the market. While MNCs excel at developing well-protected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technologies for their existing businesses, we believe that many MNCs invent additional technologies with significant potential value that may best be realized by a different approach. Our goal is to collaborate with MNCs to 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Closed Loop Partnership Model</w:t>
      </w:r>
    </w:p>
    <w:p>
      <w:pPr>
        <w:spacing w:after="0" w:line="142"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color w:val="auto"/>
        </w:rPr>
        <w:t>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operating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MNC or technology innovator.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MNC itself is an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that will serve as a channel partner that can enable market adoption of the technology that Innventure seeks to commercialize.</w:t>
      </w:r>
    </w:p>
    <w:p>
      <w:pPr>
        <w:spacing w:after="0" w:line="1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Potential Benefits to Innventure</w:t>
      </w:r>
    </w:p>
    <w:p>
      <w:pPr>
        <w:spacing w:after="0" w:line="142"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For Innventure, the Closed Loop partnership model seeks to provide access to disruptive, developed technology solutions from MNCs and other technology innovators that satisfy well-understood and unmet market needs along with the proprietary market and customer data to help Innventure advance the development and commercialization approach. Some of the potential benefits to Innventure include the following:</w:t>
      </w:r>
    </w:p>
    <w:p>
      <w:pPr>
        <w:spacing w:after="0" w:line="95" w:lineRule="exact"/>
        <w:rPr>
          <w:sz w:val="20"/>
          <w:szCs w:val="20"/>
          <w:color w:val="auto"/>
        </w:rPr>
      </w:pPr>
    </w:p>
    <w:p>
      <w:pPr>
        <w:ind w:left="1660" w:right="1239" w:hanging="249"/>
        <w:spacing w:after="0" w:line="269"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Access Advantage</w:t>
      </w:r>
      <w:r>
        <w:rPr>
          <w:rFonts w:ascii="Times New Roman" w:cs="Times New Roman" w:eastAsia="Times New Roman" w:hAnsi="Times New Roman"/>
          <w:sz w:val="14"/>
          <w:szCs w:val="14"/>
          <w:color w:val="auto"/>
        </w:rPr>
        <w:t>: The relationship with an MNC provides unique access to MNC technologies and/or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needed to help Innventure evaluate a disruptive technology solution in the context of specific unmet market needs. Using both data from the MNC and its own evaluations, Innventure determines if the opportunity should progress to a new Innventure Company.</w:t>
      </w:r>
    </w:p>
    <w:p>
      <w:pPr>
        <w:spacing w:after="0" w:line="94" w:lineRule="exact"/>
        <w:rPr>
          <w:rFonts w:ascii="Times New Roman" w:cs="Times New Roman" w:eastAsia="Times New Roman" w:hAnsi="Times New Roman"/>
          <w:sz w:val="14"/>
          <w:szCs w:val="14"/>
          <w:color w:val="auto"/>
        </w:rPr>
      </w:pPr>
    </w:p>
    <w:p>
      <w:pPr>
        <w:ind w:left="1660" w:right="1179" w:hanging="249"/>
        <w:spacing w:after="0" w:line="262"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Developed Technology Solutions</w:t>
      </w:r>
      <w:r>
        <w:rPr>
          <w:rFonts w:ascii="Times New Roman" w:cs="Times New Roman" w:eastAsia="Times New Roman" w:hAnsi="Times New Roman"/>
          <w:sz w:val="14"/>
          <w:szCs w:val="14"/>
          <w:color w:val="auto"/>
        </w:rPr>
        <w:t>: MNCs invest significant time, money, and technical expertise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developing and protecting innovative technology solutions that satisfy unmet market needs for them and their customers. This all occurs well before Innventure acquires the technology solution. A new Innventure Company that sources the technology solution from an MNC—including IP such as patents and trade secrets, product prototypes, manufacturing equipment, and other assets—has access to the MNC’s technical expertise for transfer and early industrialization of the technology, all of which helps reduce commercialization time, save money, and mitigate common risks inherent to start-ups.</w:t>
      </w:r>
    </w:p>
    <w:p>
      <w:pPr>
        <w:spacing w:after="0" w:line="101" w:lineRule="exact"/>
        <w:rPr>
          <w:rFonts w:ascii="Times New Roman" w:cs="Times New Roman" w:eastAsia="Times New Roman" w:hAnsi="Times New Roman"/>
          <w:sz w:val="14"/>
          <w:szCs w:val="14"/>
          <w:color w:val="auto"/>
        </w:rPr>
      </w:pPr>
    </w:p>
    <w:p>
      <w:pPr>
        <w:ind w:left="1660" w:right="1219" w:hanging="249"/>
        <w:spacing w:after="0" w:line="269"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Institutional Data Set</w:t>
      </w:r>
      <w:r>
        <w:rPr>
          <w:rFonts w:ascii="Times New Roman" w:cs="Times New Roman" w:eastAsia="Times New Roman" w:hAnsi="Times New Roman"/>
          <w:sz w:val="14"/>
          <w:szCs w:val="14"/>
          <w:color w:val="auto"/>
        </w:rPr>
        <w:t>: MNCs also spend significant time and money developing deep, proprietary 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knowledge, which is very difficult for a typical new venture to replicate. MNCs are in a position to provide Innventure with highly robust data, including market insights and customer testing, to understand unmet market needs and to assess the technology solution and potential business models.</w:t>
      </w:r>
    </w:p>
    <w:p>
      <w:pPr>
        <w:spacing w:after="0" w:line="94" w:lineRule="exact"/>
        <w:rPr>
          <w:rFonts w:ascii="Times New Roman" w:cs="Times New Roman" w:eastAsia="Times New Roman" w:hAnsi="Times New Roman"/>
          <w:sz w:val="14"/>
          <w:szCs w:val="14"/>
          <w:color w:val="auto"/>
        </w:rPr>
      </w:pPr>
    </w:p>
    <w:p>
      <w:pPr>
        <w:ind w:left="1660" w:right="1259" w:hanging="249"/>
        <w:spacing w:after="0" w:line="269" w:lineRule="auto"/>
        <w:tabs>
          <w:tab w:leader="none" w:pos="1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Early Customer Adoption</w:t>
      </w:r>
      <w:r>
        <w:rPr>
          <w:rFonts w:ascii="Times New Roman" w:cs="Times New Roman" w:eastAsia="Times New Roman" w:hAnsi="Times New Roman"/>
          <w:sz w:val="14"/>
          <w:szCs w:val="14"/>
          <w:color w:val="auto"/>
        </w:rPr>
        <w:t>: We believe MNCs with which we collaborate will be motivated to catalyze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adoption of a technology solution by becoming early customers and/or providing channel access to facilitate the initial customer base to drive financial and strategic value. When Innventure sources technology from an entity that is not expected to be a channel partner, it seeks to establish a relationship</w:t>
      </w:r>
    </w:p>
    <w:p>
      <w:pPr>
        <w:sectPr>
          <w:pgSz w:w="11900" w:h="16838" w:orient="portrait"/>
          <w:cols w:equalWidth="0" w:num="1">
            <w:col w:w="9019"/>
          </w:cols>
          <w:pgMar w:left="1440" w:top="125" w:right="1440" w:bottom="373"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125" w:right="1440" w:bottom="373" w:gutter="0" w:footer="0" w:header="0"/>
          <w:type w:val="continuous"/>
        </w:sectPr>
      </w:pPr>
    </w:p>
    <w:bookmarkStart w:id="36" w:name="page37"/>
    <w:bookmarkEnd w:id="36"/>
    <w:p>
      <w:pPr>
        <w:ind w:left="1660" w:right="12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Business Model Today</w:t>
      </w:r>
    </w:p>
    <w:p>
      <w:pPr>
        <w:spacing w:after="0" w:line="142"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Innventure’s business model is the culmination of lessons learned over the past three decades. In 1993, when the first version of what is now Innventure was created, we studied both failed and successful startups to understand how to identify and manage risks to achieve a higher success rate for early-stage companies. We believe we have built a repeatable, systematic, risk managed approach to business building that is substantially different from traditional VC models. Innventure is not a venture capital company. VCs typically make many minority investments, assuming that only a small percentage will succeed and do not operate the underlying companies. In contrast to this approach, Innventure maintains controlling stakes in a limited number of operating companies that we vet, launch, build, fund and operate, with the goal of operating these companies over a long-term period. The Innventure model is designed to help mitigate the significant risks inherent to establishing and building disruptive businesses.</w:t>
      </w:r>
    </w:p>
    <w:p>
      <w:pPr>
        <w:spacing w:after="0" w:line="106" w:lineRule="exact"/>
        <w:rPr>
          <w:sz w:val="20"/>
          <w:szCs w:val="20"/>
          <w:color w:val="auto"/>
        </w:rPr>
      </w:pPr>
    </w:p>
    <w:p>
      <w:pPr>
        <w:ind w:left="1160" w:right="1359" w:firstLine="258"/>
        <w:spacing w:after="0" w:line="263" w:lineRule="auto"/>
        <w:rPr>
          <w:sz w:val="20"/>
          <w:szCs w:val="20"/>
          <w:color w:val="auto"/>
        </w:rPr>
      </w:pPr>
      <w:r>
        <w:rPr>
          <w:rFonts w:ascii="Times New Roman" w:cs="Times New Roman" w:eastAsia="Times New Roman" w:hAnsi="Times New Roman"/>
          <w:sz w:val="14"/>
          <w:szCs w:val="14"/>
          <w:color w:val="auto"/>
        </w:rPr>
        <w:t>Using our proprietary DownSelect approach, we focus on assessing and mitigating risk well before the new Innventure Company is formed. When we do launch, we believe new Operating Companies are more mature than typical startups, due to the extensive investment by the MNC or other technology innovators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pacing w:after="0" w:line="142"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01"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Sustainability as a Value Driver</w:t>
      </w:r>
    </w:p>
    <w:p>
      <w:pPr>
        <w:spacing w:after="0" w:line="142"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Innventure Companies not only have the potential to create economic value but have also progressed products that have potential for significant positive impact on the environment.</w:t>
      </w:r>
    </w:p>
    <w:p>
      <w:pPr>
        <w:spacing w:after="0" w:line="104" w:lineRule="exact"/>
        <w:rPr>
          <w:sz w:val="20"/>
          <w:szCs w:val="20"/>
          <w:color w:val="auto"/>
        </w:rPr>
      </w:pPr>
    </w:p>
    <w:p>
      <w:pPr>
        <w:ind w:left="1660" w:right="1459" w:hanging="249"/>
        <w:spacing w:after="0" w:line="269" w:lineRule="auto"/>
        <w:tabs>
          <w:tab w:leader="none" w:pos="1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PureCycle</w:t>
      </w:r>
      <w:r>
        <w:rPr>
          <w:rFonts w:ascii="Times New Roman" w:cs="Times New Roman" w:eastAsia="Times New Roman" w:hAnsi="Times New Roman"/>
          <w:sz w:val="14"/>
          <w:szCs w:val="14"/>
          <w:color w:val="auto"/>
        </w:rPr>
        <w:t>: Purifies and recycles post-industrial and post-consumer polypropylene waste back to a like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virgin grade polymer, usable across a broad range of applications and markets. PureCycle became a publicly traded company in 2021 and, as of the date of this prospectus, Innventure no longer has an economic interest in PureCycle.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60" w:right="1159" w:hanging="249"/>
        <w:spacing w:after="0" w:line="264"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AeroFlexx</w:t>
      </w:r>
      <w:r>
        <w:rPr>
          <w:rFonts w:ascii="Times New Roman" w:cs="Times New Roman" w:eastAsia="Times New Roman" w:hAnsi="Times New Roman"/>
          <w:sz w:val="14"/>
          <w:szCs w:val="14"/>
          <w:color w:val="auto"/>
        </w:rPr>
        <w:t>: Combines the best attributes of flexible pouches and rigid bottles to provide consumer packaged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goods (“CPG”) companies with a novel, curbside recyclable primarily liquid package that uses up to 85% less virgin plastic than standard rigid bottles, significantly simplifies packaging supply 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mid-2025.</w:t>
      </w:r>
    </w:p>
    <w:p>
      <w:pPr>
        <w:spacing w:after="0" w:line="97" w:lineRule="exact"/>
        <w:rPr>
          <w:rFonts w:ascii="Times New Roman" w:cs="Times New Roman" w:eastAsia="Times New Roman" w:hAnsi="Times New Roman"/>
          <w:sz w:val="14"/>
          <w:szCs w:val="14"/>
          <w:color w:val="auto"/>
        </w:rPr>
      </w:pPr>
    </w:p>
    <w:p>
      <w:pPr>
        <w:ind w:left="1660" w:right="1219" w:hanging="249"/>
        <w:spacing w:after="0" w:line="262"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Accelsius</w:t>
      </w:r>
      <w:r>
        <w:rPr>
          <w:rFonts w:ascii="Times New Roman" w:cs="Times New Roman" w:eastAsia="Times New Roman" w:hAnsi="Times New Roman"/>
          <w:sz w:val="14"/>
          <w:szCs w:val="14"/>
          <w:color w:val="auto"/>
        </w:rPr>
        <w:t>: Delivers a transformative industry solution to thermal management to central processing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(“CPUs”) and graphics processing units (“GPUs”) in datacenter and telecommunications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delivered customer proof-of-concept pilots in Q2 2024.</w:t>
      </w:r>
    </w:p>
    <w:p>
      <w:pPr>
        <w:spacing w:after="0" w:line="101" w:lineRule="exact"/>
        <w:rPr>
          <w:rFonts w:ascii="Times New Roman" w:cs="Times New Roman" w:eastAsia="Times New Roman" w:hAnsi="Times New Roman"/>
          <w:sz w:val="14"/>
          <w:szCs w:val="14"/>
          <w:color w:val="auto"/>
        </w:rPr>
      </w:pPr>
    </w:p>
    <w:p>
      <w:pPr>
        <w:ind w:left="1660" w:right="1279" w:hanging="249"/>
        <w:spacing w:after="0" w:line="295" w:lineRule="auto"/>
        <w:tabs>
          <w:tab w:leader="none" w:pos="1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Refinity</w:t>
      </w:r>
      <w:r>
        <w:rPr>
          <w:rFonts w:ascii="Times New Roman" w:cs="Times New Roman" w:eastAsia="Times New Roman" w:hAnsi="Times New Roman"/>
          <w:sz w:val="14"/>
          <w:szCs w:val="14"/>
          <w:color w:val="auto"/>
        </w:rPr>
        <w:t>: Intends to commercialize process technologies for converting low cost, abundant plastic waste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drop-in chemicals directly useful in and consumable by the existing petrochemical supply chain.</w:t>
      </w:r>
    </w:p>
    <w:p>
      <w:pPr>
        <w:spacing w:after="0" w:line="79"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Innventure is committed to long-term sustainability and making the planet a better place to live for all, while simultaneously creating significant enterprise value for our shareholders.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2" w:lineRule="exact"/>
        <w:rPr>
          <w:sz w:val="20"/>
          <w:szCs w:val="20"/>
          <w:color w:val="auto"/>
        </w:rPr>
      </w:pPr>
    </w:p>
    <w:p>
      <w:pPr>
        <w:ind w:left="1160" w:right="1279" w:firstLine="258"/>
        <w:spacing w:after="0" w:line="292" w:lineRule="auto"/>
        <w:rPr>
          <w:sz w:val="20"/>
          <w:szCs w:val="20"/>
          <w:color w:val="auto"/>
        </w:rPr>
      </w:pPr>
      <w:r>
        <w:rPr>
          <w:rFonts w:ascii="Times New Roman" w:cs="Times New Roman" w:eastAsia="Times New Roman" w:hAnsi="Times New Roman"/>
          <w:sz w:val="14"/>
          <w:szCs w:val="14"/>
          <w:color w:val="auto"/>
        </w:rPr>
        <w:t>We view our competition through two frameworks: competition to acquire technologies from MNCs and other technology innovators and competition faced by our Operating Companies.</w:t>
      </w:r>
    </w:p>
    <w:p>
      <w:pPr>
        <w:sectPr>
          <w:pgSz w:w="11900" w:h="16838" w:orient="portrait"/>
          <w:cols w:equalWidth="0" w:num="1">
            <w:col w:w="9019"/>
          </w:cols>
          <w:pgMar w:left="1440" w:top="1038" w:right="1440" w:bottom="0" w:gutter="0" w:footer="0" w:header="0"/>
        </w:sectPr>
      </w:pPr>
    </w:p>
    <w:bookmarkStart w:id="37" w:name="page38"/>
    <w:bookmarkEnd w:id="37"/>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Other Technology Acquirers</w:t>
      </w:r>
    </w:p>
    <w:p>
      <w:pPr>
        <w:spacing w:after="0" w:line="144"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and other potential acquirer need to spend significant time and effort building an initial team and starting the business, then transferring and often further incubating technology, developing products, and defining business plans. We don’t believe any VCs and other potential acquirers have a business model that is as comprehensive, vertical agnostic and focused on creating new companies that can achieve a target enterprise value of at least $1 billion as Innventure.</w:t>
      </w:r>
    </w:p>
    <w:p>
      <w:pPr>
        <w:spacing w:after="0" w:line="106" w:lineRule="exact"/>
        <w:rPr>
          <w:sz w:val="20"/>
          <w:szCs w:val="20"/>
          <w:color w:val="auto"/>
        </w:rPr>
      </w:pPr>
    </w:p>
    <w:p>
      <w:pPr>
        <w:ind w:left="1160" w:right="1279" w:firstLine="258"/>
        <w:spacing w:after="0" w:line="260" w:lineRule="auto"/>
        <w:rPr>
          <w:sz w:val="20"/>
          <w:szCs w:val="20"/>
          <w:color w:val="auto"/>
        </w:rPr>
      </w:pPr>
      <w:r>
        <w:rPr>
          <w:rFonts w:ascii="Times New Roman" w:cs="Times New Roman" w:eastAsia="Times New Roman" w:hAnsi="Times New Roman"/>
          <w:sz w:val="14"/>
          <w:szCs w:val="14"/>
          <w:color w:val="auto"/>
        </w:rPr>
        <w:t>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Innventure Company Competition</w:t>
      </w:r>
    </w:p>
    <w:p>
      <w:pPr>
        <w:spacing w:after="0" w:line="144" w:lineRule="exact"/>
        <w:rPr>
          <w:sz w:val="20"/>
          <w:szCs w:val="20"/>
          <w:color w:val="auto"/>
        </w:rPr>
      </w:pPr>
    </w:p>
    <w:p>
      <w:pPr>
        <w:jc w:val="both"/>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Accelsius and Refinity are provided below in the business sections related to each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42"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has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w:t>
      </w:r>
    </w:p>
    <w:p>
      <w:pPr>
        <w:spacing w:after="0" w:line="283"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spacing w:after="0" w:line="99"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server rack power density and meet the rising demand for efficient cooling systems in datacenters and telecommunication systems.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Total Compensation and Rewards</w:t>
      </w:r>
    </w:p>
    <w:p>
      <w:pPr>
        <w:spacing w:after="0" w:line="144"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Workforce Culture</w:t>
      </w:r>
    </w:p>
    <w:p>
      <w:pPr>
        <w:spacing w:after="0" w:line="144"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We focus on building a workforce that is responsive to customer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42"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The aggregate number of employees employed by us and contractors engaged across Innventure, AeroFlexx, Accelsius and Refinity as of March 14, 2025 was 153.</w:t>
      </w:r>
    </w:p>
    <w:p>
      <w:pPr>
        <w:sectPr>
          <w:pgSz w:w="11900" w:h="16838" w:orient="portrait"/>
          <w:cols w:equalWidth="0" w:num="1">
            <w:col w:w="9019"/>
          </w:cols>
          <w:pgMar w:left="1440" w:top="142" w:right="1440" w:bottom="0" w:gutter="0" w:footer="0" w:header="0"/>
        </w:sectPr>
      </w:pPr>
    </w:p>
    <w:bookmarkStart w:id="38" w:name="page39"/>
    <w:bookmarkEnd w:id="38"/>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Accelsius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4" w:lineRule="exact"/>
        <w:rPr>
          <w:sz w:val="20"/>
          <w:szCs w:val="20"/>
          <w:color w:val="auto"/>
        </w:rPr>
      </w:pPr>
    </w:p>
    <w:p>
      <w:pPr>
        <w:ind w:left="1160" w:right="1359" w:firstLine="258"/>
        <w:spacing w:after="0" w:line="274" w:lineRule="auto"/>
        <w:rPr>
          <w:sz w:val="20"/>
          <w:szCs w:val="20"/>
          <w:color w:val="auto"/>
        </w:rPr>
      </w:pPr>
      <w:r>
        <w:rPr>
          <w:rFonts w:ascii="Times New Roman" w:cs="Times New Roman" w:eastAsia="Times New Roman" w:hAnsi="Times New Roman"/>
          <w:sz w:val="14"/>
          <w:szCs w:val="14"/>
          <w:color w:val="auto"/>
        </w:rPr>
        <w:t>Accelsius provides a direct-to-chip liquid cooling solution for servers (and other computing devices) in data centers and edge computing locations. Accelsius aims to exploit three powerful industry trends that it believes are converging:</w:t>
      </w:r>
    </w:p>
    <w:p>
      <w:pPr>
        <w:spacing w:after="0" w:line="93" w:lineRule="exact"/>
        <w:rPr>
          <w:sz w:val="20"/>
          <w:szCs w:val="20"/>
          <w:color w:val="auto"/>
        </w:rPr>
      </w:pPr>
    </w:p>
    <w:p>
      <w:pPr>
        <w:ind w:left="1660" w:right="1259" w:hanging="249"/>
        <w:spacing w:after="0" w:line="274"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exponential predicted increase in the thermal footprint, or thermal design power (“TDP”), of server and GPU chipsets which are now beginning to exceed the capability of the incumbent refrigerated-air cooling systems;</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and unpredictable global energy costs; and</w:t>
      </w:r>
    </w:p>
    <w:p>
      <w:pPr>
        <w:spacing w:after="0" w:line="139" w:lineRule="exact"/>
        <w:rPr>
          <w:rFonts w:ascii="Times New Roman" w:cs="Times New Roman" w:eastAsia="Times New Roman" w:hAnsi="Times New Roman"/>
          <w:sz w:val="14"/>
          <w:szCs w:val="14"/>
          <w:color w:val="auto"/>
        </w:rPr>
      </w:pPr>
    </w:p>
    <w:p>
      <w:pPr>
        <w:ind w:left="1660" w:right="1359" w:hanging="249"/>
        <w:spacing w:after="0" w:line="292" w:lineRule="auto"/>
        <w:tabs>
          <w:tab w:leader="none" w:pos="1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increased level of commitment to environmental sustainability, including from C-suites and corporate management teams.</w:t>
      </w:r>
    </w:p>
    <w:p>
      <w:pPr>
        <w:spacing w:after="0" w:line="81"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Reducing data center power usage is a significant opportunity to meet public ESG commitments, but the predicted increase in TDP of future servers will make this extremely challenging.</w:t>
      </w:r>
    </w:p>
    <w:p>
      <w:pPr>
        <w:spacing w:after="0" w:line="8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w:t>
      </w:r>
    </w:p>
    <w:p>
      <w:pPr>
        <w:spacing w:after="0" w:line="104"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w:t>
      </w:r>
    </w:p>
    <w:p>
      <w:pPr>
        <w:spacing w:after="0" w:line="97" w:lineRule="exact"/>
        <w:rPr>
          <w:sz w:val="20"/>
          <w:szCs w:val="20"/>
          <w:color w:val="auto"/>
        </w:rPr>
      </w:pPr>
    </w:p>
    <w:p>
      <w:pPr>
        <w:ind w:left="1660" w:right="1659" w:hanging="249"/>
        <w:spacing w:after="0" w:line="295" w:lineRule="auto"/>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Components</w:t>
      </w:r>
      <w:r>
        <w:rPr>
          <w:rFonts w:ascii="Times New Roman" w:cs="Times New Roman" w:eastAsia="Times New Roman" w:hAnsi="Times New Roman"/>
          <w:sz w:val="14"/>
          <w:szCs w:val="14"/>
          <w:color w:val="auto"/>
        </w:rPr>
        <w:t>: Increased software stack (including AI) require higher performance processors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heat dissipation.</w:t>
      </w:r>
    </w:p>
    <w:p>
      <w:pPr>
        <w:spacing w:after="0" w:line="76" w:lineRule="exact"/>
        <w:rPr>
          <w:rFonts w:ascii="Times New Roman" w:cs="Times New Roman" w:eastAsia="Times New Roman" w:hAnsi="Times New Roman"/>
          <w:sz w:val="14"/>
          <w:szCs w:val="14"/>
          <w:color w:val="auto"/>
        </w:rPr>
      </w:pPr>
    </w:p>
    <w:p>
      <w:pPr>
        <w:ind w:left="1660" w:right="1659" w:hanging="249"/>
        <w:spacing w:after="0" w:line="295" w:lineRule="auto"/>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Equipment</w:t>
      </w:r>
      <w:r>
        <w:rPr>
          <w:rFonts w:ascii="Times New Roman" w:cs="Times New Roman" w:eastAsia="Times New Roman" w:hAnsi="Times New Roman"/>
          <w:sz w:val="14"/>
          <w:szCs w:val="14"/>
          <w:color w:val="auto"/>
        </w:rPr>
        <w:t>: More powerful servers, routers, switches, cell tower base stations, and other computing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require improved system level cooling.</w:t>
      </w:r>
    </w:p>
    <w:p>
      <w:pPr>
        <w:spacing w:after="0" w:line="7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Systems</w:t>
      </w:r>
      <w:r>
        <w:rPr>
          <w:rFonts w:ascii="Times New Roman" w:cs="Times New Roman" w:eastAsia="Times New Roman" w:hAnsi="Times New Roman"/>
          <w:sz w:val="14"/>
          <w:szCs w:val="14"/>
          <w:color w:val="auto"/>
        </w:rPr>
        <w:t>: Denser racks of equipment are dissipating more heat per unit area.</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60" w:right="1239" w:hanging="249"/>
        <w:spacing w:after="0" w:line="295" w:lineRule="auto"/>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Facilities</w:t>
      </w:r>
      <w:r>
        <w:rPr>
          <w:rFonts w:ascii="Times New Roman" w:cs="Times New Roman" w:eastAsia="Times New Roman" w:hAnsi="Times New Roman"/>
          <w:sz w:val="14"/>
          <w:szCs w:val="14"/>
          <w:color w:val="auto"/>
        </w:rPr>
        <w:t>: Heat management capacity of data center and telecom facilities are pushing the limits of current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air cooling technologies.</w:t>
      </w:r>
    </w:p>
    <w:p>
      <w:pPr>
        <w:spacing w:after="0" w:line="76"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Growth</w:t>
      </w:r>
      <w:r>
        <w:rPr>
          <w:rFonts w:ascii="Times New Roman" w:cs="Times New Roman" w:eastAsia="Times New Roman" w:hAnsi="Times New Roman"/>
          <w:sz w:val="14"/>
          <w:szCs w:val="14"/>
          <w:color w:val="auto"/>
        </w:rPr>
        <w:t>: There are currently 4.1 GW of new data centers planned.</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Sustainability Benefits</w:t>
      </w:r>
    </w:p>
    <w:p>
      <w:pPr>
        <w:spacing w:after="0" w:line="144"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spacing w:after="0" w:line="95" w:lineRule="exact"/>
        <w:rPr>
          <w:sz w:val="20"/>
          <w:szCs w:val="20"/>
          <w:color w:val="auto"/>
        </w:rPr>
      </w:pPr>
    </w:p>
    <w:p>
      <w:pPr>
        <w:ind w:left="1660" w:right="1579" w:hanging="249"/>
        <w:spacing w:after="0" w:line="295"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Total Cost of Ownership Savings</w:t>
      </w:r>
      <w:r>
        <w:rPr>
          <w:rFonts w:ascii="Times New Roman" w:cs="Times New Roman" w:eastAsia="Times New Roman" w:hAnsi="Times New Roman"/>
          <w:sz w:val="14"/>
          <w:szCs w:val="14"/>
          <w:color w:val="auto"/>
        </w:rPr>
        <w:t>: Cooling accounts for approximately 40% of a data center’s energy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consumption.</w:t>
      </w:r>
    </w:p>
    <w:p>
      <w:pPr>
        <w:spacing w:after="0" w:line="76" w:lineRule="exact"/>
        <w:rPr>
          <w:rFonts w:ascii="Times New Roman" w:cs="Times New Roman" w:eastAsia="Times New Roman" w:hAnsi="Times New Roman"/>
          <w:sz w:val="14"/>
          <w:szCs w:val="14"/>
          <w:color w:val="auto"/>
        </w:rPr>
      </w:pPr>
    </w:p>
    <w:p>
      <w:pPr>
        <w:ind w:left="1660" w:right="1319" w:hanging="249"/>
        <w:spacing w:after="0" w:line="275" w:lineRule="auto"/>
        <w:tabs>
          <w:tab w:leader="none" w:pos="1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Space Savings</w:t>
      </w:r>
      <w:r>
        <w:rPr>
          <w:rFonts w:ascii="Times New Roman" w:cs="Times New Roman" w:eastAsia="Times New Roman" w:hAnsi="Times New Roman"/>
          <w:sz w:val="14"/>
          <w:szCs w:val="14"/>
          <w:color w:val="auto"/>
        </w:rPr>
        <w:t>: Accelsius allows data centers to densify, increasing the number of servers per rack,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increasing the number of racks per unit area of data center, and increasing revenue for a given data center footprint and reducing costs as less space is used.</w:t>
      </w:r>
    </w:p>
    <w:p>
      <w:pPr>
        <w:sectPr>
          <w:pgSz w:w="11900" w:h="16889" w:orient="portrait"/>
          <w:cols w:equalWidth="0" w:num="1">
            <w:col w:w="9019"/>
          </w:cols>
          <w:pgMar w:left="1440" w:top="436" w:right="1440" w:bottom="0" w:gutter="0" w:footer="0" w:header="0"/>
        </w:sectPr>
      </w:pPr>
    </w:p>
    <w:bookmarkStart w:id="39" w:name="page40"/>
    <w:bookmarkEnd w:id="39"/>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hanging="249"/>
        <w:spacing w:after="0"/>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Energy Savings</w:t>
      </w:r>
      <w:r>
        <w:rPr>
          <w:rFonts w:ascii="Times New Roman" w:cs="Times New Roman" w:eastAsia="Times New Roman" w:hAnsi="Times New Roman"/>
          <w:sz w:val="14"/>
          <w:szCs w:val="14"/>
          <w:color w:val="auto"/>
        </w:rPr>
        <w:t>: Eliminates air conditioning needs and costs associated with legacy air-cooling systems.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Water Savings</w:t>
      </w:r>
      <w:r>
        <w:rPr>
          <w:rFonts w:ascii="Times New Roman" w:cs="Times New Roman" w:eastAsia="Times New Roman" w:hAnsi="Times New Roman"/>
          <w:sz w:val="14"/>
          <w:szCs w:val="14"/>
          <w:color w:val="auto"/>
        </w:rPr>
        <w:t>: Potential to eliminate water use in cooling system.</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Value to Clients</w:t>
      </w:r>
    </w:p>
    <w:p>
      <w:pPr>
        <w:spacing w:after="0" w:line="144"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The Accelsius solution allows clients to align data center operations with sustainability goals and increasingly competitive commercial requirements:</w:t>
      </w:r>
    </w:p>
    <w:p>
      <w:pPr>
        <w:spacing w:after="0" w:line="79" w:lineRule="exact"/>
        <w:rPr>
          <w:sz w:val="20"/>
          <w:szCs w:val="20"/>
          <w:color w:val="auto"/>
        </w:rPr>
      </w:pPr>
    </w:p>
    <w:p>
      <w:pPr>
        <w:jc w:val="both"/>
        <w:ind w:left="1660" w:right="1199" w:hanging="249"/>
        <w:spacing w:after="0" w:line="275"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Enables the adoption of high wattage processors</w:t>
      </w:r>
      <w:r>
        <w:rPr>
          <w:rFonts w:ascii="Times New Roman" w:cs="Times New Roman" w:eastAsia="Times New Roman" w:hAnsi="Times New Roman"/>
          <w:sz w:val="14"/>
          <w:szCs w:val="14"/>
          <w:color w:val="auto"/>
        </w:rPr>
        <w:t>. The American Society of Heating, Refrigerating and Air-Conditioning Engineers has suggested that the exponential increase of CPU and GPU wattages is expected to soon exceed the capacity of most existing air cooling systems.</w:t>
      </w:r>
    </w:p>
    <w:p>
      <w:pPr>
        <w:spacing w:after="0" w:line="90" w:lineRule="exact"/>
        <w:rPr>
          <w:rFonts w:ascii="Times New Roman" w:cs="Times New Roman" w:eastAsia="Times New Roman" w:hAnsi="Times New Roman"/>
          <w:sz w:val="14"/>
          <w:szCs w:val="14"/>
          <w:color w:val="auto"/>
        </w:rPr>
      </w:pPr>
    </w:p>
    <w:p>
      <w:pPr>
        <w:ind w:left="1660" w:right="1199" w:hanging="249"/>
        <w:spacing w:after="0" w:line="275"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Dramatically improves density in the data center</w:t>
      </w:r>
      <w:r>
        <w:rPr>
          <w:rFonts w:ascii="Times New Roman" w:cs="Times New Roman" w:eastAsia="Times New Roman" w:hAnsi="Times New Roman"/>
          <w:sz w:val="14"/>
          <w:szCs w:val="14"/>
          <w:color w:val="auto"/>
        </w:rPr>
        <w:t>. With Accelsius’ technology, air heat syncs are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allowing more processing power in each server. Racks no longer must be depopulated to allow air flow, nor are cold and hot aisles needed.</w:t>
      </w:r>
    </w:p>
    <w:p>
      <w:pPr>
        <w:spacing w:after="0" w:line="90" w:lineRule="exact"/>
        <w:rPr>
          <w:rFonts w:ascii="Times New Roman" w:cs="Times New Roman" w:eastAsia="Times New Roman" w:hAnsi="Times New Roman"/>
          <w:sz w:val="14"/>
          <w:szCs w:val="14"/>
          <w:color w:val="auto"/>
        </w:rPr>
      </w:pPr>
    </w:p>
    <w:p>
      <w:pPr>
        <w:ind w:left="1660" w:right="1199" w:hanging="249"/>
        <w:spacing w:after="0" w:line="269"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Allows more power to be allocated to computing rather than cooling</w:t>
      </w:r>
      <w:r>
        <w:rPr>
          <w:rFonts w:ascii="Times New Roman" w:cs="Times New Roman" w:eastAsia="Times New Roman" w:hAnsi="Times New Roman"/>
          <w:sz w:val="14"/>
          <w:szCs w:val="14"/>
          <w:color w:val="auto"/>
        </w:rPr>
        <w:t>. An average data center allocates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around 40% of their power to cooling and other overhead. When power used for cooling is reduced, more incoming power for data centers can be used for computing tasks, and data center capacity can be increased dramatically. We estimate that we can reduce the power allocated to cooling by around 49%.</w:t>
      </w:r>
    </w:p>
    <w:p>
      <w:pPr>
        <w:spacing w:after="0" w:line="94" w:lineRule="exact"/>
        <w:rPr>
          <w:rFonts w:ascii="Times New Roman" w:cs="Times New Roman" w:eastAsia="Times New Roman" w:hAnsi="Times New Roman"/>
          <w:sz w:val="14"/>
          <w:szCs w:val="14"/>
          <w:color w:val="auto"/>
        </w:rPr>
      </w:pPr>
    </w:p>
    <w:p>
      <w:pPr>
        <w:ind w:left="1660" w:right="1299" w:hanging="249"/>
        <w:spacing w:after="0" w:line="275"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Is compatible with legacy infrastructure</w:t>
      </w:r>
      <w:r>
        <w:rPr>
          <w:rFonts w:ascii="Times New Roman" w:cs="Times New Roman" w:eastAsia="Times New Roman" w:hAnsi="Times New Roman"/>
          <w:sz w:val="14"/>
          <w:szCs w:val="14"/>
          <w:color w:val="auto"/>
        </w:rPr>
        <w:t>. Although new data center builds will prioritize liquid cooling,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brownfield sites are still actively introducing AI / machine learning and other dense workloads. Accelsius technology can fit in a standard rack and connect to existing facility water loops.</w:t>
      </w:r>
    </w:p>
    <w:p>
      <w:pPr>
        <w:spacing w:after="0" w:line="90" w:lineRule="exact"/>
        <w:rPr>
          <w:rFonts w:ascii="Times New Roman" w:cs="Times New Roman" w:eastAsia="Times New Roman" w:hAnsi="Times New Roman"/>
          <w:sz w:val="14"/>
          <w:szCs w:val="14"/>
          <w:color w:val="auto"/>
        </w:rPr>
      </w:pPr>
    </w:p>
    <w:p>
      <w:pPr>
        <w:ind w:left="1660" w:right="1199" w:hanging="249"/>
        <w:spacing w:after="0" w:line="262" w:lineRule="auto"/>
        <w:tabs>
          <w:tab w:leader="none" w:pos="1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Heat removal head room</w:t>
      </w:r>
      <w:r>
        <w:rPr>
          <w:rFonts w:ascii="Times New Roman" w:cs="Times New Roman" w:eastAsia="Times New Roman" w:hAnsi="Times New Roman"/>
          <w:sz w:val="14"/>
          <w:szCs w:val="14"/>
          <w:color w:val="auto"/>
        </w:rPr>
        <w:t>. We believe Accelsius technology will be designed to support not just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generation of processors, but many more to come. Standard CPU power consumption is expected to exceed 500 W and standard GPU power consumption is expected to exceed 700 W by the end of 2025, with high performance GPUs reaching 2000 watts in 2026. Based on the recent trajectory of increasing CPU and GPU power consumption, we believe there is a high likelihood that chips may reach temperatures of up to 2500 watts in the near future. The ability to cool these power processors helps protect the investment in Accelsius’ NeuCool technology.</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History</w:t>
      </w:r>
    </w:p>
    <w:p>
      <w:pPr>
        <w:spacing w:after="0" w:line="144"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basic two-phase cooling technology underpinning NeuCool was developed at Nokia Bell Labs over a three-year period from 2019 to 2022. Innventure formed Accelsius in May 2022. Accelsius and Nokia executed a Patent Purchase Agreement dated May 27, 2022, and a Technology License and Know-How Agreement dated May 27,</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spacing w:after="0" w:line="274" w:lineRule="auto"/>
        <w:rPr>
          <w:sz w:val="20"/>
          <w:szCs w:val="20"/>
          <w:color w:val="auto"/>
        </w:rPr>
      </w:pPr>
      <w:r>
        <w:rPr>
          <w:rFonts w:ascii="Times New Roman" w:cs="Times New Roman" w:eastAsia="Times New Roman" w:hAnsi="Times New Roman"/>
          <w:sz w:val="14"/>
          <w:szCs w:val="14"/>
          <w:color w:val="auto"/>
        </w:rPr>
        <w:t>2022, to transfer the passive, two-phase, direct-to-chip cooling technology from Nokia to Accelsius. Subsequently, Accelsius has significantly improved the technology to enhance its thermal cooling effectiveness and productized an active, pumped solution to make it more suitable for high volume production.</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Current Status</w:t>
      </w:r>
    </w:p>
    <w:p>
      <w:pPr>
        <w:spacing w:after="0" w:line="144"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Accelsius is an early-stage company that has recently begun revenue-generating operations, including initial shipments of product. Accelsius has been focused on developing and commercializing data center cooling products since its inception in 2022 and delivered its first products to market in Q3 2024. Accelsius has implemented development and applications testing capabilities at its headquarters in Austin, Texas. Accelsius has also built in-house fabrication capabilities for key heat transfer components and set up manufacturing and supply chain infrastructure.</w:t>
      </w:r>
    </w:p>
    <w:p>
      <w:pPr>
        <w:spacing w:after="0" w:line="10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w:t>
      </w:r>
    </w:p>
    <w:p>
      <w:pPr>
        <w:spacing w:after="0" w:line="103" w:lineRule="exact"/>
        <w:rPr>
          <w:sz w:val="20"/>
          <w:szCs w:val="20"/>
          <w:color w:val="auto"/>
        </w:rPr>
      </w:pPr>
    </w:p>
    <w:p>
      <w:pPr>
        <w:jc w:val="both"/>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Current manufacturing assets and supply chain infrastructure are anticipated to support market demand through mid- to late-2025, and additional capacity expansions and/or collaboration with selected contract manufacturers will be staged to meet customer needs as demand is expected to grow in 2025.</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Customer Landscape and Growth Strategy</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w:t>
      </w:r>
    </w:p>
    <w:p>
      <w:pPr>
        <w:spacing w:after="0" w:line="27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The potential size and high growth of the liquid cooling market has attracted several startup competitors across different liquid cooling technologies. This market has seen an influx of single-phase water cooling DLC competitors; however, we believe Accelsius and Zutacore are currently the only two companies that have sold two-phase refrigerant-based solutions in the market. With two-phase DLC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w:t>
      </w:r>
    </w:p>
    <w:p>
      <w:pPr>
        <w:spacing w:after="0" w:line="101"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The liquid cooling solution that Accelsius offers is well positioned compared to many other liquid cooling solutions because we believe it (i) uses the most thermally capable liquid cooling technology (two phase direct-to-</w:t>
      </w:r>
    </w:p>
    <w:p>
      <w:pPr>
        <w:sectPr>
          <w:pgSz w:w="11900" w:h="16955" w:orient="portrait"/>
          <w:cols w:equalWidth="0" w:num="1">
            <w:col w:w="9019"/>
          </w:cols>
          <w:pgMar w:left="1440" w:top="209" w:right="1440" w:bottom="0" w:gutter="0" w:footer="0" w:header="0"/>
        </w:sectPr>
      </w:pPr>
    </w:p>
    <w:bookmarkStart w:id="40" w:name="page41"/>
    <w:bookmarkEnd w:id="40"/>
    <w:p>
      <w:pPr>
        <w:ind w:left="1160" w:right="1159"/>
        <w:spacing w:after="0" w:line="263" w:lineRule="auto"/>
        <w:rPr>
          <w:sz w:val="20"/>
          <w:szCs w:val="20"/>
          <w:color w:val="auto"/>
        </w:rPr>
      </w:pPr>
      <w:r>
        <w:rPr>
          <w:rFonts w:ascii="Times New Roman" w:cs="Times New Roman" w:eastAsia="Times New Roman" w:hAnsi="Times New Roman"/>
          <w:sz w:val="14"/>
          <w:szCs w:val="14"/>
          <w:color w:val="auto"/>
        </w:rPr>
        <w:t>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-669290</wp:posOffset>
            </wp:positionV>
            <wp:extent cx="716026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Accelsius’ two phase direct-to-chip liquid cooling technology is an effective alternative to the limitations posed by other liquid cooling technologies. We summarize below some of the operational issues faced by competitive liquid cooling technologies based on that user feedback:</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Single-Phase Immersion:</w:t>
      </w:r>
    </w:p>
    <w:p>
      <w:pPr>
        <w:spacing w:after="0" w:line="140" w:lineRule="exact"/>
        <w:rPr>
          <w:sz w:val="20"/>
          <w:szCs w:val="20"/>
          <w:color w:val="auto"/>
        </w:rPr>
      </w:pPr>
    </w:p>
    <w:p>
      <w:pPr>
        <w:ind w:left="1660" w:hanging="249"/>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Expensive (~$100,000 per tank) and with limited thermal headroom (&lt; 50 KW);</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Requires modification (re-layout) of server internals for liquid flow and server warranty is usually void;</w:t>
      </w:r>
    </w:p>
    <w:p>
      <w:pPr>
        <w:spacing w:after="0" w:line="139" w:lineRule="exact"/>
        <w:rPr>
          <w:rFonts w:ascii="Times New Roman" w:cs="Times New Roman" w:eastAsia="Times New Roman" w:hAnsi="Times New Roman"/>
          <w:sz w:val="14"/>
          <w:szCs w:val="14"/>
          <w:color w:val="auto"/>
        </w:rPr>
      </w:pPr>
    </w:p>
    <w:p>
      <w:pPr>
        <w:ind w:left="1660" w:right="1759" w:hanging="249"/>
        <w:spacing w:after="0" w:line="292" w:lineRule="auto"/>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Servicing requires removal of servers from sealed liquid cooling baths and is time consuming and expensive;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Forklift upgrade of existing rack infrastructure and inefficient use of real estate;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Leading competitors include LiquidStack, Green Revolution Cooling, and TMGCore.</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Two-Phase Immersion: In addition to the issues outlined above, two-phase immersion is also:</w:t>
      </w:r>
    </w:p>
    <w:p>
      <w:pPr>
        <w:spacing w:after="0" w:line="140" w:lineRule="exact"/>
        <w:rPr>
          <w:sz w:val="20"/>
          <w:szCs w:val="20"/>
          <w:color w:val="auto"/>
        </w:rPr>
      </w:pPr>
    </w:p>
    <w:p>
      <w:pPr>
        <w:ind w:left="1660" w:hanging="249"/>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Very expensive (~$175,000 per tank);</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Vapor can get trapped in the servers causing localized hot spots;</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Very few pilot implementations are expanded on because “no one wants tanks full of perfluoroalkyl and polyfluoroalkyl substances coolant in the data center;”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Leading competitors include LiquidStack, TMGCore and Submer.</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Single-Phase Direct-to-Chip (e.g., water):</w:t>
      </w:r>
    </w:p>
    <w:p>
      <w:pPr>
        <w:spacing w:after="0" w:line="140" w:lineRule="exact"/>
        <w:rPr>
          <w:sz w:val="20"/>
          <w:szCs w:val="20"/>
          <w:color w:val="auto"/>
        </w:rPr>
      </w:pPr>
    </w:p>
    <w:p>
      <w:pPr>
        <w:jc w:val="both"/>
        <w:ind w:left="1660" w:right="1259" w:hanging="249"/>
        <w:spacing w:after="0" w:line="274" w:lineRule="auto"/>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Water leaks that can cause catastrophic failure in servers and are the most significant risk. Users state that water leaks around electronic components have occurred and destroyed the servers: “Not a question of ‘if’ it will leak, but ‘when’ it will leak”;</w:t>
      </w:r>
    </w:p>
    <w:p>
      <w:pPr>
        <w:spacing w:after="0" w:line="92"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Bio-fouling (biofilm build up) within pipes and cold plates is a concern;</w:t>
      </w:r>
    </w:p>
    <w:p>
      <w:pPr>
        <w:spacing w:after="0" w:line="139" w:lineRule="exact"/>
        <w:rPr>
          <w:rFonts w:ascii="Times New Roman" w:cs="Times New Roman" w:eastAsia="Times New Roman" w:hAnsi="Times New Roman"/>
          <w:sz w:val="14"/>
          <w:szCs w:val="14"/>
          <w:color w:val="auto"/>
        </w:rPr>
      </w:pPr>
    </w:p>
    <w:p>
      <w:pPr>
        <w:ind w:left="1660" w:right="1459" w:hanging="249"/>
        <w:spacing w:after="0" w:line="292" w:lineRule="auto"/>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Cooling higher thermal densities requires large pumps and high pressure/flow rate of water (increasing chance of leaks &amp; electricity use); and</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Leading competitors include CoolIT Systems and STULZ.</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144"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AeroFlexx and Refinity</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4" w:lineRule="exact"/>
        <w:rPr>
          <w:sz w:val="20"/>
          <w:szCs w:val="20"/>
          <w:color w:val="auto"/>
        </w:rPr>
      </w:pPr>
    </w:p>
    <w:p>
      <w:pPr>
        <w:jc w:val="both"/>
        <w:ind w:left="1160" w:right="1419" w:firstLine="258"/>
        <w:spacing w:after="0" w:line="265" w:lineRule="auto"/>
        <w:rPr>
          <w:sz w:val="20"/>
          <w:szCs w:val="20"/>
          <w:color w:val="auto"/>
        </w:rPr>
      </w:pPr>
      <w:r>
        <w:rPr>
          <w:rFonts w:ascii="Times New Roman" w:cs="Times New Roman" w:eastAsia="Times New Roman" w:hAnsi="Times New Roman"/>
          <w:sz w:val="14"/>
          <w:szCs w:val="14"/>
          <w:color w:val="auto"/>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60" w:right="1179"/>
        <w:spacing w:after="0" w:line="235" w:lineRule="auto"/>
        <w:rPr>
          <w:sz w:val="20"/>
          <w:szCs w:val="20"/>
          <w:color w:val="auto"/>
        </w:rPr>
      </w:pPr>
      <w:r>
        <w:rPr>
          <w:rFonts w:ascii="Times New Roman" w:cs="Times New Roman" w:eastAsia="Times New Roman" w:hAnsi="Times New Roman"/>
          <w:sz w:val="14"/>
          <w:szCs w:val="14"/>
          <w:color w:val="auto"/>
        </w:rPr>
        <w:t>recycled content and can be curbside recyclable where all plastic bottles are accepted</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Prior to filling, the package is shipped in a freight efficient flat pak format that reduces supply chain cost and complexity.</w:t>
      </w:r>
    </w:p>
    <w:p>
      <w:pPr>
        <w:spacing w:after="0" w:line="115"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w:t>
      </w:r>
    </w:p>
    <w:p>
      <w:pPr>
        <w:sectPr>
          <w:pgSz w:w="11900" w:h="16838" w:orient="portrait"/>
          <w:cols w:equalWidth="0" w:num="1">
            <w:col w:w="9019"/>
          </w:cols>
          <w:pgMar w:left="1440" w:top="136" w:right="1440" w:bottom="0" w:gutter="0" w:footer="0" w:header="0"/>
        </w:sectPr>
      </w:pPr>
    </w:p>
    <w:bookmarkStart w:id="41" w:name="page42"/>
    <w:bookmarkEnd w:id="41"/>
    <w:p>
      <w:pPr>
        <w:spacing w:after="0" w:line="97"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AeroFlexx is headquartered in West Chester, Ohio. The firm’s 27,082 square foot facility currently has the initial commercial line installed with a nameplate design capacity of over 50 million units per year. We expect that two additional lines will be launched by the end of the second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-326390</wp:posOffset>
            </wp:positionV>
            <wp:extent cx="716026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3" w:lineRule="exact"/>
        <w:rPr>
          <w:sz w:val="20"/>
          <w:szCs w:val="20"/>
          <w:color w:val="auto"/>
        </w:rPr>
      </w:pPr>
    </w:p>
    <w:p>
      <w:pPr>
        <w:ind w:left="1160" w:right="1159" w:firstLine="258"/>
        <w:spacing w:after="0" w:line="260" w:lineRule="auto"/>
        <w:rPr>
          <w:sz w:val="20"/>
          <w:szCs w:val="20"/>
          <w:color w:val="auto"/>
        </w:rPr>
      </w:pPr>
      <w:r>
        <w:rPr>
          <w:rFonts w:ascii="Times New Roman" w:cs="Times New Roman" w:eastAsia="Times New Roman" w:hAnsi="Times New Roman"/>
          <w:sz w:val="14"/>
          <w:szCs w:val="14"/>
          <w:color w:val="auto"/>
        </w:rPr>
        <w:t>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w:t>
      </w:r>
    </w:p>
    <w:p>
      <w:pPr>
        <w:spacing w:after="0" w:line="275"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w:t>
      </w:r>
    </w:p>
    <w:p>
      <w:pPr>
        <w:spacing w:after="0" w:line="144"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w:t>
      </w:r>
    </w:p>
    <w:p>
      <w:pPr>
        <w:spacing w:after="0" w:line="97"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At the yields that Refinity believes its fluidized bed process will convert plastic waste to drop-in chemicals, 240</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million tonnes per year of plastic waste could be converted to hydrocarbon liquids and olefin gases valued at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$150-200 billion annually. Further, with increasing consumer demand for more sustainable packaging; regulatory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focus on restricting plastic waste exports, landfill, and incineration; and minimum recycled plastic content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requirements, all of which could enable premiums for sustainable plastics (including sustainable feedstocks, such as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naphtha or light olefins, for polymer and plastic production), the market for plastic recycling is strengthening. The</w:t>
      </w:r>
    </w:p>
    <w:p>
      <w:pPr>
        <w:spacing w:after="0" w:line="195" w:lineRule="exact"/>
        <w:rPr>
          <w:sz w:val="20"/>
          <w:szCs w:val="20"/>
          <w:color w:val="auto"/>
        </w:rPr>
      </w:pPr>
    </w:p>
    <w:p>
      <w:pPr>
        <w:ind w:left="1240" w:hanging="87"/>
        <w:spacing w:after="0"/>
        <w:tabs>
          <w:tab w:leader="none" w:pos="1240"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Not recyclable in all communities. Check locally.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419"/>
        <w:spacing w:after="0" w:line="274" w:lineRule="auto"/>
        <w:rPr>
          <w:sz w:val="20"/>
          <w:szCs w:val="20"/>
          <w:color w:val="auto"/>
        </w:rPr>
      </w:pPr>
      <w:r>
        <w:rPr>
          <w:rFonts w:ascii="Times New Roman" w:cs="Times New Roman" w:eastAsia="Times New Roman" w:hAnsi="Times New Roman"/>
          <w:sz w:val="14"/>
          <w:szCs w:val="14"/>
          <w:color w:val="auto"/>
        </w:rPr>
        <w:t>global recycled plastics market size was valued at $51 billion in 2023 and is projected to grow to $107 billion by 2032. Current market prices for naphtha substitutes (e.g., hydrotreated pyrolysis oils and sustainable/circular naphtha) frequently indicate a significant premium over fossil naphtha.</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Sustainability Benefits</w:t>
      </w:r>
    </w:p>
    <w:p>
      <w:pPr>
        <w:spacing w:after="0" w:line="144"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w:t>
      </w:r>
    </w:p>
    <w:p>
      <w:pPr>
        <w:spacing w:after="0" w:line="95" w:lineRule="exact"/>
        <w:rPr>
          <w:sz w:val="20"/>
          <w:szCs w:val="20"/>
          <w:color w:val="auto"/>
        </w:rPr>
      </w:pPr>
    </w:p>
    <w:p>
      <w:pPr>
        <w:ind w:left="1660" w:right="1879" w:hanging="249"/>
        <w:spacing w:after="0" w:line="295"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Package Circularity</w:t>
      </w:r>
      <w:r>
        <w:rPr>
          <w:rFonts w:ascii="Times New Roman" w:cs="Times New Roman" w:eastAsia="Times New Roman" w:hAnsi="Times New Roman"/>
          <w:sz w:val="14"/>
          <w:szCs w:val="14"/>
          <w:color w:val="auto"/>
        </w:rPr>
        <w:t>: AeroFlexx packaging can incorporate up to 50% recycled content without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compromise.</w:t>
      </w:r>
    </w:p>
    <w:p>
      <w:pPr>
        <w:spacing w:after="0" w:line="76" w:lineRule="exact"/>
        <w:rPr>
          <w:rFonts w:ascii="Times New Roman" w:cs="Times New Roman" w:eastAsia="Times New Roman" w:hAnsi="Times New Roman"/>
          <w:sz w:val="14"/>
          <w:szCs w:val="14"/>
          <w:color w:val="auto"/>
        </w:rPr>
      </w:pPr>
    </w:p>
    <w:p>
      <w:pPr>
        <w:ind w:left="1660" w:right="1179" w:hanging="249"/>
        <w:spacing w:after="0" w:line="275"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Life Cycle Analysis</w:t>
      </w:r>
      <w:r>
        <w:rPr>
          <w:rFonts w:ascii="Times New Roman" w:cs="Times New Roman" w:eastAsia="Times New Roman" w:hAnsi="Times New Roman"/>
          <w:sz w:val="14"/>
          <w:szCs w:val="14"/>
          <w:color w:val="auto"/>
        </w:rPr>
        <w:t>: By considering source reduction, recycled content, recyclability and eliminating excess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packaging material in e-commerce, AeroFlexx can deliver up to 83% less waste to landfills, 69% GHG reduction, and 73% less water use.</w:t>
      </w:r>
    </w:p>
    <w:p>
      <w:pPr>
        <w:spacing w:after="0" w:line="90" w:lineRule="exact"/>
        <w:rPr>
          <w:rFonts w:ascii="Times New Roman" w:cs="Times New Roman" w:eastAsia="Times New Roman" w:hAnsi="Times New Roman"/>
          <w:sz w:val="14"/>
          <w:szCs w:val="14"/>
          <w:color w:val="auto"/>
        </w:rPr>
      </w:pPr>
    </w:p>
    <w:p>
      <w:pPr>
        <w:ind w:left="1660" w:right="1559" w:hanging="249"/>
        <w:spacing w:after="0" w:line="275"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 Sustainable Goals Alignment</w:t>
      </w:r>
      <w:r>
        <w:rPr>
          <w:rFonts w:ascii="Times New Roman" w:cs="Times New Roman" w:eastAsia="Times New Roman" w:hAnsi="Times New Roman"/>
          <w:sz w:val="14"/>
          <w:szCs w:val="14"/>
          <w:color w:val="auto"/>
        </w:rPr>
        <w:t>: AeroFlexx can contribute to meeting several of the sustainable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goals outlined by the United Nations, including industry, innovation, and infrastructure; responsible consumption and production; climate action; and life below water.</w:t>
      </w:r>
    </w:p>
    <w:p>
      <w:pPr>
        <w:spacing w:after="0" w:line="90" w:lineRule="exact"/>
        <w:rPr>
          <w:rFonts w:ascii="Times New Roman" w:cs="Times New Roman" w:eastAsia="Times New Roman" w:hAnsi="Times New Roman"/>
          <w:sz w:val="14"/>
          <w:szCs w:val="14"/>
          <w:color w:val="auto"/>
        </w:rPr>
      </w:pPr>
    </w:p>
    <w:p>
      <w:pPr>
        <w:ind w:left="1660" w:right="1299" w:hanging="249"/>
        <w:spacing w:after="0" w:line="269"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GHG emissions reduction relative to plastic waste incineration or pyrolysis</w:t>
      </w:r>
      <w:r>
        <w:rPr>
          <w:rFonts w:ascii="Times New Roman" w:cs="Times New Roman" w:eastAsia="Times New Roman" w:hAnsi="Times New Roman"/>
          <w:sz w:val="14"/>
          <w:szCs w:val="14"/>
          <w:color w:val="auto"/>
        </w:rPr>
        <w:t>: Internal LCA analysis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indicated about -400 kg CO2-eq/tonne plastic waste for the Refinity fluidized bed conversion process compared to 1777 kg CO2-eq/tonne plastic waste for incineration and 739 kg CO2-eq/tonne plastic waste for pyrolysis, so Refinity believes that its process will reduce GHG emissions.</w:t>
      </w:r>
    </w:p>
    <w:p>
      <w:pPr>
        <w:spacing w:after="0" w:line="94" w:lineRule="exact"/>
        <w:rPr>
          <w:rFonts w:ascii="Times New Roman" w:cs="Times New Roman" w:eastAsia="Times New Roman" w:hAnsi="Times New Roman"/>
          <w:sz w:val="14"/>
          <w:szCs w:val="14"/>
          <w:color w:val="auto"/>
        </w:rPr>
      </w:pPr>
    </w:p>
    <w:p>
      <w:pPr>
        <w:jc w:val="both"/>
        <w:ind w:left="1660" w:right="1419" w:hanging="249"/>
        <w:spacing w:after="0" w:line="269" w:lineRule="auto"/>
        <w:tabs>
          <w:tab w:leader="none" w:pos="16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Fossil source reduction</w:t>
      </w:r>
      <w:r>
        <w:rPr>
          <w:rFonts w:ascii="Times New Roman" w:cs="Times New Roman" w:eastAsia="Times New Roman" w:hAnsi="Times New Roman"/>
          <w:sz w:val="14"/>
          <w:szCs w:val="14"/>
          <w:color w:val="auto"/>
        </w:rPr>
        <w:t>: If all plastic waste from landfill and incineration (240 million tonnes per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were converted to hydrocarbon liquids (e.g., naphtha substitute) at yields consistent with what Refinity believes are possible in the fluidized bed process, those hydrocarbon liquids could replace up to 80% of fossil naphtha; saving roughly 96 million tonnes per year of CO2-eq emissions.</w:t>
      </w:r>
    </w:p>
    <w:p>
      <w:pPr>
        <w:spacing w:after="0" w:line="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Value to Clients</w:t>
      </w:r>
    </w:p>
    <w:p>
      <w:pPr>
        <w:spacing w:after="0" w:line="144" w:lineRule="exact"/>
        <w:rPr>
          <w:sz w:val="20"/>
          <w:szCs w:val="20"/>
          <w:color w:val="auto"/>
        </w:rPr>
      </w:pP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AeroFlexx can help drive growth and overall profitability through significant supply chain savings. This is accomplished through several supply chain benefits of the AeroFlexx pak:</w:t>
      </w:r>
    </w:p>
    <w:p>
      <w:pPr>
        <w:spacing w:after="0" w:line="79" w:lineRule="exact"/>
        <w:rPr>
          <w:sz w:val="20"/>
          <w:szCs w:val="20"/>
          <w:color w:val="auto"/>
        </w:rPr>
      </w:pPr>
    </w:p>
    <w:p>
      <w:pPr>
        <w:ind w:left="1660" w:right="1359" w:hanging="249"/>
        <w:spacing w:after="0" w:line="295" w:lineRule="auto"/>
        <w:tabs>
          <w:tab w:leader="none" w:pos="1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Reduces Complexity of Sourcing</w:t>
      </w:r>
      <w:r>
        <w:rPr>
          <w:rFonts w:ascii="Times New Roman" w:cs="Times New Roman" w:eastAsia="Times New Roman" w:hAnsi="Times New Roman"/>
          <w:sz w:val="14"/>
          <w:szCs w:val="14"/>
          <w:color w:val="auto"/>
        </w:rPr>
        <w:t>: AeroFlexx ships as a flat pak and replaces the bottle, cap and label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must procure from multiple sources and destinations.</w:t>
      </w:r>
    </w:p>
    <w:p>
      <w:pPr>
        <w:spacing w:after="0" w:line="76" w:lineRule="exact"/>
        <w:rPr>
          <w:rFonts w:ascii="Times New Roman" w:cs="Times New Roman" w:eastAsia="Times New Roman" w:hAnsi="Times New Roman"/>
          <w:sz w:val="14"/>
          <w:szCs w:val="14"/>
          <w:color w:val="auto"/>
        </w:rPr>
      </w:pPr>
    </w:p>
    <w:p>
      <w:pPr>
        <w:jc w:val="both"/>
        <w:ind w:left="1660" w:right="1379" w:hanging="249"/>
        <w:spacing w:after="0" w:line="295" w:lineRule="auto"/>
        <w:tabs>
          <w:tab w:leader="none" w:pos="16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Reduced Transportation Cost and Footprint</w:t>
      </w:r>
      <w:r>
        <w:rPr>
          <w:rFonts w:ascii="Times New Roman" w:cs="Times New Roman" w:eastAsia="Times New Roman" w:hAnsi="Times New Roman"/>
          <w:sz w:val="14"/>
          <w:szCs w:val="14"/>
          <w:color w:val="auto"/>
        </w:rPr>
        <w:t>: prior to filling the package, shipping as a flat pak creates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form factor that takes up less than 10% of the space in shipping of an equivalent pre-formed empty rigid</w:t>
      </w:r>
    </w:p>
    <w:p>
      <w:pPr>
        <w:sectPr>
          <w:pgSz w:w="11900" w:h="16935" w:orient="portrait"/>
          <w:cols w:equalWidth="0" w:num="1">
            <w:col w:w="9019"/>
          </w:cols>
          <w:pgMar w:left="1440" w:top="104" w:right="1440" w:bottom="0" w:gutter="0" w:footer="0" w:header="0"/>
        </w:sectPr>
      </w:pPr>
    </w:p>
    <w:bookmarkStart w:id="42" w:name="page43"/>
    <w:bookmarkEnd w:id="42"/>
    <w:p>
      <w:pPr>
        <w:spacing w:after="0" w:line="63" w:lineRule="exact"/>
        <w:rPr>
          <w:sz w:val="20"/>
          <w:szCs w:val="20"/>
          <w:color w:val="auto"/>
        </w:rPr>
      </w:pPr>
    </w:p>
    <w:p>
      <w:pPr>
        <w:ind w:left="1660" w:right="1859"/>
        <w:spacing w:after="0" w:line="293" w:lineRule="auto"/>
        <w:rPr>
          <w:sz w:val="20"/>
          <w:szCs w:val="20"/>
          <w:color w:val="auto"/>
        </w:rPr>
      </w:pPr>
      <w:r>
        <w:rPr>
          <w:rFonts w:ascii="Times New Roman" w:cs="Times New Roman" w:eastAsia="Times New Roman" w:hAnsi="Times New Roman"/>
          <w:sz w:val="14"/>
          <w:szCs w:val="14"/>
          <w:color w:val="auto"/>
        </w:rPr>
        <w:t>bottle, in addition to eliminating the need for cap and label supply chains. This reduces cost and environmental footprint by taking trucks off the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-232410</wp:posOffset>
            </wp:positionV>
            <wp:extent cx="716026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58" w:lineRule="exact"/>
        <w:rPr>
          <w:sz w:val="20"/>
          <w:szCs w:val="20"/>
          <w:color w:val="auto"/>
        </w:rPr>
      </w:pPr>
    </w:p>
    <w:p>
      <w:pPr>
        <w:ind w:left="1660" w:right="1219" w:hanging="249"/>
        <w:spacing w:after="0" w:line="275"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Lowers Warehouse Requirements and Inventory Cost </w:t>
      </w:r>
      <w:r>
        <w:rPr>
          <w:rFonts w:ascii="Times New Roman" w:cs="Times New Roman" w:eastAsia="Times New Roman" w:hAnsi="Times New Roman"/>
          <w:sz w:val="14"/>
          <w:szCs w:val="14"/>
          <w:color w:val="auto"/>
        </w:rPr>
        <w:t>: with the AeroFlexx flat pak replacing pre-formed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empty bottles, caps and labels, there is an overall reduction in the need for inventory space and overall cost associated with labor and working capital.</w:t>
      </w:r>
    </w:p>
    <w:p>
      <w:pPr>
        <w:spacing w:after="0" w:line="90" w:lineRule="exact"/>
        <w:rPr>
          <w:rFonts w:ascii="Times New Roman" w:cs="Times New Roman" w:eastAsia="Times New Roman" w:hAnsi="Times New Roman"/>
          <w:sz w:val="14"/>
          <w:szCs w:val="14"/>
          <w:color w:val="auto"/>
        </w:rPr>
      </w:pPr>
    </w:p>
    <w:p>
      <w:pPr>
        <w:ind w:left="1660" w:right="1299" w:hanging="249"/>
        <w:spacing w:after="0" w:line="275"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ISTA-6 Amazon Approved </w:t>
      </w:r>
      <w:r>
        <w:rPr>
          <w:rFonts w:ascii="Times New Roman" w:cs="Times New Roman" w:eastAsia="Times New Roman" w:hAnsi="Times New Roman"/>
          <w:sz w:val="14"/>
          <w:szCs w:val="14"/>
          <w:color w:val="auto"/>
        </w:rPr>
        <w:t>: for shipping liquids via the e-commerce channel, reductions in damages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breakage, leakage and handling can generate significant savings through lower returns or refund rates and reduced overall package and labor costs.</w:t>
      </w:r>
    </w:p>
    <w:p>
      <w:pPr>
        <w:spacing w:after="0" w:line="90" w:lineRule="exact"/>
        <w:rPr>
          <w:rFonts w:ascii="Times New Roman" w:cs="Times New Roman" w:eastAsia="Times New Roman" w:hAnsi="Times New Roman"/>
          <w:sz w:val="14"/>
          <w:szCs w:val="14"/>
          <w:color w:val="auto"/>
        </w:rPr>
      </w:pPr>
    </w:p>
    <w:p>
      <w:pPr>
        <w:ind w:left="1660" w:right="1259" w:hanging="249"/>
        <w:spacing w:after="0" w:line="275" w:lineRule="auto"/>
        <w:tabs>
          <w:tab w:leader="none" w:pos="1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Omni-Channel Ready</w:t>
      </w:r>
      <w:r>
        <w:rPr>
          <w:rFonts w:ascii="Times New Roman" w:cs="Times New Roman" w:eastAsia="Times New Roman" w:hAnsi="Times New Roman"/>
          <w:sz w:val="14"/>
          <w:szCs w:val="14"/>
          <w:color w:val="auto"/>
        </w:rPr>
        <w:t>: the pak is omni-channel ready as soon as it is filled with liquid product from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AeroFlexx filling machine, which we expect to eliminate stock keeping unit proliferation based on desired sales distribution channel.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60" w:right="1339" w:hanging="249"/>
        <w:spacing w:after="0" w:line="295" w:lineRule="auto"/>
        <w:tabs>
          <w:tab w:leader="none" w:pos="1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 Size/Shape Development Efficiency</w:t>
      </w:r>
      <w:r>
        <w:rPr>
          <w:rFonts w:ascii="Times New Roman" w:cs="Times New Roman" w:eastAsia="Times New Roman" w:hAnsi="Times New Roman"/>
          <w:sz w:val="14"/>
          <w:szCs w:val="14"/>
          <w:color w:val="auto"/>
        </w:rPr>
        <w:t>: flexible manufacturing eliminates the need for capital intensive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molds and tooling costs, which may enable rapid adoption at a much lower cost.</w:t>
      </w:r>
    </w:p>
    <w:p>
      <w:pPr>
        <w:spacing w:after="0" w:line="76" w:lineRule="exact"/>
        <w:rPr>
          <w:rFonts w:ascii="Times New Roman" w:cs="Times New Roman" w:eastAsia="Times New Roman" w:hAnsi="Times New Roman"/>
          <w:sz w:val="14"/>
          <w:szCs w:val="14"/>
          <w:color w:val="auto"/>
        </w:rPr>
      </w:pPr>
    </w:p>
    <w:p>
      <w:pPr>
        <w:ind w:left="1660" w:right="1399" w:hanging="249"/>
        <w:spacing w:after="0" w:line="275" w:lineRule="auto"/>
        <w:tabs>
          <w:tab w:leader="none" w:pos="16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Product Safety</w:t>
      </w:r>
      <w:r>
        <w:rPr>
          <w:rFonts w:ascii="Times New Roman" w:cs="Times New Roman" w:eastAsia="Times New Roman" w:hAnsi="Times New Roman"/>
          <w:sz w:val="14"/>
          <w:szCs w:val="14"/>
          <w:color w:val="auto"/>
        </w:rPr>
        <w:t>: designed with hygiene in mind with tamper proof packaging that eliminates the use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discrete closure with AeroFlexx proprietary integrated valve (e.g., no need for a separate cap, pump or package sealing and dispensing device) to help keep products safe and prevent product losses.</w:t>
      </w:r>
    </w:p>
    <w:p>
      <w:pPr>
        <w:spacing w:after="0" w:line="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Currently, the limitations for Refinity’s clients to fully embrace and scale plastic circularity is economic</w:t>
      </w:r>
    </w:p>
    <w:p>
      <w:pPr>
        <w:spacing w:after="0" w:line="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viability and plastic waste sourcing. Refinity believes that its fluidized bed process provides unique benefits that:</w:t>
      </w:r>
    </w:p>
    <w:p>
      <w:pPr>
        <w:spacing w:after="0" w:line="124" w:lineRule="exact"/>
        <w:rPr>
          <w:sz w:val="20"/>
          <w:szCs w:val="20"/>
          <w:color w:val="auto"/>
        </w:rPr>
      </w:pPr>
    </w:p>
    <w:p>
      <w:pPr>
        <w:ind w:left="1660" w:right="1499" w:hanging="249"/>
        <w:spacing w:after="0" w:line="269" w:lineRule="auto"/>
        <w:tabs>
          <w:tab w:leader="none" w:pos="1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Enable higher yield conversion of plastic waste to olefin gases and hydrocarbon liquids</w:t>
      </w:r>
      <w:r>
        <w:rPr>
          <w:rFonts w:ascii="Times New Roman" w:cs="Times New Roman" w:eastAsia="Times New Roman" w:hAnsi="Times New Roman"/>
          <w:sz w:val="14"/>
          <w:szCs w:val="14"/>
          <w:color w:val="auto"/>
        </w:rPr>
        <w:t>. VTT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demonstrated that the fluidized bed process converts plastic waste to olefin gases at higher yield than conventional pyrolysis processes, potentially enabling two to three times higher productivity when the fluidized bed process feeds olefin gases directly to petrochemical steam cracker operations.</w:t>
      </w:r>
    </w:p>
    <w:p>
      <w:pPr>
        <w:spacing w:after="0" w:line="94" w:lineRule="exact"/>
        <w:rPr>
          <w:rFonts w:ascii="Times New Roman" w:cs="Times New Roman" w:eastAsia="Times New Roman" w:hAnsi="Times New Roman"/>
          <w:sz w:val="14"/>
          <w:szCs w:val="14"/>
          <w:color w:val="auto"/>
        </w:rPr>
      </w:pPr>
    </w:p>
    <w:p>
      <w:pPr>
        <w:ind w:left="1660" w:right="1279" w:hanging="249"/>
        <w:spacing w:after="0" w:line="275" w:lineRule="auto"/>
        <w:tabs>
          <w:tab w:leader="none" w:pos="1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Allow use of low cost, mixed plastic wastes</w:t>
      </w:r>
      <w:r>
        <w:rPr>
          <w:rFonts w:ascii="Times New Roman" w:cs="Times New Roman" w:eastAsia="Times New Roman" w:hAnsi="Times New Roman"/>
          <w:sz w:val="14"/>
          <w:szCs w:val="14"/>
          <w:color w:val="auto"/>
        </w:rPr>
        <w:t>. Unlike incumbent recycling processes which typically require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sorting and pre-cleaning of plastic wastes, Refinity believes that the fluidized bed process will be more robust to minimally-sorted, mixed plastic waste streams.</w:t>
      </w:r>
    </w:p>
    <w:p>
      <w:pPr>
        <w:spacing w:after="0" w:line="90" w:lineRule="exact"/>
        <w:rPr>
          <w:rFonts w:ascii="Times New Roman" w:cs="Times New Roman" w:eastAsia="Times New Roman" w:hAnsi="Times New Roman"/>
          <w:sz w:val="14"/>
          <w:szCs w:val="14"/>
          <w:color w:val="auto"/>
        </w:rPr>
      </w:pPr>
    </w:p>
    <w:p>
      <w:pPr>
        <w:ind w:left="1660" w:right="1179" w:hanging="249"/>
        <w:spacing w:after="0" w:line="264" w:lineRule="auto"/>
        <w:tabs>
          <w:tab w:leader="none" w:pos="16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Enable plant site flexibility</w:t>
      </w:r>
      <w:r>
        <w:rPr>
          <w:rFonts w:ascii="Times New Roman" w:cs="Times New Roman" w:eastAsia="Times New Roman" w:hAnsi="Times New Roman"/>
          <w:sz w:val="14"/>
          <w:szCs w:val="14"/>
          <w:color w:val="auto"/>
        </w:rPr>
        <w:t>. We believe that the Refinity fluidized bed operating conditions can be tuned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 for production of either olefin (ethylene and propylene) gases and 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History</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w:t>
      </w:r>
    </w:p>
    <w:p>
      <w:pPr>
        <w:spacing w:after="0" w:line="99" w:lineRule="exact"/>
        <w:rPr>
          <w:sz w:val="20"/>
          <w:szCs w:val="20"/>
          <w:color w:val="auto"/>
        </w:rPr>
      </w:pPr>
    </w:p>
    <w:p>
      <w:pPr>
        <w:ind w:left="1160" w:right="1339" w:firstLine="258"/>
        <w:spacing w:after="0" w:line="262" w:lineRule="auto"/>
        <w:rPr>
          <w:sz w:val="20"/>
          <w:szCs w:val="20"/>
          <w:color w:val="auto"/>
        </w:rPr>
      </w:pPr>
      <w:r>
        <w:rPr>
          <w:rFonts w:ascii="Times New Roman" w:cs="Times New Roman" w:eastAsia="Times New Roman" w:hAnsi="Times New Roman"/>
          <w:sz w:val="14"/>
          <w:szCs w:val="14"/>
          <w:color w:val="auto"/>
        </w:rPr>
        <w:t>The fluidized bed conversion technology underpinning Refinity was developed at VTT from 2014 to 2024. Innventure developed a collaboration with VTT and Dow during 2024 and formed Refinity in December 2024. Refinity and VTT executed a definitive agreement on December 11, 2024, and exclusively licensed a portfolio of advanced conversion of mixed plastic waste patents and patent applications from VTT. Innventure and Dow executed a collaboration agreement on December 13, 2024, for the companies to work together, including through Refinity, to scale and commercialize technologies aimed at converting mixed waste, including hard-to-recycle plastic waste, to petrochemical feedstocks.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Current Status</w:t>
      </w:r>
    </w:p>
    <w:p>
      <w:pPr>
        <w:spacing w:after="0" w:line="144"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w:t>
      </w:r>
    </w:p>
    <w:p>
      <w:pPr>
        <w:spacing w:after="0" w:line="9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In late 2023, AeroFlexx installed and commissioned its second converter, and the first to utilize recyclable film, in West Chester, Ohio. AeroFlexx’s next converter has been installed and is expected to be fully commissioned by the end of the second quarter of 2025. 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901" w:orient="portrait"/>
          <w:cols w:equalWidth="0" w:num="1">
            <w:col w:w="9019"/>
          </w:cols>
          <w:pgMar w:left="1440" w:top="1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to be sufficient to meet projected demand through mid-2025, with additional capacity expansions being staged to meet customer needs as offtake agreements and customer traction warrants.</w:t>
      </w:r>
    </w:p>
    <w:p>
      <w:pPr>
        <w:sectPr>
          <w:pgSz w:w="11900" w:h="16901" w:orient="portrait"/>
          <w:cols w:equalWidth="0" w:num="1">
            <w:col w:w="9019"/>
          </w:cols>
          <w:pgMar w:left="1440" w:top="114" w:right="1440" w:bottom="0" w:gutter="0" w:footer="0" w:header="0"/>
          <w:type w:val="continuous"/>
        </w:sectPr>
      </w:pPr>
    </w:p>
    <w:bookmarkStart w:id="43" w:name="page44"/>
    <w:bookmarkEnd w:id="43"/>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Refinity is an early-stage company that is just beginning operations. In the first quarter of 2025, Refinity is building internal staff and developing capabilities to commercialize the fluidized bed technology licensed from VTT. Refinity is advancing its plastic waste sourcing strategy and has commissioned experimental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2025. Refinity is working both independently and with Dow to identify candidate sites for first commercial demonstration plant and is engaging Engineering, Procurement, and Construction (EPC) firms to begin design work for the first plant.</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Customer Landscape and Growth Strategy</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AeroFlexx is currently targeting CPG companies that utilize either rigid bottle with caps, pumps, or pouch packaging to deliver their liquid products to consumers. 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w:t>
      </w:r>
    </w:p>
    <w:p>
      <w:pPr>
        <w:spacing w:after="0" w:line="106"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Refinity will sell drop-in liquid and gas phase chemicals to petrochemical company customers, including Dow. Other prospective customers include multinationals such as BASF, CP Chem, SABIC, LyondellBasell, and Shell. 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 In addition, a market for liquid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spacing w:after="0" w:line="97"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 Licella, Eastman Chemical, and ExxonMobil use thermochemical conversion processes to convert plastic waste to hydrocarbon liquids.</w:t>
      </w:r>
    </w:p>
    <w:p>
      <w:pPr>
        <w:spacing w:after="0" w:line="101"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359"/>
        <w:spacing w:after="0" w:line="262" w:lineRule="auto"/>
        <w:rPr>
          <w:sz w:val="20"/>
          <w:szCs w:val="20"/>
          <w:color w:val="auto"/>
        </w:rPr>
      </w:pPr>
      <w:r>
        <w:rPr>
          <w:rFonts w:ascii="Times New Roman" w:cs="Times New Roman" w:eastAsia="Times New Roman" w:hAnsi="Times New Roman"/>
          <w:sz w:val="14"/>
          <w:szCs w:val="14"/>
          <w:color w:val="auto"/>
        </w:rPr>
        <w:t>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w:t>
      </w:r>
    </w:p>
    <w:p>
      <w:pPr>
        <w:spacing w:after="0" w:line="101"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Refinity is in the process of developing a comprehensive IP strategy that will build upon the portfolio of advanced recycling of mixed plastic waste patents and patent applications exclusively licensed from VTT.</w:t>
      </w:r>
    </w:p>
    <w:p>
      <w:pPr>
        <w:sectPr>
          <w:pgSz w:w="11900" w:h="16838" w:orient="portrait"/>
          <w:cols w:equalWidth="0" w:num="1">
            <w:col w:w="9019"/>
          </w:cols>
          <w:pgMar w:left="1440" w:top="211"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1440" w:right="1440" w:bottom="4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Board of Directors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 I Directors</w:t>
      </w:r>
    </w:p>
    <w:p>
      <w:pPr>
        <w:spacing w:after="0" w:line="140"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Gregory William (“Bill”) Haskell</w:t>
      </w:r>
      <w:r>
        <w:rPr>
          <w:rFonts w:ascii="Times New Roman" w:cs="Times New Roman" w:eastAsia="Times New Roman" w:hAnsi="Times New Roman"/>
          <w:sz w:val="14"/>
          <w:szCs w:val="14"/>
          <w:color w:val="auto"/>
        </w:rPr>
        <w:t>, 68, is Innventure’s CEO and a Class I director. Mr. Haskell previously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Chief Executive Officer and Manager 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w:t>
      </w:r>
    </w:p>
    <w:p>
      <w:pPr>
        <w:spacing w:after="0" w:line="272"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Daniel J. Hennessy</w:t>
      </w:r>
      <w:r>
        <w:rPr>
          <w:rFonts w:ascii="Times New Roman" w:cs="Times New Roman" w:eastAsia="Times New Roman" w:hAnsi="Times New Roman"/>
          <w:sz w:val="14"/>
          <w:szCs w:val="14"/>
          <w:color w:val="auto"/>
        </w:rPr>
        <w:t>, 67, is a Class I director and Learn CW’s director designee pursuant to the terms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Business Combination Agreement. Mr. Hennessy currently serves as Chairman and CEO of Hennessy Capital Investment Corp. VII (NASDAQ: HVII) and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w:t>
      </w:r>
    </w:p>
    <w:p>
      <w:pPr>
        <w:spacing w:after="0" w:line="107"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Michael Amalfitano</w:t>
      </w:r>
      <w:r>
        <w:rPr>
          <w:rFonts w:ascii="Times New Roman" w:cs="Times New Roman" w:eastAsia="Times New Roman" w:hAnsi="Times New Roman"/>
          <w:sz w:val="14"/>
          <w:szCs w:val="14"/>
          <w:color w:val="auto"/>
        </w:rPr>
        <w:t>, 64, is a Class I director of Innventure. Mr. Amalfitano has served as the President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CEO of Embraer Executive Aircraft, Inc., an 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w:t>
      </w:r>
    </w:p>
    <w:p>
      <w:pPr>
        <w:sectPr>
          <w:pgSz w:w="11900" w:h="16838" w:orient="portrait"/>
          <w:cols w:equalWidth="0" w:num="1">
            <w:col w:w="9019"/>
          </w:cols>
          <w:pgMar w:left="1440" w:top="1440" w:right="1440" w:bottom="405"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1440" w:right="1440" w:bottom="405" w:gutter="0" w:footer="0" w:header="0"/>
          <w:type w:val="continuous"/>
        </w:sectPr>
      </w:pPr>
    </w:p>
    <w:bookmarkStart w:id="45" w:name="page46"/>
    <w:bookmarkEnd w:id="45"/>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599"/>
        <w:spacing w:after="0" w:line="292" w:lineRule="auto"/>
        <w:rPr>
          <w:sz w:val="20"/>
          <w:szCs w:val="20"/>
          <w:color w:val="auto"/>
        </w:rPr>
      </w:pPr>
      <w:r>
        <w:rPr>
          <w:rFonts w:ascii="Times New Roman" w:cs="Times New Roman" w:eastAsia="Times New Roman" w:hAnsi="Times New Roman"/>
          <w:sz w:val="14"/>
          <w:szCs w:val="14"/>
          <w:color w:val="auto"/>
        </w:rPr>
        <w:t>Company believes that Mr. Amalfitano is well qualified to serve as a member of the Board due to his years of executive leadership and public company director experience.</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 II Directors</w:t>
      </w:r>
    </w:p>
    <w:p>
      <w:pPr>
        <w:spacing w:after="0" w:line="140"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David Yablunosky</w:t>
      </w:r>
      <w:r>
        <w:rPr>
          <w:rFonts w:ascii="Times New Roman" w:cs="Times New Roman" w:eastAsia="Times New Roman" w:hAnsi="Times New Roman"/>
          <w:sz w:val="14"/>
          <w:szCs w:val="14"/>
          <w:color w:val="auto"/>
        </w:rPr>
        <w:t>, 63, is Innventure’s CFO and a Class II director. Mr. Yablunosky has served as CFO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Innventure LLC since 2023. Previously, he was CFO of Embraer Aircraft Holding, Inc., the 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w:t>
      </w:r>
    </w:p>
    <w:p>
      <w:pPr>
        <w:spacing w:after="0" w:line="10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James (“Jim”) O. Donnally</w:t>
      </w:r>
      <w:r>
        <w:rPr>
          <w:rFonts w:ascii="Times New Roman" w:cs="Times New Roman" w:eastAsia="Times New Roman" w:hAnsi="Times New Roman"/>
          <w:sz w:val="14"/>
          <w:szCs w:val="14"/>
          <w:color w:val="auto"/>
        </w:rPr>
        <w:t>, 60, is a Class II director of Innventure. Mr. Donnally has served as a Manager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Innventure LLC since 2015 and as the Managing Member of Bellringer Consulting Group, LLC, a startup consulting company and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05"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Bruce Brown</w:t>
      </w:r>
      <w:r>
        <w:rPr>
          <w:rFonts w:ascii="Times New Roman" w:cs="Times New Roman" w:eastAsia="Times New Roman" w:hAnsi="Times New Roman"/>
          <w:sz w:val="14"/>
          <w:szCs w:val="14"/>
          <w:color w:val="auto"/>
        </w:rPr>
        <w:t>, 66, is a Class II director of Innventure. Mr. Brown retired from P&amp;G in 2014 after 34 years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 including six years 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 III Directors</w:t>
      </w:r>
    </w:p>
    <w:p>
      <w:pPr>
        <w:spacing w:after="0" w:line="140"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Michael (“Mike”) Otworth</w:t>
      </w:r>
      <w:r>
        <w:rPr>
          <w:rFonts w:ascii="Times New Roman" w:cs="Times New Roman" w:eastAsia="Times New Roman" w:hAnsi="Times New Roman"/>
          <w:sz w:val="14"/>
          <w:szCs w:val="14"/>
          <w:color w:val="auto"/>
        </w:rPr>
        <w:t>, 63, is Innventure’s Executive Chairman and a Class III director. Mr. Otworth has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Executive Chairman of Innventure 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w:t>
      </w:r>
    </w:p>
    <w:p>
      <w:pPr>
        <w:spacing w:after="0" w:line="10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Suzanne Niemeyer</w:t>
      </w:r>
      <w:r>
        <w:rPr>
          <w:rFonts w:ascii="Times New Roman" w:cs="Times New Roman" w:eastAsia="Times New Roman" w:hAnsi="Times New Roman"/>
          <w:sz w:val="14"/>
          <w:szCs w:val="14"/>
          <w:color w:val="auto"/>
        </w:rPr>
        <w:t>, 54, is Innventure’s General Counsel and a Class III director. She also serves as a director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Refinity Holdings, LLC. Ms. Niemeyer 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w:t>
      </w:r>
    </w:p>
    <w:p>
      <w:pPr>
        <w:sectPr>
          <w:pgSz w:w="11900" w:h="16910" w:orient="portrait"/>
          <w:cols w:equalWidth="0" w:num="1">
            <w:col w:w="9019"/>
          </w:cols>
          <w:pgMar w:left="1440" w:top="1005" w:right="1440" w:bottom="0" w:gutter="0" w:footer="0" w:header="0"/>
        </w:sectPr>
      </w:pPr>
    </w:p>
    <w:bookmarkStart w:id="46" w:name="page47"/>
    <w:bookmarkEnd w:id="46"/>
    <w:p>
      <w:pPr>
        <w:ind w:left="1160" w:right="1359"/>
        <w:spacing w:after="0" w:line="274" w:lineRule="auto"/>
        <w:rPr>
          <w:sz w:val="20"/>
          <w:szCs w:val="20"/>
          <w:color w:val="auto"/>
        </w:rPr>
      </w:pPr>
      <w:r>
        <w:rPr>
          <w:rFonts w:ascii="Times New Roman" w:cs="Times New Roman" w:eastAsia="Times New Roman" w:hAnsi="Times New Roman"/>
          <w:sz w:val="14"/>
          <w:szCs w:val="14"/>
          <w:color w:val="auto"/>
        </w:rPr>
        <w:t>Law Center. The Company believes that Ms. Niemeyer is well qualified to serve as a member of the Board due to her legal acumen and her significant experience in corporate governance matters and advising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-332740</wp:posOffset>
            </wp:positionV>
            <wp:extent cx="716026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0" w:lineRule="exact"/>
        <w:rPr>
          <w:sz w:val="20"/>
          <w:szCs w:val="20"/>
          <w:color w:val="auto"/>
        </w:rPr>
      </w:pPr>
    </w:p>
    <w:p>
      <w:pPr>
        <w:ind w:left="1160" w:right="1199" w:firstLine="25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Elizabeth Williams</w:t>
      </w:r>
      <w:r>
        <w:rPr>
          <w:rFonts w:ascii="Times New Roman" w:cs="Times New Roman" w:eastAsia="Times New Roman" w:hAnsi="Times New Roman"/>
          <w:sz w:val="14"/>
          <w:szCs w:val="14"/>
          <w:color w:val="auto"/>
        </w:rPr>
        <w:t>, 56, is a Class III director of Innventure. Ms. Williams has served as Managing Partner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Founder of &amp;Minds Partners, a consulting 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w:t>
      </w:r>
    </w:p>
    <w:p>
      <w:pPr>
        <w:spacing w:after="0" w:line="1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Our Executive Officers</w:t>
      </w:r>
    </w:p>
    <w:p>
      <w:pPr>
        <w:spacing w:after="0" w:line="142"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In addition to Mr. Haskell, our CEO, Mr. Yablunosky and our CFO, Mr. Otworth, our Executive Chairman, our executive officers are:</w:t>
      </w:r>
    </w:p>
    <w:p>
      <w:pPr>
        <w:spacing w:after="0" w:line="77" w:lineRule="exact"/>
        <w:rPr>
          <w:sz w:val="20"/>
          <w:szCs w:val="20"/>
          <w:color w:val="auto"/>
        </w:rPr>
      </w:pPr>
    </w:p>
    <w:p>
      <w:pPr>
        <w:ind w:left="1160" w:right="1259" w:firstLine="258"/>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Dr. John Scott</w:t>
      </w:r>
      <w:r>
        <w:rPr>
          <w:rFonts w:ascii="Times New Roman" w:cs="Times New Roman" w:eastAsia="Times New Roman" w:hAnsi="Times New Roman"/>
          <w:sz w:val="14"/>
          <w:szCs w:val="14"/>
          <w:color w:val="auto"/>
        </w:rPr>
        <w:t>, 74, is Innventure’s Chief Strategy Officer. Dr. Scott has served as Chief Strategy Officer at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Innventure LLC since 2015. Prior to co-founding Innventure LLC, Dr. Scott served as Founder and CEO of XLTG,</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spacing w:after="0" w:line="265" w:lineRule="auto"/>
        <w:rPr>
          <w:sz w:val="20"/>
          <w:szCs w:val="20"/>
          <w:color w:val="auto"/>
        </w:rPr>
      </w:pPr>
      <w:r>
        <w:rPr>
          <w:rFonts w:ascii="Times New Roman" w:cs="Times New Roman" w:eastAsia="Times New Roman" w:hAnsi="Times New Roman"/>
          <w:sz w:val="14"/>
          <w:szCs w:val="14"/>
          <w:color w:val="auto"/>
        </w:rPr>
        <w:t>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95"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Roland Austrup</w:t>
      </w:r>
      <w:r>
        <w:rPr>
          <w:rFonts w:ascii="Times New Roman" w:cs="Times New Roman" w:eastAsia="Times New Roman" w:hAnsi="Times New Roman"/>
          <w:sz w:val="14"/>
          <w:szCs w:val="14"/>
          <w:color w:val="auto"/>
        </w:rPr>
        <w:t>, 61, is Innventure’s Chief Growth Officer. Roland has served as Innventure LLC’s Chief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Growth Officer since June 2024 and as a member of Innventure LLC’s Executive Committee since 2023. Prior to his change of title to Chief Growth Officer in June 2024, Mr. Austrup had served as Head of Capital Markets since 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series of preferred stock outstanding, directors may be removed only for cause by an affirmative vote of at least two-thirds of the total voting power, at a meeting called for that purpose. The authorized number of directors may be changed by resolution of our Board. Vacancies on our Board can be filled by resolution of our Board.</w:t>
      </w:r>
    </w:p>
    <w:p>
      <w:pPr>
        <w:spacing w:after="0" w:line="101"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93" w:lineRule="exact"/>
        <w:rPr>
          <w:sz w:val="20"/>
          <w:szCs w:val="20"/>
          <w:color w:val="auto"/>
        </w:rPr>
      </w:pPr>
    </w:p>
    <w:p>
      <w:pPr>
        <w:ind w:left="1660" w:right="1259" w:hanging="249"/>
        <w:spacing w:after="0" w:line="292" w:lineRule="auto"/>
        <w:tabs>
          <w:tab w:leader="none" w:pos="1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 directors are Gregory W. Haskell, Daniel J. Hennessy and Michael Amalfitano, and their terms will expire at this year’s annual meeting;</w:t>
      </w:r>
    </w:p>
    <w:p>
      <w:pPr>
        <w:spacing w:after="0" w:line="80" w:lineRule="exact"/>
        <w:rPr>
          <w:rFonts w:ascii="Times New Roman" w:cs="Times New Roman" w:eastAsia="Times New Roman" w:hAnsi="Times New Roman"/>
          <w:sz w:val="14"/>
          <w:szCs w:val="14"/>
          <w:color w:val="auto"/>
        </w:rPr>
      </w:pPr>
    </w:p>
    <w:p>
      <w:pPr>
        <w:ind w:left="1660" w:right="1439" w:hanging="249"/>
        <w:spacing w:after="0" w:line="292" w:lineRule="auto"/>
        <w:tabs>
          <w:tab w:leader="none" w:pos="1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II directors are David Yablunosky, James O. Donnally and Bruce Brown, and their terms will expire at the annual meeting of stockholders to be held in 2026; and</w:t>
      </w:r>
    </w:p>
    <w:p>
      <w:pPr>
        <w:spacing w:after="0" w:line="80"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III directors are Michael Otworth, Suzanne Niemeyer and Elizabeth Williams, and their terms expire at the annual meeting of stockholders to be held in 2027.</w:t>
      </w:r>
    </w:p>
    <w:p>
      <w:pPr>
        <w:spacing w:after="0" w:line="81"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Director Nominations</w:t>
      </w:r>
    </w:p>
    <w:p>
      <w:pPr>
        <w:spacing w:after="0" w:line="142"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Nominating and Corporate Governance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Agreements to Nominate Certain Directors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Mr. Hennessy is a director designated by Learn CW pursuant to the Business Combination Agreement.</w:t>
      </w:r>
    </w:p>
    <w:p>
      <w:pPr>
        <w:sectPr>
          <w:pgSz w:w="11900" w:h="16838" w:orient="portrait"/>
          <w:cols w:equalWidth="0" w:num="1">
            <w:col w:w="9019"/>
          </w:cols>
          <w:pgMar w:left="1440" w:top="114" w:right="1440" w:bottom="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Additionally, in connection with the Closing,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99"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97" w:lineRule="exact"/>
        <w:rPr>
          <w:sz w:val="20"/>
          <w:szCs w:val="20"/>
          <w:color w:val="auto"/>
        </w:rPr>
      </w:pPr>
    </w:p>
    <w:p>
      <w:pPr>
        <w:ind w:left="1660" w:right="157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seven (7) directors, so long as the Founding Investors beneficially own greater than 70% of the outstanding shares of Common Stock;</w:t>
      </w:r>
    </w:p>
    <w:p>
      <w:pPr>
        <w:spacing w:after="0" w:line="80" w:lineRule="exact"/>
        <w:rPr>
          <w:rFonts w:ascii="Times New Roman" w:cs="Times New Roman" w:eastAsia="Times New Roman" w:hAnsi="Times New Roman"/>
          <w:sz w:val="14"/>
          <w:szCs w:val="14"/>
          <w:color w:val="auto"/>
        </w:rPr>
      </w:pPr>
    </w:p>
    <w:p>
      <w:pPr>
        <w:ind w:left="1660" w:right="141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six (6) directors, so long as the Founding Investors beneficially own more than 50%, but less than 70%, of the outstanding shares of Common Stock;</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four (4) directors, so long as the Founding Investors beneficially own at least 40%, but less than 50%, of the outstanding shares of Common Stock;</w:t>
      </w:r>
    </w:p>
    <w:p>
      <w:pPr>
        <w:spacing w:after="0" w:line="80"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three (3) directors, so long as the Founding Investors beneficially own at least 20%, but less than 40%, of the outstanding shares of Common Stock; and</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two (2) director, so long as the Founding Investors beneficially own at least 5%, but less than 20%, of the outstanding common shares of the Company.</w:t>
      </w:r>
    </w:p>
    <w:p>
      <w:pPr>
        <w:spacing w:after="0" w:line="8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four (4) Founding Investor Nominees.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Stockholder Nominations &amp; Filling Vacancies</w:t>
      </w:r>
    </w:p>
    <w:p>
      <w:pPr>
        <w:spacing w:after="0" w:line="144"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w:t>
      </w:r>
    </w:p>
    <w:p>
      <w:pPr>
        <w:spacing w:after="0" w:line="99" w:lineRule="exact"/>
        <w:rPr>
          <w:sz w:val="20"/>
          <w:szCs w:val="20"/>
          <w:color w:val="auto"/>
        </w:rPr>
      </w:pPr>
    </w:p>
    <w:p>
      <w:pPr>
        <w:ind w:left="1160" w:right="1279" w:firstLine="258"/>
        <w:spacing w:after="0" w:line="258" w:lineRule="auto"/>
        <w:rPr>
          <w:sz w:val="20"/>
          <w:szCs w:val="20"/>
          <w:color w:val="auto"/>
        </w:rPr>
      </w:pPr>
      <w:r>
        <w:rPr>
          <w:rFonts w:ascii="Times New Roman" w:cs="Times New Roman" w:eastAsia="Times New Roman" w:hAnsi="Times New Roman"/>
          <w:sz w:val="14"/>
          <w:szCs w:val="14"/>
          <w:color w:val="auto"/>
        </w:rPr>
        <w:t>Pursuant to Article VI of our Certificate of Incorporation, subject to the rights, if any, of the holders of any series of preferred stock and the rights of Learn CW and the Founding Investors under the Business Combination Agreement and 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Additionally, for so long as Learn CW has the right to select one director to the Board, any vacancy with respect to the Learn CW director may only be filled by Learn CW.</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42" w:lineRule="exact"/>
        <w:rPr>
          <w:sz w:val="20"/>
          <w:szCs w:val="20"/>
          <w:color w:val="auto"/>
        </w:rPr>
      </w:pPr>
    </w:p>
    <w:p>
      <w:pPr>
        <w:ind w:left="1160" w:right="1479" w:firstLine="258"/>
        <w:spacing w:after="0" w:line="274" w:lineRule="auto"/>
        <w:rPr>
          <w:sz w:val="20"/>
          <w:szCs w:val="20"/>
          <w:color w:val="auto"/>
        </w:rPr>
      </w:pPr>
      <w:r>
        <w:rPr>
          <w:rFonts w:ascii="Times New Roman" w:cs="Times New Roman" w:eastAsia="Times New Roman" w:hAnsi="Times New Roman"/>
          <w:sz w:val="14"/>
          <w:szCs w:val="14"/>
          <w:color w:val="auto"/>
        </w:rPr>
        <w:t>During 2024, our Board had an Audit Committee, a Compensation Committee, and a N&amp;CG Committee to support the full Board with various risk management governance, and strategic responsibilities. The current members of these committees are described below.</w:t>
      </w:r>
    </w:p>
    <w:p>
      <w:pPr>
        <w:spacing w:after="0" w:line="15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1"/>
          <w:szCs w:val="11"/>
          <w:b w:val="1"/>
          <w:bCs w:val="1"/>
          <w:color w:val="auto"/>
        </w:rPr>
        <w:t>Committee Assignments</w:t>
      </w:r>
    </w:p>
    <w:p>
      <w:pPr>
        <w:spacing w:after="0" w:line="45" w:lineRule="exact"/>
        <w:rPr>
          <w:sz w:val="20"/>
          <w:szCs w:val="20"/>
          <w:color w:val="auto"/>
        </w:rPr>
      </w:pPr>
    </w:p>
    <w:p>
      <w:pPr>
        <w:ind w:left="2520"/>
        <w:spacing w:after="0"/>
        <w:tabs>
          <w:tab w:leader="none" w:pos="3060" w:val="left"/>
          <w:tab w:leader="none" w:pos="3520" w:val="left"/>
          <w:tab w:leader="none" w:pos="4080" w:val="left"/>
          <w:tab w:leader="none" w:pos="4680" w:val="left"/>
          <w:tab w:leader="none" w:pos="5360" w:val="left"/>
          <w:tab w:leader="none" w:pos="5900" w:val="left"/>
          <w:tab w:leader="none" w:pos="6660" w:val="left"/>
          <w:tab w:leader="none" w:pos="7260" w:val="left"/>
        </w:tabs>
        <w:rPr>
          <w:sz w:val="20"/>
          <w:szCs w:val="20"/>
          <w:color w:val="auto"/>
        </w:rPr>
      </w:pPr>
      <w:r>
        <w:rPr>
          <w:rFonts w:ascii="Times New Roman" w:cs="Times New Roman" w:eastAsia="Times New Roman" w:hAnsi="Times New Roman"/>
          <w:sz w:val="11"/>
          <w:szCs w:val="11"/>
          <w:b w:val="1"/>
          <w:bCs w:val="1"/>
          <w:color w:val="auto"/>
        </w:rPr>
        <w:t>Donnally</w:t>
        <w:tab/>
        <w:t>Brown</w:t>
        <w:tab/>
        <w:t>Williams</w:t>
        <w:tab/>
        <w:t>Hennessy</w:t>
        <w:tab/>
        <w:t>Amalfitano</w:t>
        <w:tab/>
        <w:t>Haskell*</w:t>
        <w:tab/>
        <w:t>Yablunosky*</w:t>
        <w:tab/>
        <w:t>Otworth*</w:t>
        <w:tab/>
        <w:t>Niemeyer*</w:t>
      </w:r>
    </w:p>
    <w:p>
      <w:pPr>
        <w:sectPr>
          <w:pgSz w:w="11900" w:h="16838" w:orient="portrait"/>
          <w:cols w:equalWidth="0" w:num="1">
            <w:col w:w="9019"/>
          </w:cols>
          <w:pgMar w:left="1440" w:top="404" w:right="1440" w:bottom="0" w:gutter="0" w:footer="0" w:header="0"/>
        </w:sectPr>
      </w:pPr>
    </w:p>
    <w:p>
      <w:pPr>
        <w:spacing w:after="0" w:line="37" w:lineRule="exact"/>
        <w:rPr>
          <w:sz w:val="20"/>
          <w:szCs w:val="20"/>
          <w:color w:val="auto"/>
        </w:rPr>
      </w:pPr>
    </w:p>
    <w:p>
      <w:pPr>
        <w:ind w:left="1200"/>
        <w:spacing w:after="0"/>
        <w:tabs>
          <w:tab w:leader="none" w:pos="2660" w:val="left"/>
          <w:tab w:leader="none" w:pos="3700" w:val="left"/>
          <w:tab w:leader="none" w:pos="4260" w:val="left"/>
        </w:tabs>
        <w:rPr>
          <w:sz w:val="20"/>
          <w:szCs w:val="20"/>
          <w:color w:val="auto"/>
        </w:rPr>
      </w:pPr>
      <w:r>
        <w:rPr>
          <w:rFonts w:ascii="Times New Roman" w:cs="Times New Roman" w:eastAsia="Times New Roman" w:hAnsi="Times New Roman"/>
          <w:sz w:val="14"/>
          <w:szCs w:val="14"/>
          <w:b w:val="1"/>
          <w:bCs w:val="1"/>
          <w:color w:val="auto"/>
        </w:rPr>
        <w:t xml:space="preserve">Audit </w:t>
      </w:r>
      <w:r>
        <w:rPr>
          <w:rFonts w:ascii="Times New Roman" w:cs="Times New Roman" w:eastAsia="Times New Roman" w:hAnsi="Times New Roman"/>
          <w:sz w:val="14"/>
          <w:szCs w:val="14"/>
          <w:color w:val="B4B4B4"/>
        </w:rPr>
        <w:t>........................</w:t>
      </w:r>
      <w:r>
        <w:rPr>
          <w:sz w:val="20"/>
          <w:szCs w:val="20"/>
          <w:color w:val="auto"/>
        </w:rPr>
        <w:tab/>
      </w:r>
      <w:r>
        <w:rPr>
          <w:rFonts w:ascii="Times New Roman" w:cs="Times New Roman" w:eastAsia="Times New Roman" w:hAnsi="Times New Roman"/>
          <w:sz w:val="14"/>
          <w:szCs w:val="14"/>
          <w:color w:val="auto"/>
        </w:rPr>
        <w:t>C</w:t>
      </w:r>
      <w:r>
        <w:rPr>
          <w:sz w:val="20"/>
          <w:szCs w:val="20"/>
          <w:color w:val="auto"/>
        </w:rPr>
        <w:tab/>
      </w:r>
      <w:r>
        <w:rPr>
          <w:rFonts w:ascii="Times New Roman" w:cs="Times New Roman" w:eastAsia="Times New Roman" w:hAnsi="Times New Roman"/>
          <w:sz w:val="14"/>
          <w:szCs w:val="14"/>
          <w:color w:val="auto"/>
        </w:rPr>
        <w:t>X</w:t>
      </w:r>
      <w:r>
        <w:rPr>
          <w:sz w:val="20"/>
          <w:szCs w:val="20"/>
          <w:color w:val="auto"/>
        </w:rPr>
        <w:tab/>
      </w:r>
      <w:r>
        <w:rPr>
          <w:rFonts w:ascii="Times New Roman" w:cs="Times New Roman" w:eastAsia="Times New Roman" w:hAnsi="Times New Roman"/>
          <w:sz w:val="13"/>
          <w:szCs w:val="13"/>
          <w:color w:val="auto"/>
        </w:rPr>
        <w:t>X</w:t>
      </w:r>
    </w:p>
    <w:p>
      <w:pPr>
        <w:sectPr>
          <w:pgSz w:w="11900" w:h="16838" w:orient="portrait"/>
          <w:cols w:equalWidth="0" w:num="1">
            <w:col w:w="9019"/>
          </w:cols>
          <w:pgMar w:left="1440" w:top="404" w:right="1440" w:bottom="0" w:gutter="0" w:footer="0" w:header="0"/>
          <w:type w:val="continuous"/>
        </w:sectPr>
      </w:pPr>
    </w:p>
    <w:bookmarkStart w:id="48" w:name="page49"/>
    <w:bookmarkEnd w:id="48"/>
    <w:p>
      <w:pPr>
        <w:spacing w:after="0" w:line="110"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color w:val="B4B4B4"/>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X</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N&amp;CG</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X</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X</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320" w:type="dxa"/>
            <w:vAlign w:val="bottom"/>
            <w:vMerge w:val="restart"/>
          </w:tcPr>
          <w:p>
            <w:pPr>
              <w:jc w:val="right"/>
              <w:ind w:right="233"/>
              <w:spacing w:after="0"/>
              <w:rPr>
                <w:sz w:val="20"/>
                <w:szCs w:val="20"/>
                <w:color w:val="auto"/>
              </w:rPr>
            </w:pPr>
            <w:r>
              <w:rPr>
                <w:rFonts w:ascii="Times New Roman" w:cs="Times New Roman" w:eastAsia="Times New Roman" w:hAnsi="Times New Roman"/>
                <w:sz w:val="11"/>
                <w:szCs w:val="11"/>
                <w:color w:val="auto"/>
              </w:rPr>
              <w:t>__________________</w:t>
            </w: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3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-314325</wp:posOffset>
            </wp:positionV>
            <wp:extent cx="716026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09" w:lineRule="exact"/>
        <w:rPr>
          <w:sz w:val="20"/>
          <w:szCs w:val="20"/>
          <w:color w:val="auto"/>
        </w:rPr>
      </w:pPr>
    </w:p>
    <w:p>
      <w:pPr>
        <w:ind w:left="1420" w:hanging="267"/>
        <w:spacing w:after="0"/>
        <w:tabs>
          <w:tab w:leader="none" w:pos="1420" w:val="left"/>
        </w:tabs>
        <w:numPr>
          <w:ilvl w:val="0"/>
          <w:numId w:val="41"/>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Not independent</w:t>
      </w:r>
    </w:p>
    <w:p>
      <w:pPr>
        <w:spacing w:after="0" w:line="125"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Each member of our three standing committees is independent under applicable SEC and NASDAQ rules. Therefore, Mr. Haskell, Mr. Yablunosky, Mr. Otworth and Ms. Niemeyer do not serve on any of our three standing committees. The Board has determined that the members of the Audit Committee meet the requirements for independence of Audit Committee members under applicable SEC and NASDAQ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right="2299" w:firstLine="1122"/>
        <w:spacing w:after="0" w:line="449" w:lineRule="auto"/>
        <w:rPr>
          <w:sz w:val="20"/>
          <w:szCs w:val="20"/>
          <w:color w:val="auto"/>
        </w:rPr>
      </w:pPr>
      <w:r>
        <w:rPr>
          <w:rFonts w:ascii="Times New Roman" w:cs="Times New Roman" w:eastAsia="Times New Roman" w:hAnsi="Times New Roman"/>
          <w:sz w:val="14"/>
          <w:szCs w:val="14"/>
          <w:b w:val="1"/>
          <w:bCs w:val="1"/>
          <w:color w:val="auto"/>
        </w:rPr>
        <w:t xml:space="preserve">EXECUTIVE AND DIRECTOR COMPENSATION OF INNVENTURE </w:t>
      </w:r>
      <w:r>
        <w:rPr>
          <w:rFonts w:ascii="Times New Roman" w:cs="Times New Roman" w:eastAsia="Times New Roman" w:hAnsi="Times New Roman"/>
          <w:sz w:val="14"/>
          <w:szCs w:val="14"/>
          <w:i w:val="1"/>
          <w:iCs w:val="1"/>
          <w:color w:val="auto"/>
        </w:rPr>
        <w:t>All dollar amounts (“$”) in this section reflect actual amounts.</w:t>
      </w:r>
    </w:p>
    <w:p>
      <w:pPr>
        <w:spacing w:after="0" w:line="1"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w:t>
      </w:r>
    </w:p>
    <w:p>
      <w:pPr>
        <w:spacing w:after="0" w:line="101"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Gregory W. (Bill) Haskell was Innventure’s principal executive officer for the entirety of 2024. The two most highly compensated executive officers of Innventure that were serving in such capacity at the end of 2024 (other than Mr. Haskell) were Mike Otworth and Dr. John Scott.</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Therefore, for the fiscal year ended December 31, 2024, Innventure’s NEOs were:</w:t>
      </w:r>
    </w:p>
    <w:p>
      <w:pPr>
        <w:spacing w:after="0" w:line="140" w:lineRule="exact"/>
        <w:rPr>
          <w:sz w:val="20"/>
          <w:szCs w:val="20"/>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Gregory W. (Bill) Haskell, Chief Executive Officer and Manager;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Mike Otworth, Executive Chairman;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John Scott, Chief Strategy Officer.</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2024 Business Combination</w:t>
      </w:r>
    </w:p>
    <w:p>
      <w:pPr>
        <w:spacing w:after="0" w:line="142" w:lineRule="exact"/>
        <w:rPr>
          <w:sz w:val="20"/>
          <w:szCs w:val="20"/>
          <w:color w:val="auto"/>
        </w:rPr>
      </w:pPr>
    </w:p>
    <w:p>
      <w:pPr>
        <w:jc w:val="both"/>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w:t>
      </w:r>
    </w:p>
    <w:p>
      <w:pPr>
        <w:spacing w:after="0" w:line="2" w:lineRule="exact"/>
        <w:rPr>
          <w:sz w:val="20"/>
          <w:szCs w:val="20"/>
          <w:color w:val="auto"/>
        </w:rPr>
      </w:pPr>
    </w:p>
    <w:p>
      <w:pPr>
        <w:ind w:left="1160" w:right="1259"/>
        <w:spacing w:after="0" w:line="272" w:lineRule="auto"/>
        <w:rPr>
          <w:sz w:val="20"/>
          <w:szCs w:val="20"/>
          <w:color w:val="auto"/>
        </w:rPr>
      </w:pPr>
      <w:r>
        <w:rPr>
          <w:rFonts w:ascii="Times New Roman" w:cs="Times New Roman" w:eastAsia="Times New Roman" w:hAnsi="Times New Roman"/>
          <w:sz w:val="14"/>
          <w:szCs w:val="14"/>
          <w:color w:val="auto"/>
        </w:rPr>
        <w:t>Haskell and Otworth and Dr. Scott are still serving as executive officers of Innventure following the consummation of the Business Combination.</w:t>
      </w:r>
    </w:p>
    <w:p>
      <w:pPr>
        <w:spacing w:after="0" w:line="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2024 Summary Compensation Table</w:t>
      </w:r>
    </w:p>
    <w:p>
      <w:pPr>
        <w:spacing w:after="0" w:line="142"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provides information regarding the compensation of Innventure’s NEOs for 2024 and 2023, as applicable.</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3"/>
              </w:rPr>
              <w:t>Non-Equity</w:t>
            </w: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2"/>
              </w:rPr>
              <w:t>All Other</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Name and Principal</w:t>
            </w:r>
          </w:p>
        </w:tc>
        <w:tc>
          <w:tcPr>
            <w:tcW w:w="4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7"/>
              </w:rPr>
              <w:t>Fiscal</w:t>
            </w:r>
          </w:p>
        </w:tc>
        <w:tc>
          <w:tcPr>
            <w:tcW w:w="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9"/>
                <w:szCs w:val="9"/>
                <w:b w:val="1"/>
                <w:bCs w:val="1"/>
                <w:color w:val="auto"/>
              </w:rPr>
              <w:t>Salary</w:t>
            </w: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9"/>
                <w:szCs w:val="9"/>
                <w:b w:val="1"/>
                <w:bCs w:val="1"/>
                <w:color w:val="auto"/>
              </w:rPr>
              <w:t>Bonus</w:t>
            </w:r>
          </w:p>
        </w:tc>
        <w:tc>
          <w:tcPr>
            <w:tcW w:w="7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7"/>
              </w:rPr>
              <w:t>Incentive Plan</w:t>
            </w:r>
          </w:p>
        </w:tc>
        <w:tc>
          <w:tcPr>
            <w:tcW w:w="76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60" w:type="dxa"/>
            <w:vAlign w:val="bottom"/>
            <w:gridSpan w:val="2"/>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gridSpan w:val="2"/>
          </w:tcPr>
          <w:p>
            <w:pPr>
              <w:jc w:val="center"/>
              <w:ind w:right="40"/>
              <w:spacing w:after="0" w:line="86" w:lineRule="exact"/>
              <w:rPr>
                <w:sz w:val="20"/>
                <w:szCs w:val="20"/>
                <w:color w:val="auto"/>
              </w:rPr>
            </w:pPr>
            <w:r>
              <w:rPr>
                <w:rFonts w:ascii="Times New Roman" w:cs="Times New Roman" w:eastAsia="Times New Roman" w:hAnsi="Times New Roman"/>
                <w:sz w:val="9"/>
                <w:szCs w:val="9"/>
                <w:b w:val="1"/>
                <w:bCs w:val="1"/>
                <w:color w:val="auto"/>
                <w:w w:val="93"/>
              </w:rPr>
              <w:t>Awards</w:t>
            </w:r>
          </w:p>
        </w:tc>
        <w:tc>
          <w:tcPr>
            <w:tcW w:w="78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3"/>
              </w:rPr>
              <w:t>Awards</w:t>
            </w:r>
          </w:p>
        </w:tc>
        <w:tc>
          <w:tcPr>
            <w:tcW w:w="7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7"/>
              </w:rPr>
              <w:t>Compensation</w:t>
            </w:r>
          </w:p>
        </w:tc>
        <w:tc>
          <w:tcPr>
            <w:tcW w:w="76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7"/>
              </w:rPr>
              <w:t>Compensation</w:t>
            </w:r>
          </w:p>
        </w:tc>
        <w:tc>
          <w:tcPr>
            <w:tcW w:w="720" w:type="dxa"/>
            <w:vAlign w:val="bottom"/>
            <w:vMerge w:val="restart"/>
          </w:tcPr>
          <w:p>
            <w:pPr>
              <w:jc w:val="right"/>
              <w:ind w:right="165"/>
              <w:spacing w:after="0"/>
              <w:rPr>
                <w:sz w:val="20"/>
                <w:szCs w:val="20"/>
                <w:color w:val="auto"/>
              </w:rPr>
            </w:pPr>
            <w:r>
              <w:rPr>
                <w:rFonts w:ascii="Times New Roman" w:cs="Times New Roman" w:eastAsia="Times New Roman" w:hAnsi="Times New Roman"/>
                <w:sz w:val="9"/>
                <w:szCs w:val="9"/>
                <w:b w:val="1"/>
                <w:bCs w:val="1"/>
                <w:color w:val="auto"/>
              </w:rPr>
              <w:t>Total ($)</w:t>
            </w:r>
          </w:p>
        </w:tc>
        <w:tc>
          <w:tcPr>
            <w:tcW w:w="0" w:type="dxa"/>
            <w:vAlign w:val="bottom"/>
          </w:tcPr>
          <w:p>
            <w:pPr>
              <w:spacing w:after="0"/>
              <w:rPr>
                <w:sz w:val="1"/>
                <w:szCs w:val="1"/>
                <w:color w:val="auto"/>
              </w:rPr>
            </w:pPr>
          </w:p>
        </w:tc>
      </w:tr>
      <w:tr>
        <w:trPr>
          <w:trHeight w:val="129"/>
        </w:trPr>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Position</w:t>
            </w:r>
          </w:p>
        </w:tc>
        <w:tc>
          <w:tcPr>
            <w:tcW w:w="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Year</w:t>
            </w: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1"/>
                <w:szCs w:val="11"/>
                <w:b w:val="1"/>
                <w:bCs w:val="1"/>
                <w:color w:val="auto"/>
                <w:vertAlign w:val="superscript"/>
              </w:rPr>
              <w:t>(1)</w:t>
            </w: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1"/>
                <w:szCs w:val="11"/>
                <w:b w:val="1"/>
                <w:bCs w:val="1"/>
                <w:color w:val="auto"/>
                <w:vertAlign w:val="superscript"/>
              </w:rPr>
              <w:t>(2)</w:t>
            </w: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3"/>
              </w:rPr>
              <w:t>($)</w:t>
            </w:r>
            <w:r>
              <w:rPr>
                <w:rFonts w:ascii="Times New Roman" w:cs="Times New Roman" w:eastAsia="Times New Roman" w:hAnsi="Times New Roman"/>
                <w:sz w:val="11"/>
                <w:szCs w:val="11"/>
                <w:b w:val="1"/>
                <w:bCs w:val="1"/>
                <w:color w:val="auto"/>
                <w:w w:val="83"/>
                <w:vertAlign w:val="superscript"/>
              </w:rPr>
              <w:t>(3)</w:t>
            </w: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3"/>
              </w:rPr>
              <w:t>($)</w:t>
            </w:r>
            <w:r>
              <w:rPr>
                <w:rFonts w:ascii="Times New Roman" w:cs="Times New Roman" w:eastAsia="Times New Roman" w:hAnsi="Times New Roman"/>
                <w:sz w:val="11"/>
                <w:szCs w:val="11"/>
                <w:b w:val="1"/>
                <w:bCs w:val="1"/>
                <w:color w:val="auto"/>
                <w:w w:val="83"/>
                <w:vertAlign w:val="superscript"/>
              </w:rPr>
              <w:t>(4)</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r>
              <w:rPr>
                <w:rFonts w:ascii="Times New Roman" w:cs="Times New Roman" w:eastAsia="Times New Roman" w:hAnsi="Times New Roman"/>
                <w:sz w:val="11"/>
                <w:szCs w:val="11"/>
                <w:b w:val="1"/>
                <w:bCs w:val="1"/>
                <w:color w:val="auto"/>
                <w:w w:val="94"/>
                <w:vertAlign w:val="superscript"/>
              </w:rPr>
              <w:t>(5)</w:t>
            </w:r>
          </w:p>
        </w:tc>
        <w:tc>
          <w:tcPr>
            <w:tcW w:w="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160" w:type="dxa"/>
            <w:vAlign w:val="bottom"/>
            <w:gridSpan w:val="2"/>
            <w:shd w:val="clear" w:color="auto" w:fill="CCEEFF"/>
          </w:tcPr>
          <w:p>
            <w:pPr>
              <w:ind w:left="40"/>
              <w:spacing w:after="0" w:line="113" w:lineRule="exact"/>
              <w:rPr>
                <w:sz w:val="20"/>
                <w:szCs w:val="20"/>
                <w:color w:val="auto"/>
              </w:rPr>
            </w:pPr>
            <w:r>
              <w:rPr>
                <w:rFonts w:ascii="Times New Roman" w:cs="Times New Roman" w:eastAsia="Times New Roman" w:hAnsi="Times New Roman"/>
                <w:sz w:val="11"/>
                <w:szCs w:val="11"/>
                <w:color w:val="auto"/>
              </w:rPr>
              <w:t>Gregory W. (Bill)</w:t>
            </w: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13,800</w:t>
            </w:r>
          </w:p>
        </w:tc>
        <w:tc>
          <w:tcPr>
            <w:tcW w:w="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2,813,800</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Haskell </w:t>
            </w:r>
            <w:r>
              <w:rPr>
                <w:rFonts w:ascii="Times New Roman" w:cs="Times New Roman" w:eastAsia="Times New Roman" w:hAnsi="Times New Roman"/>
                <w:sz w:val="11"/>
                <w:szCs w:val="11"/>
                <w:color w:val="B4B4B4"/>
              </w:rPr>
              <w:t>...................</w:t>
            </w:r>
          </w:p>
        </w:tc>
        <w:tc>
          <w:tcPr>
            <w:tcW w:w="3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Chief Executive</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4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12,000</w:t>
            </w:r>
          </w:p>
        </w:tc>
        <w:tc>
          <w:tcPr>
            <w:tcW w:w="40" w:type="dxa"/>
            <w:vAlign w:val="bottom"/>
          </w:tcPr>
          <w:p>
            <w:pPr>
              <w:spacing w:after="0"/>
              <w:rPr>
                <w:sz w:val="11"/>
                <w:szCs w:val="11"/>
                <w:color w:val="auto"/>
              </w:rPr>
            </w:pP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492,000</w:t>
            </w:r>
          </w:p>
        </w:tc>
        <w:tc>
          <w:tcPr>
            <w:tcW w:w="0" w:type="dxa"/>
            <w:vAlign w:val="bottom"/>
          </w:tcPr>
          <w:p>
            <w:pPr>
              <w:spacing w:after="0"/>
              <w:rPr>
                <w:sz w:val="1"/>
                <w:szCs w:val="1"/>
                <w:color w:val="auto"/>
              </w:rPr>
            </w:pPr>
          </w:p>
        </w:tc>
      </w:tr>
      <w:tr>
        <w:trPr>
          <w:trHeight w:val="152"/>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 xml:space="preserve">Officer </w:t>
            </w:r>
            <w:r>
              <w:rPr>
                <w:rFonts w:ascii="Times New Roman" w:cs="Times New Roman" w:eastAsia="Times New Roman" w:hAnsi="Times New Roman"/>
                <w:sz w:val="11"/>
                <w:szCs w:val="11"/>
                <w:color w:val="B4B4B4"/>
              </w:rPr>
              <w:t>....................</w:t>
            </w:r>
          </w:p>
        </w:tc>
        <w:tc>
          <w:tcPr>
            <w:tcW w:w="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Mike Otworth </w:t>
            </w:r>
            <w:r>
              <w:rPr>
                <w:rFonts w:ascii="Times New Roman" w:cs="Times New Roman" w:eastAsia="Times New Roman" w:hAnsi="Times New Roman"/>
                <w:sz w:val="11"/>
                <w:szCs w:val="11"/>
                <w:color w:val="B4B4B4"/>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7,001,001</w:t>
            </w: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7,577,786</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14,878,787</w:t>
            </w:r>
          </w:p>
        </w:tc>
        <w:tc>
          <w:tcPr>
            <w:tcW w:w="0" w:type="dxa"/>
            <w:vAlign w:val="bottom"/>
          </w:tcPr>
          <w:p>
            <w:pPr>
              <w:spacing w:after="0"/>
              <w:rPr>
                <w:sz w:val="1"/>
                <w:szCs w:val="1"/>
                <w:color w:val="auto"/>
              </w:rPr>
            </w:pPr>
          </w:p>
        </w:tc>
      </w:tr>
      <w:tr>
        <w:trPr>
          <w:trHeight w:val="1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Executive Chairman</w:t>
            </w:r>
            <w:r>
              <w:rPr>
                <w:rFonts w:ascii="Times New Roman" w:cs="Times New Roman" w:eastAsia="Times New Roman" w:hAnsi="Times New Roman"/>
                <w:sz w:val="14"/>
                <w:szCs w:val="14"/>
                <w:color w:val="auto"/>
                <w:vertAlign w:val="superscript"/>
              </w:rPr>
              <w:t>(6)</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480,000</w:t>
            </w:r>
          </w:p>
        </w:tc>
        <w:tc>
          <w:tcPr>
            <w:tcW w:w="0" w:type="dxa"/>
            <w:vAlign w:val="bottom"/>
          </w:tcPr>
          <w:p>
            <w:pPr>
              <w:spacing w:after="0"/>
              <w:rPr>
                <w:sz w:val="1"/>
                <w:szCs w:val="1"/>
                <w:color w:val="auto"/>
              </w:rPr>
            </w:pPr>
          </w:p>
        </w:tc>
      </w:tr>
      <w:tr>
        <w:trPr>
          <w:trHeight w:val="172"/>
        </w:trPr>
        <w:tc>
          <w:tcPr>
            <w:tcW w:w="1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Dr. John Scott </w:t>
            </w:r>
            <w:r>
              <w:rPr>
                <w:rFonts w:ascii="Times New Roman" w:cs="Times New Roman" w:eastAsia="Times New Roman" w:hAnsi="Times New Roman"/>
                <w:sz w:val="11"/>
                <w:szCs w:val="11"/>
                <w:color w:val="B4B4B4"/>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4,100,005</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6,935,489</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11,335,494</w:t>
            </w:r>
          </w:p>
        </w:tc>
        <w:tc>
          <w:tcPr>
            <w:tcW w:w="0" w:type="dxa"/>
            <w:vAlign w:val="bottom"/>
          </w:tcPr>
          <w:p>
            <w:pPr>
              <w:spacing w:after="0"/>
              <w:rPr>
                <w:sz w:val="1"/>
                <w:szCs w:val="1"/>
                <w:color w:val="auto"/>
              </w:rPr>
            </w:pPr>
          </w:p>
        </w:tc>
      </w:tr>
      <w:tr>
        <w:trPr>
          <w:trHeight w:val="13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Chief Strategy</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4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ind w:right="5"/>
              <w:spacing w:after="0"/>
              <w:rPr>
                <w:sz w:val="20"/>
                <w:szCs w:val="20"/>
                <w:color w:val="auto"/>
              </w:rPr>
            </w:pPr>
            <w:r>
              <w:rPr>
                <w:rFonts w:ascii="Times New Roman" w:cs="Times New Roman" w:eastAsia="Times New Roman" w:hAnsi="Times New Roman"/>
                <w:sz w:val="11"/>
                <w:szCs w:val="11"/>
                <w:color w:val="auto"/>
              </w:rPr>
              <w:t>480,000</w:t>
            </w:r>
          </w:p>
        </w:tc>
        <w:tc>
          <w:tcPr>
            <w:tcW w:w="0" w:type="dxa"/>
            <w:vAlign w:val="bottom"/>
          </w:tcPr>
          <w:p>
            <w:pPr>
              <w:spacing w:after="0"/>
              <w:rPr>
                <w:sz w:val="1"/>
                <w:szCs w:val="1"/>
                <w:color w:val="auto"/>
              </w:rPr>
            </w:pPr>
          </w:p>
        </w:tc>
      </w:tr>
      <w:tr>
        <w:trPr>
          <w:trHeight w:val="196"/>
        </w:trPr>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Officer</w:t>
            </w:r>
            <w:r>
              <w:rPr>
                <w:rFonts w:ascii="Times New Roman" w:cs="Times New Roman" w:eastAsia="Times New Roman" w:hAnsi="Times New Roman"/>
                <w:sz w:val="14"/>
                <w:szCs w:val="14"/>
                <w:color w:val="auto"/>
                <w:vertAlign w:val="superscript"/>
              </w:rPr>
              <w:t>(7)</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B4B4B4"/>
              </w:rPr>
              <w:t>.................</w:t>
            </w:r>
          </w:p>
        </w:tc>
        <w:tc>
          <w:tcPr>
            <w:tcW w:w="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right="1299" w:hanging="267"/>
        <w:spacing w:after="0" w:line="267" w:lineRule="auto"/>
        <w:tabs>
          <w:tab w:leader="none" w:pos="142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this column for 2024 for Mr. Haskell represents base salary earned during 2024. For Dr. Scott, the amount represents payments to Corporate Development Group LLC (a company 100% owned by Dr. Scott) with respect to Dr. Scott’s consulting services to Innventure during 2024. For Mr. Otworth, the amount in this column for 2024 represents payments to Sugar Grove Ventures, LLC (a</w:t>
      </w:r>
    </w:p>
    <w:p>
      <w:pPr>
        <w:sectPr>
          <w:pgSz w:w="11900" w:h="16948" w:orient="portrait"/>
          <w:cols w:equalWidth="0" w:num="1">
            <w:col w:w="9019"/>
          </w:cols>
          <w:pgMar w:left="1440" w:top="90" w:right="1440" w:bottom="0" w:gutter="0" w:footer="0" w:header="0"/>
        </w:sectPr>
      </w:pPr>
    </w:p>
    <w:bookmarkStart w:id="49" w:name="page50"/>
    <w:bookmarkEnd w:id="49"/>
    <w:p>
      <w:pPr>
        <w:ind w:left="142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company 100% owned by Mr. Otworth) with respect to Mr. Otworth’s consulting services to Innventure for 2024.</w:t>
      </w:r>
    </w:p>
    <w:p>
      <w:pPr>
        <w:spacing w:after="0" w:line="22" w:lineRule="exact"/>
        <w:rPr>
          <w:sz w:val="20"/>
          <w:szCs w:val="20"/>
          <w:color w:val="auto"/>
        </w:rPr>
      </w:pPr>
    </w:p>
    <w:p>
      <w:pPr>
        <w:ind w:left="1420" w:hanging="267"/>
        <w:spacing w:after="0"/>
        <w:tabs>
          <w:tab w:leader="none" w:pos="142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this column for Mr. Haskell in 2024 represents a transaction bonus earned in connection with the Business Combination.</w:t>
      </w:r>
    </w:p>
    <w:p>
      <w:pPr>
        <w:spacing w:after="0" w:line="13" w:lineRule="exact"/>
        <w:rPr>
          <w:rFonts w:ascii="Times New Roman" w:cs="Times New Roman" w:eastAsia="Times New Roman" w:hAnsi="Times New Roman"/>
          <w:sz w:val="11"/>
          <w:szCs w:val="11"/>
          <w:color w:val="auto"/>
        </w:rPr>
      </w:pPr>
    </w:p>
    <w:p>
      <w:pPr>
        <w:ind w:left="1420" w:right="1179" w:hanging="267"/>
        <w:spacing w:after="0" w:line="265" w:lineRule="auto"/>
        <w:tabs>
          <w:tab w:leader="none" w:pos="142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reflect the aggregate grant date fair value of service-based RSU awards granted by the Company to the NEOs in 2024 and, with respect to Mr. Otworth, the amount includes the aggregate grant date fair value of the Accelsius Incentive Units (as defined below)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The Refinity Incentive Units discussed in such section had an aggregate grant date fair value of $0.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20" w:right="1319" w:hanging="267"/>
        <w:spacing w:after="0" w:line="268" w:lineRule="auto"/>
        <w:tabs>
          <w:tab w:leader="none" w:pos="142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w:t>
      </w:r>
    </w:p>
    <w:p>
      <w:pPr>
        <w:spacing w:after="0" w:line="1" w:lineRule="exact"/>
        <w:rPr>
          <w:rFonts w:ascii="Times New Roman" w:cs="Times New Roman" w:eastAsia="Times New Roman" w:hAnsi="Times New Roman"/>
          <w:sz w:val="11"/>
          <w:szCs w:val="11"/>
          <w:color w:val="auto"/>
        </w:rPr>
      </w:pPr>
    </w:p>
    <w:p>
      <w:pPr>
        <w:ind w:left="1420" w:right="1479" w:hanging="267"/>
        <w:spacing w:after="0" w:line="254" w:lineRule="auto"/>
        <w:tabs>
          <w:tab w:leader="none" w:pos="142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this column represents matching contributions provided by Innventure under the 401(k) Plan (as defined and described below).</w:t>
      </w:r>
    </w:p>
    <w:p>
      <w:pPr>
        <w:ind w:left="1420" w:right="1339" w:hanging="267"/>
        <w:spacing w:after="0" w:line="264" w:lineRule="auto"/>
        <w:tabs>
          <w:tab w:leader="none" w:pos="142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Otworth provided services to Innventure in a consulting capacity during 2024 through a contract between Innventure LLC and Sugar Grove Ventures, LLC.</w:t>
      </w:r>
    </w:p>
    <w:p>
      <w:pPr>
        <w:ind w:left="1420" w:right="1199" w:hanging="267"/>
        <w:spacing w:after="0" w:line="267" w:lineRule="auto"/>
        <w:tabs>
          <w:tab w:leader="none" w:pos="142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Scott provided services to Innventure in a consulting capacity during 2024 through a contract between Innventure LLC and Corporate Development Group LLC, pursuant to which Dr. Scott, the founder and principal of Corporate Development Group LLC, provided strategic guidance and consulting services to Innventure.</w:t>
      </w:r>
    </w:p>
    <w:p>
      <w:pPr>
        <w:spacing w:after="0" w:line="9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Narrative Disclosure to 2024 Summary Compensation Table</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Key 2024 Named Executive Officer Compensation Components and Decisions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2024 Base Salary</w:t>
      </w:r>
    </w:p>
    <w:p>
      <w:pPr>
        <w:spacing w:after="0" w:line="140"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Pursuant to the terms of their employment or consulting arrangements, as applicable, the NEOs were entitled to base salaries or service fees, as applicable, at the following annual rates during 2024:</w:t>
      </w:r>
    </w:p>
    <w:p>
      <w:pPr>
        <w:spacing w:after="0" w:line="12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2024 Base</w:t>
            </w:r>
          </w:p>
        </w:tc>
        <w:tc>
          <w:tcPr>
            <w:tcW w:w="0" w:type="dxa"/>
            <w:vAlign w:val="bottom"/>
          </w:tcPr>
          <w:p>
            <w:pPr>
              <w:spacing w:after="0"/>
              <w:rPr>
                <w:sz w:val="1"/>
                <w:szCs w:val="1"/>
                <w:color w:val="auto"/>
              </w:rPr>
            </w:pPr>
          </w:p>
        </w:tc>
      </w:tr>
      <w:tr>
        <w:trPr>
          <w:trHeight w:val="116"/>
        </w:trPr>
        <w:tc>
          <w:tcPr>
            <w:tcW w:w="5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NEO</w:t>
            </w:r>
          </w:p>
        </w:tc>
        <w:tc>
          <w:tcPr>
            <w:tcW w:w="120" w:type="dxa"/>
            <w:vAlign w:val="bottom"/>
          </w:tcPr>
          <w:p>
            <w:pPr>
              <w:spacing w:after="0"/>
              <w:rPr>
                <w:sz w:val="10"/>
                <w:szCs w:val="10"/>
                <w:color w:val="auto"/>
              </w:rPr>
            </w:pPr>
          </w:p>
        </w:tc>
        <w:tc>
          <w:tcPr>
            <w:tcW w:w="82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Salary/Service</w:t>
            </w:r>
          </w:p>
        </w:tc>
        <w:tc>
          <w:tcPr>
            <w:tcW w:w="0" w:type="dxa"/>
            <w:vAlign w:val="bottom"/>
          </w:tcPr>
          <w:p>
            <w:pPr>
              <w:spacing w:after="0"/>
              <w:rPr>
                <w:sz w:val="1"/>
                <w:szCs w:val="1"/>
                <w:color w:val="auto"/>
              </w:rPr>
            </w:pPr>
          </w:p>
        </w:tc>
      </w:tr>
      <w:tr>
        <w:trPr>
          <w:trHeight w:val="156"/>
        </w:trPr>
        <w:tc>
          <w:tcPr>
            <w:tcW w:w="5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Fee Rate</w:t>
            </w:r>
          </w:p>
        </w:tc>
        <w:tc>
          <w:tcPr>
            <w:tcW w:w="0" w:type="dxa"/>
            <w:vAlign w:val="bottom"/>
          </w:tcPr>
          <w:p>
            <w:pPr>
              <w:spacing w:after="0"/>
              <w:rPr>
                <w:sz w:val="1"/>
                <w:szCs w:val="1"/>
                <w:color w:val="auto"/>
              </w:rPr>
            </w:pPr>
          </w:p>
        </w:tc>
      </w:tr>
      <w:tr>
        <w:trPr>
          <w:trHeight w:val="190"/>
        </w:trPr>
        <w:tc>
          <w:tcPr>
            <w:tcW w:w="57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Gregory Haskell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98"/>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Mike Otworth</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Dr. John Scott </w:t>
            </w:r>
            <w:r>
              <w:rPr>
                <w:rFonts w:ascii="Times New Roman" w:cs="Times New Roman" w:eastAsia="Times New Roman" w:hAnsi="Times New Roman"/>
                <w:sz w:val="14"/>
                <w:szCs w:val="14"/>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We did not modify the base salary or service fee rates of any of the NEOs during 2024. However, we increased the base salary and service fee rates of the NEOs in January 2025.</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2024 Bonus Compensation</w:t>
      </w:r>
    </w:p>
    <w:p>
      <w:pPr>
        <w:spacing w:after="0" w:line="140"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in the table below.</w:t>
      </w:r>
    </w:p>
    <w:p>
      <w:pPr>
        <w:spacing w:after="0" w:line="134"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2024 Bonus Goal</w:t>
            </w:r>
          </w:p>
        </w:tc>
        <w:tc>
          <w:tcPr>
            <w:tcW w:w="40" w:type="dxa"/>
            <w:vAlign w:val="bottom"/>
            <w:vMerge w:val="restart"/>
          </w:tcPr>
          <w:p>
            <w:pPr>
              <w:spacing w:after="0"/>
              <w:rPr>
                <w:sz w:val="10"/>
                <w:szCs w:val="10"/>
                <w:color w:val="auto"/>
              </w:rPr>
            </w:pPr>
          </w:p>
        </w:tc>
        <w:tc>
          <w:tcPr>
            <w:tcW w:w="940" w:type="dxa"/>
            <w:vAlign w:val="bottom"/>
            <w:vMerge w:val="restart"/>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Weighting</w:t>
            </w:r>
          </w:p>
        </w:tc>
        <w:tc>
          <w:tcPr>
            <w:tcW w:w="40" w:type="dxa"/>
            <w:vAlign w:val="bottom"/>
            <w:vMerge w:val="restart"/>
          </w:tcPr>
          <w:p>
            <w:pPr>
              <w:spacing w:after="0"/>
              <w:rPr>
                <w:sz w:val="10"/>
                <w:szCs w:val="10"/>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Goal Achieved?</w:t>
            </w:r>
          </w:p>
        </w:tc>
        <w:tc>
          <w:tcPr>
            <w:tcW w:w="0" w:type="dxa"/>
            <w:vAlign w:val="bottom"/>
          </w:tcPr>
          <w:p>
            <w:pPr>
              <w:spacing w:after="0"/>
              <w:rPr>
                <w:sz w:val="1"/>
                <w:szCs w:val="1"/>
                <w:color w:val="auto"/>
              </w:rPr>
            </w:pPr>
          </w:p>
        </w:tc>
      </w:tr>
      <w:tr>
        <w:trPr>
          <w:trHeight w:val="154"/>
        </w:trPr>
        <w:tc>
          <w:tcPr>
            <w:tcW w:w="4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(yes or no)</w:t>
            </w:r>
          </w:p>
        </w:tc>
        <w:tc>
          <w:tcPr>
            <w:tcW w:w="0" w:type="dxa"/>
            <w:vAlign w:val="bottom"/>
          </w:tcPr>
          <w:p>
            <w:pPr>
              <w:spacing w:after="0"/>
              <w:rPr>
                <w:sz w:val="1"/>
                <w:szCs w:val="1"/>
                <w:color w:val="auto"/>
              </w:rPr>
            </w:pPr>
          </w:p>
        </w:tc>
      </w:tr>
      <w:tr>
        <w:trPr>
          <w:trHeight w:val="189"/>
        </w:trPr>
        <w:tc>
          <w:tcPr>
            <w:tcW w:w="4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Formation of a new (4th) operating company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204"/>
        </w:trPr>
        <w:tc>
          <w:tcPr>
            <w:tcW w:w="4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Complete the Business Combination with more than $20 million of net proceeds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4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205"/>
        </w:trPr>
        <w:tc>
          <w:tcPr>
            <w:tcW w:w="57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Meeting each of the following milestones (or a achieving a certain threshold share price):</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Formation of a new (4th) operating company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4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r>
        <w:trPr>
          <w:trHeight w:val="205"/>
        </w:trPr>
        <w:tc>
          <w:tcPr>
            <w:tcW w:w="4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$10 million of booked revenue for Accelsius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203"/>
        </w:trPr>
        <w:tc>
          <w:tcPr>
            <w:tcW w:w="4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$15 million of GAAP revenue for AeroFlexx</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4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160" w:right="1539" w:firstLine="258"/>
        <w:spacing w:after="0" w:line="235" w:lineRule="auto"/>
        <w:rPr>
          <w:sz w:val="20"/>
          <w:szCs w:val="20"/>
          <w:color w:val="auto"/>
        </w:rPr>
      </w:pPr>
      <w:r>
        <w:rPr>
          <w:rFonts w:ascii="Times New Roman" w:cs="Times New Roman" w:eastAsia="Times New Roman" w:hAnsi="Times New Roman"/>
          <w:sz w:val="14"/>
          <w:szCs w:val="14"/>
          <w:color w:val="auto"/>
        </w:rPr>
        <w:t>The 2024 bonuses were also subject to a stretch goal (formation of a new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operating company), which would have resulted in an additional 50% payout.</w:t>
      </w:r>
    </w:p>
    <w:p>
      <w:pPr>
        <w:spacing w:after="0" w:line="115"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In 2025, the Compensation Committee (and the Board with respect to Mr. Haskell) determined that 85% of the 2024 bonus goals were achieved (as shown in the table above) and that the stretch goal was not achieved. As such, the Compensation Committee (or Board, as applicable) determined that each NEO notionally earned a payout percentage of 85% of the target bonus, which corresponds to the following payout amounts: $255,000 for Mr. Haskell; $255,000 for Mr. Otworth; and $255,000 for Dr. Scott. Payout of such amounts is generally contingent on the NEO’s continued service through the date of payment. Such amounts are expected to be disclosed in a future Summary Compensation Table once payment is made and the applicable service requirements have lapsed.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459" w:firstLine="258"/>
        <w:spacing w:after="0" w:line="292" w:lineRule="auto"/>
        <w:rPr>
          <w:sz w:val="20"/>
          <w:szCs w:val="20"/>
          <w:color w:val="auto"/>
        </w:rPr>
      </w:pPr>
      <w:r>
        <w:rPr>
          <w:rFonts w:ascii="Times New Roman" w:cs="Times New Roman" w:eastAsia="Times New Roman" w:hAnsi="Times New Roman"/>
          <w:sz w:val="14"/>
          <w:szCs w:val="14"/>
          <w:color w:val="auto"/>
        </w:rPr>
        <w:t>Mr. Haskell also earned a cash bonus of $2,500,000 in connection with the successful consummation of the Business Combination in 2024.</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2024 Equity-Based Compensation</w:t>
      </w:r>
    </w:p>
    <w:p>
      <w:pPr>
        <w:spacing w:after="0" w:line="140" w:lineRule="exact"/>
        <w:rPr>
          <w:sz w:val="20"/>
          <w:szCs w:val="20"/>
          <w:color w:val="auto"/>
        </w:rPr>
      </w:pPr>
    </w:p>
    <w:p>
      <w:pPr>
        <w:jc w:val="both"/>
        <w:ind w:left="1160" w:right="1559" w:firstLine="258"/>
        <w:spacing w:after="0" w:line="274" w:lineRule="auto"/>
        <w:rPr>
          <w:sz w:val="20"/>
          <w:szCs w:val="20"/>
          <w:color w:val="auto"/>
        </w:rPr>
      </w:pPr>
      <w:r>
        <w:rPr>
          <w:rFonts w:ascii="Times New Roman" w:cs="Times New Roman" w:eastAsia="Times New Roman" w:hAnsi="Times New Roman"/>
          <w:sz w:val="14"/>
          <w:szCs w:val="14"/>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December 2024, the Compensation Committee approved equity incentive awards for the NEOs consisting of</w:t>
      </w:r>
    </w:p>
    <w:p>
      <w:pPr>
        <w:sectPr>
          <w:pgSz w:w="11900" w:h="16838" w:orient="portrait"/>
          <w:cols w:equalWidth="0" w:num="1">
            <w:col w:w="9019"/>
          </w:cols>
          <w:pgMar w:left="1440" w:top="154" w:right="1440" w:bottom="0" w:gutter="0" w:footer="0" w:header="0"/>
        </w:sectPr>
      </w:pPr>
    </w:p>
    <w:bookmarkStart w:id="50" w:name="page51"/>
    <w:bookmarkEnd w:id="50"/>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service-based RSUs and stock options under the 2024 Plan. Awards for our NEOs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NEO</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RSUs</w:t>
            </w: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Options*</w:t>
            </w:r>
          </w:p>
        </w:tc>
      </w:tr>
      <w:tr>
        <w:trPr>
          <w:trHeight w:val="189"/>
        </w:trPr>
        <w:tc>
          <w:tcPr>
            <w:tcW w:w="47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Gregory Haskell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Mike Otworth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537,705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262,295</w:t>
            </w: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Dr. John Scott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336,066</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163,934</w:t>
            </w:r>
          </w:p>
        </w:tc>
      </w:tr>
      <w:tr>
        <w:trPr>
          <w:trHeight w:val="184"/>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ind w:left="1420" w:hanging="267"/>
        <w:spacing w:after="0"/>
        <w:tabs>
          <w:tab w:leader="none" w:pos="142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options set forth in the table above were granted with an exercise price of $12.20, the closing stock price on the date of grant.</w:t>
      </w:r>
    </w:p>
    <w:p>
      <w:pPr>
        <w:spacing w:after="0" w:line="126" w:lineRule="exact"/>
        <w:rPr>
          <w:sz w:val="20"/>
          <w:szCs w:val="20"/>
          <w:color w:val="auto"/>
        </w:rPr>
      </w:pPr>
    </w:p>
    <w:p>
      <w:pPr>
        <w:ind w:left="1160" w:right="1339" w:firstLine="258"/>
        <w:spacing w:after="0" w:line="268" w:lineRule="auto"/>
        <w:rPr>
          <w:sz w:val="20"/>
          <w:szCs w:val="20"/>
          <w:color w:val="auto"/>
        </w:rPr>
      </w:pPr>
      <w:r>
        <w:rPr>
          <w:rFonts w:ascii="Times New Roman" w:cs="Times New Roman" w:eastAsia="Times New Roman" w:hAnsi="Times New Roman"/>
          <w:sz w:val="14"/>
          <w:szCs w:val="14"/>
          <w:color w:val="auto"/>
        </w:rPr>
        <w:t>In general, the Options and RSUs granted to Mr. Otworth and Dr. Scott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97"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Holdings LLC over a base price of $12.175. In general, the Accelsius SARs will be automatically exercised upon the earliest to occur of: (i) the 24-month anniversary of the grant date, (ii) the participant’s death, or (iii) the participant’s “disability” (as defined in the applicable award agreement). The Compensation Committee may, in its discretion, determine that the participant will receive cash instead of Common Stock.</w:t>
      </w:r>
    </w:p>
    <w:p>
      <w:pPr>
        <w:spacing w:after="0" w:line="103"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106" w:lineRule="exact"/>
        <w:rPr>
          <w:sz w:val="20"/>
          <w:szCs w:val="20"/>
          <w:color w:val="auto"/>
        </w:rPr>
      </w:pPr>
    </w:p>
    <w:p>
      <w:pPr>
        <w:ind w:left="1160" w:right="1259" w:firstLine="258"/>
        <w:spacing w:after="0" w:line="260" w:lineRule="auto"/>
        <w:rPr>
          <w:sz w:val="20"/>
          <w:szCs w:val="20"/>
          <w:color w:val="auto"/>
        </w:rPr>
      </w:pPr>
      <w:r>
        <w:rPr>
          <w:rFonts w:ascii="Times New Roman" w:cs="Times New Roman" w:eastAsia="Times New Roman" w:hAnsi="Times New Roman"/>
          <w:sz w:val="14"/>
          <w:szCs w:val="14"/>
          <w:color w:val="auto"/>
        </w:rPr>
        <w:t>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Accelsius Incentive Units generally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Policies and Practices Related to the Grant of Certain Equity Awards</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The Compensation Committee approves equity awards granted to our named executive officers on or before the grant date, but grants are not currently made on a predetermined schedule. The Compensation Committee does not take material nonpublic information into account when determining the timing and terms of such awards. The Company has not timed the disclosure of material nonpublic information for the purpose of affecting the value of executive compensation.</w:t>
      </w:r>
    </w:p>
    <w:p>
      <w:pPr>
        <w:spacing w:after="0" w:line="14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change in the</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closing market price of the</w:t>
            </w: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securities underlying the</w:t>
            </w:r>
          </w:p>
        </w:tc>
        <w:tc>
          <w:tcPr>
            <w:tcW w:w="0" w:type="dxa"/>
            <w:vAlign w:val="bottom"/>
          </w:tcPr>
          <w:p>
            <w:pPr>
              <w:spacing w:after="0"/>
              <w:rPr>
                <w:sz w:val="1"/>
                <w:szCs w:val="1"/>
                <w:color w:val="auto"/>
              </w:rPr>
            </w:pPr>
          </w:p>
        </w:tc>
      </w:tr>
      <w:tr>
        <w:trPr>
          <w:trHeight w:val="110"/>
        </w:trPr>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award between the trading</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day ending immediately</w:t>
            </w: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prior to the disclosure of</w:t>
            </w:r>
          </w:p>
        </w:tc>
        <w:tc>
          <w:tcPr>
            <w:tcW w:w="0" w:type="dxa"/>
            <w:vAlign w:val="bottom"/>
          </w:tcPr>
          <w:p>
            <w:pPr>
              <w:spacing w:after="0"/>
              <w:rPr>
                <w:sz w:val="1"/>
                <w:szCs w:val="1"/>
                <w:color w:val="auto"/>
              </w:rPr>
            </w:pPr>
          </w:p>
        </w:tc>
      </w:tr>
      <w:tr>
        <w:trPr>
          <w:trHeight w:val="110"/>
        </w:trPr>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material nonpublic</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information and the</w:t>
            </w: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Grant date fair</w:t>
            </w:r>
          </w:p>
        </w:tc>
        <w:tc>
          <w:tcPr>
            <w:tcW w:w="14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trading day beginning</w:t>
            </w:r>
          </w:p>
        </w:tc>
        <w:tc>
          <w:tcPr>
            <w:tcW w:w="0" w:type="dxa"/>
            <w:vAlign w:val="bottom"/>
          </w:tcPr>
          <w:p>
            <w:pPr>
              <w:spacing w:after="0"/>
              <w:rPr>
                <w:sz w:val="1"/>
                <w:szCs w:val="1"/>
                <w:color w:val="auto"/>
              </w:rPr>
            </w:pPr>
          </w:p>
        </w:tc>
      </w:tr>
      <w:tr>
        <w:trPr>
          <w:trHeight w:val="110"/>
        </w:trPr>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90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4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immediately following the</w:t>
            </w:r>
          </w:p>
        </w:tc>
        <w:tc>
          <w:tcPr>
            <w:tcW w:w="0" w:type="dxa"/>
            <w:vAlign w:val="bottom"/>
          </w:tcPr>
          <w:p>
            <w:pPr>
              <w:spacing w:after="0"/>
              <w:rPr>
                <w:sz w:val="1"/>
                <w:szCs w:val="1"/>
                <w:color w:val="auto"/>
              </w:rPr>
            </w:pPr>
          </w:p>
        </w:tc>
      </w:tr>
      <w:tr>
        <w:trPr>
          <w:trHeight w:val="118"/>
        </w:trPr>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9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underlying the</w:t>
            </w:r>
          </w:p>
        </w:tc>
        <w:tc>
          <w:tcPr>
            <w:tcW w:w="90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of the award ($/</w:t>
            </w:r>
          </w:p>
        </w:tc>
        <w:tc>
          <w:tcPr>
            <w:tcW w:w="140" w:type="dxa"/>
            <w:vAlign w:val="bottom"/>
          </w:tcPr>
          <w:p>
            <w:pPr>
              <w:spacing w:after="0"/>
              <w:rPr>
                <w:sz w:val="10"/>
                <w:szCs w:val="10"/>
                <w:color w:val="auto"/>
              </w:rPr>
            </w:pPr>
          </w:p>
        </w:tc>
        <w:tc>
          <w:tcPr>
            <w:tcW w:w="7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value of the</w:t>
            </w:r>
          </w:p>
        </w:tc>
        <w:tc>
          <w:tcPr>
            <w:tcW w:w="14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disclosure of material</w:t>
            </w:r>
          </w:p>
        </w:tc>
        <w:tc>
          <w:tcPr>
            <w:tcW w:w="0" w:type="dxa"/>
            <w:vAlign w:val="bottom"/>
          </w:tcPr>
          <w:p>
            <w:pPr>
              <w:spacing w:after="0"/>
              <w:rPr>
                <w:sz w:val="1"/>
                <w:szCs w:val="1"/>
                <w:color w:val="auto"/>
              </w:rPr>
            </w:pPr>
          </w:p>
        </w:tc>
      </w:tr>
      <w:tr>
        <w:trPr>
          <w:trHeight w:val="154"/>
        </w:trPr>
        <w:tc>
          <w:tcPr>
            <w:tcW w:w="16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award</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w:t>
            </w:r>
          </w:p>
        </w:tc>
        <w:tc>
          <w:tcPr>
            <w:tcW w:w="14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award</w:t>
            </w: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nonpublic information</w:t>
            </w:r>
          </w:p>
        </w:tc>
        <w:tc>
          <w:tcPr>
            <w:tcW w:w="0" w:type="dxa"/>
            <w:vAlign w:val="bottom"/>
          </w:tcPr>
          <w:p>
            <w:pPr>
              <w:spacing w:after="0"/>
              <w:rPr>
                <w:sz w:val="1"/>
                <w:szCs w:val="1"/>
                <w:color w:val="auto"/>
              </w:rPr>
            </w:pPr>
          </w:p>
        </w:tc>
      </w:tr>
      <w:tr>
        <w:trPr>
          <w:trHeight w:val="189"/>
        </w:trPr>
        <w:tc>
          <w:tcPr>
            <w:tcW w:w="16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Gregory Haskell, CEO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166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4"/>
                <w:szCs w:val="14"/>
                <w:color w:val="auto"/>
              </w:rPr>
              <w:t>Mike Otworth, Executive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12/9/2024</w:t>
            </w: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262,295</w:t>
            </w:r>
          </w:p>
        </w:tc>
        <w:tc>
          <w:tcPr>
            <w:tcW w:w="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1,712,786</w:t>
            </w:r>
          </w:p>
        </w:tc>
        <w:tc>
          <w:tcPr>
            <w:tcW w:w="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r>
        <w:trPr>
          <w:trHeight w:val="189"/>
        </w:trPr>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Chairman </w:t>
            </w:r>
            <w:r>
              <w:rPr>
                <w:rFonts w:ascii="Times New Roman" w:cs="Times New Roman" w:eastAsia="Times New Roman" w:hAnsi="Times New Roman"/>
                <w:sz w:val="14"/>
                <w:szCs w:val="14"/>
                <w:color w:val="B4B4B4"/>
              </w:rPr>
              <w:t>...........................</w:t>
            </w: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60" w:type="dxa"/>
            <w:vAlign w:val="bottom"/>
            <w:gridSpan w:val="2"/>
            <w:shd w:val="clear" w:color="auto" w:fill="CCEEFF"/>
          </w:tcPr>
          <w:p>
            <w:pPr>
              <w:ind w:left="40"/>
              <w:spacing w:after="0" w:line="143" w:lineRule="exact"/>
              <w:rPr>
                <w:sz w:val="20"/>
                <w:szCs w:val="20"/>
                <w:color w:val="auto"/>
              </w:rPr>
            </w:pPr>
            <w:r>
              <w:rPr>
                <w:rFonts w:ascii="Times New Roman" w:cs="Times New Roman" w:eastAsia="Times New Roman" w:hAnsi="Times New Roman"/>
                <w:sz w:val="14"/>
                <w:szCs w:val="14"/>
                <w:color w:val="auto"/>
              </w:rPr>
              <w:t>Dr. John Scott, Chief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12/9/2024</w:t>
            </w:r>
          </w:p>
        </w:tc>
        <w:tc>
          <w:tcPr>
            <w:tcW w:w="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163,934</w:t>
            </w:r>
          </w:p>
        </w:tc>
        <w:tc>
          <w:tcPr>
            <w:tcW w:w="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1,070,489</w:t>
            </w:r>
          </w:p>
        </w:tc>
        <w:tc>
          <w:tcPr>
            <w:tcW w:w="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r>
        <w:trPr>
          <w:trHeight w:val="193"/>
        </w:trPr>
        <w:tc>
          <w:tcPr>
            <w:tcW w:w="1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Strategy Officer </w:t>
            </w:r>
            <w:r>
              <w:rPr>
                <w:rFonts w:ascii="Times New Roman" w:cs="Times New Roman" w:eastAsia="Times New Roman" w:hAnsi="Times New Roman"/>
                <w:sz w:val="14"/>
                <w:szCs w:val="14"/>
                <w:color w:val="B4B4B4"/>
              </w:rPr>
              <w:t>.................</w:t>
            </w: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Incentive Units Granted in Prior Years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Innventure LLC</w:t>
      </w:r>
    </w:p>
    <w:p>
      <w:pPr>
        <w:spacing w:after="0" w:line="140"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In prior years, Innventure LLC granted Class C Units of Innventure LLC (“Innventure Incentive Units”) to certain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w:t>
      </w:r>
    </w:p>
    <w:p>
      <w:pPr>
        <w:sectPr>
          <w:pgSz w:w="11900" w:h="16924" w:orient="portrait"/>
          <w:cols w:equalWidth="0" w:num="1">
            <w:col w:w="9019"/>
          </w:cols>
          <w:pgMar w:left="1440" w:top="94" w:right="1440" w:bottom="0" w:gutter="0" w:footer="0" w:header="0"/>
        </w:sectPr>
      </w:pPr>
    </w:p>
    <w:bookmarkStart w:id="51" w:name="page52"/>
    <w:bookmarkEnd w:id="51"/>
    <w:p>
      <w:pPr>
        <w:spacing w:after="0" w:line="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4"/>
          <w:szCs w:val="14"/>
          <w:color w:val="auto"/>
        </w:rPr>
        <w:t>Innventure LLC did not grant Innventure Incentive Units to any of the NEOs in 2024.</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u w:val="single" w:color="auto"/>
          <w:color w:val="auto"/>
        </w:rPr>
        <w:t>Accelsius</w:t>
      </w:r>
    </w:p>
    <w:p>
      <w:pPr>
        <w:spacing w:after="0" w:line="140"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Employment and Consulting Arrangements with our NEOs</w:t>
      </w:r>
    </w:p>
    <w:p>
      <w:pPr>
        <w:spacing w:after="0" w:line="140" w:lineRule="exact"/>
        <w:rPr>
          <w:sz w:val="20"/>
          <w:szCs w:val="20"/>
          <w:color w:val="auto"/>
        </w:rPr>
      </w:pPr>
    </w:p>
    <w:p>
      <w:pPr>
        <w:jc w:val="both"/>
        <w:ind w:left="1160" w:right="133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Gregory W. (Bill) Haskell </w:t>
      </w:r>
      <w:r>
        <w:rPr>
          <w:rFonts w:ascii="Times New Roman" w:cs="Times New Roman" w:eastAsia="Times New Roman" w:hAnsi="Times New Roman"/>
          <w:sz w:val="14"/>
          <w:szCs w:val="14"/>
          <w:color w:val="auto"/>
        </w:rPr>
        <w:t>: Innventure LLC is party to an offer letter, dated January 5, 2021, with Mr. Haskell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“Haskell Letter”). The Haskell Letter provides for, among other things, an initial base salary rate of $200,000 per year, and an opportunity for Mr. Haskell to receive certain equity awards from Innventure LLC and new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479"/>
        <w:spacing w:after="0" w:line="292" w:lineRule="auto"/>
        <w:rPr>
          <w:sz w:val="20"/>
          <w:szCs w:val="20"/>
          <w:color w:val="auto"/>
        </w:rPr>
      </w:pPr>
      <w:r>
        <w:rPr>
          <w:rFonts w:ascii="Times New Roman" w:cs="Times New Roman" w:eastAsia="Times New Roman" w:hAnsi="Times New Roman"/>
          <w:sz w:val="14"/>
          <w:szCs w:val="14"/>
          <w:color w:val="auto"/>
        </w:rPr>
        <w:t>companies affiliated with Innventure LLC. Mr. Haskell’s base salary in 2024 was $300,000 per year. In January 2025, Mr. Haskell’s base salary was increased again to $700,000 per year.</w:t>
      </w:r>
    </w:p>
    <w:p>
      <w:pPr>
        <w:spacing w:after="0" w:line="79" w:lineRule="exact"/>
        <w:rPr>
          <w:sz w:val="20"/>
          <w:szCs w:val="20"/>
          <w:color w:val="auto"/>
        </w:rPr>
      </w:pPr>
    </w:p>
    <w:p>
      <w:pPr>
        <w:ind w:left="1160" w:right="1279" w:firstLine="258"/>
        <w:spacing w:after="0" w:line="262" w:lineRule="auto"/>
        <w:rPr>
          <w:sz w:val="20"/>
          <w:szCs w:val="20"/>
          <w:color w:val="auto"/>
        </w:rPr>
      </w:pPr>
      <w:r>
        <w:rPr>
          <w:rFonts w:ascii="Times New Roman" w:cs="Times New Roman" w:eastAsia="Times New Roman" w:hAnsi="Times New Roman"/>
          <w:sz w:val="14"/>
          <w:szCs w:val="14"/>
          <w:i w:val="1"/>
          <w:iCs w:val="1"/>
          <w:color w:val="auto"/>
        </w:rPr>
        <w:t>Mike Otworth</w:t>
      </w:r>
      <w:r>
        <w:rPr>
          <w:rFonts w:ascii="Times New Roman" w:cs="Times New Roman" w:eastAsia="Times New Roman" w:hAnsi="Times New Roman"/>
          <w:sz w:val="14"/>
          <w:szCs w:val="14"/>
          <w:color w:val="auto"/>
        </w:rPr>
        <w:t>: Innventure LLC is party to a Contractor Agreement for Services, effective November 16, 2023,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Sugar Grove Ventures, LLC, an independent contractor (the “Otworth Service Agreement”). Pursuant to the Otworth Service Agreement, Mr. Otworth serves as the primary contact and responsible party in carrying out the services 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w:t>
      </w:r>
    </w:p>
    <w:p>
      <w:pPr>
        <w:spacing w:after="0" w:line="101" w:lineRule="exact"/>
        <w:rPr>
          <w:sz w:val="20"/>
          <w:szCs w:val="20"/>
          <w:color w:val="auto"/>
        </w:rPr>
      </w:pPr>
    </w:p>
    <w:p>
      <w:pPr>
        <w:ind w:left="1160" w:right="1259" w:firstLine="258"/>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Dr. John Scott </w:t>
      </w:r>
      <w:r>
        <w:rPr>
          <w:rFonts w:ascii="Times New Roman" w:cs="Times New Roman" w:eastAsia="Times New Roman" w:hAnsi="Times New Roman"/>
          <w:sz w:val="14"/>
          <w:szCs w:val="14"/>
          <w:color w:val="auto"/>
        </w:rPr>
        <w:t>: Innventure LLC is party to a Statement of Work, effective April 1, 2018, with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Group LLC, an independent contractor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w:t>
      </w:r>
    </w:p>
    <w:p>
      <w:pPr>
        <w:spacing w:after="0" w:line="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Outstanding Equity Awards at 2024 Fiscal Year-End</w:t>
      </w:r>
    </w:p>
    <w:p>
      <w:pPr>
        <w:spacing w:after="0" w:line="142"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and related footnotes set forth information about the outstanding equity awards held by the NEOs as of December 31, 2024.</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9"/>
                <w:szCs w:val="9"/>
                <w:b w:val="1"/>
                <w:bCs w:val="1"/>
                <w:color w:val="auto"/>
                <w:w w:val="94"/>
              </w:rPr>
              <w:t>Option Awards</w:t>
            </w: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9"/>
                <w:szCs w:val="9"/>
                <w:b w:val="1"/>
                <w:bCs w:val="1"/>
                <w:color w:val="auto"/>
              </w:rPr>
              <w:t>Stock Awards</w:t>
            </w: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center"/>
              <w:ind w:right="60"/>
              <w:spacing w:after="0" w:line="85" w:lineRule="exact"/>
              <w:rPr>
                <w:sz w:val="20"/>
                <w:szCs w:val="20"/>
                <w:color w:val="auto"/>
              </w:rPr>
            </w:pPr>
            <w:r>
              <w:rPr>
                <w:rFonts w:ascii="Times New Roman" w:cs="Times New Roman" w:eastAsia="Times New Roman" w:hAnsi="Times New Roman"/>
                <w:sz w:val="9"/>
                <w:szCs w:val="9"/>
                <w:b w:val="1"/>
                <w:bCs w:val="1"/>
                <w:color w:val="auto"/>
                <w:w w:val="95"/>
              </w:rPr>
              <w:t>Number of</w:t>
            </w:r>
          </w:p>
        </w:tc>
        <w:tc>
          <w:tcPr>
            <w:tcW w:w="640" w:type="dxa"/>
            <w:vAlign w:val="bottom"/>
          </w:tcPr>
          <w:p>
            <w:pPr>
              <w:jc w:val="center"/>
              <w:ind w:left="70"/>
              <w:spacing w:after="0" w:line="85" w:lineRule="exact"/>
              <w:rPr>
                <w:sz w:val="20"/>
                <w:szCs w:val="20"/>
                <w:color w:val="auto"/>
              </w:rPr>
            </w:pPr>
            <w:r>
              <w:rPr>
                <w:rFonts w:ascii="Times New Roman" w:cs="Times New Roman" w:eastAsia="Times New Roman" w:hAnsi="Times New Roman"/>
                <w:sz w:val="9"/>
                <w:szCs w:val="9"/>
                <w:b w:val="1"/>
                <w:bCs w:val="1"/>
                <w:color w:val="auto"/>
                <w:w w:val="95"/>
              </w:rPr>
              <w:t>Number of</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5"/>
              </w:rPr>
              <w:t>Securities</w:t>
            </w:r>
          </w:p>
        </w:tc>
        <w:tc>
          <w:tcPr>
            <w:tcW w:w="640" w:type="dxa"/>
            <w:vAlign w:val="bottom"/>
          </w:tcPr>
          <w:p>
            <w:pPr>
              <w:jc w:val="center"/>
              <w:ind w:left="70"/>
              <w:spacing w:after="0" w:line="86" w:lineRule="exact"/>
              <w:rPr>
                <w:sz w:val="20"/>
                <w:szCs w:val="20"/>
                <w:color w:val="auto"/>
              </w:rPr>
            </w:pPr>
            <w:r>
              <w:rPr>
                <w:rFonts w:ascii="Times New Roman" w:cs="Times New Roman" w:eastAsia="Times New Roman" w:hAnsi="Times New Roman"/>
                <w:sz w:val="9"/>
                <w:szCs w:val="9"/>
                <w:b w:val="1"/>
                <w:bCs w:val="1"/>
                <w:color w:val="auto"/>
                <w:w w:val="95"/>
              </w:rPr>
              <w:t>Securities</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7"/>
              </w:rPr>
              <w:t>Number of Shares</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Market Value of</w:t>
            </w:r>
          </w:p>
        </w:tc>
        <w:tc>
          <w:tcPr>
            <w:tcW w:w="0" w:type="dxa"/>
            <w:vAlign w:val="bottom"/>
          </w:tcPr>
          <w:p>
            <w:pPr>
              <w:spacing w:after="0"/>
              <w:rPr>
                <w:sz w:val="1"/>
                <w:szCs w:val="1"/>
                <w:color w:val="auto"/>
              </w:rPr>
            </w:pPr>
          </w:p>
        </w:tc>
      </w:tr>
      <w:tr>
        <w:trPr>
          <w:trHeight w:val="86"/>
        </w:trPr>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center"/>
              <w:ind w:right="40"/>
              <w:spacing w:after="0" w:line="86" w:lineRule="exact"/>
              <w:rPr>
                <w:sz w:val="20"/>
                <w:szCs w:val="20"/>
                <w:color w:val="auto"/>
              </w:rPr>
            </w:pPr>
            <w:r>
              <w:rPr>
                <w:rFonts w:ascii="Times New Roman" w:cs="Times New Roman" w:eastAsia="Times New Roman" w:hAnsi="Times New Roman"/>
                <w:sz w:val="9"/>
                <w:szCs w:val="9"/>
                <w:b w:val="1"/>
                <w:bCs w:val="1"/>
                <w:color w:val="auto"/>
                <w:w w:val="96"/>
              </w:rPr>
              <w:t>Underlying</w:t>
            </w:r>
          </w:p>
        </w:tc>
        <w:tc>
          <w:tcPr>
            <w:tcW w:w="640" w:type="dxa"/>
            <w:vAlign w:val="bottom"/>
          </w:tcPr>
          <w:p>
            <w:pPr>
              <w:jc w:val="center"/>
              <w:ind w:left="90"/>
              <w:spacing w:after="0" w:line="86" w:lineRule="exact"/>
              <w:rPr>
                <w:sz w:val="20"/>
                <w:szCs w:val="20"/>
                <w:color w:val="auto"/>
              </w:rPr>
            </w:pPr>
            <w:r>
              <w:rPr>
                <w:rFonts w:ascii="Times New Roman" w:cs="Times New Roman" w:eastAsia="Times New Roman" w:hAnsi="Times New Roman"/>
                <w:sz w:val="9"/>
                <w:szCs w:val="9"/>
                <w:b w:val="1"/>
                <w:bCs w:val="1"/>
                <w:color w:val="auto"/>
                <w:w w:val="96"/>
              </w:rPr>
              <w:t>Underlying</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840" w:type="dxa"/>
            <w:vAlign w:val="bottom"/>
            <w:gridSpan w:val="3"/>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3"/>
              </w:rPr>
              <w:t>Unexercised</w:t>
            </w:r>
          </w:p>
        </w:tc>
        <w:tc>
          <w:tcPr>
            <w:tcW w:w="640" w:type="dxa"/>
            <w:vAlign w:val="bottom"/>
          </w:tcPr>
          <w:p>
            <w:pPr>
              <w:jc w:val="center"/>
              <w:ind w:left="70"/>
              <w:spacing w:after="0" w:line="86" w:lineRule="exact"/>
              <w:rPr>
                <w:sz w:val="20"/>
                <w:szCs w:val="20"/>
                <w:color w:val="auto"/>
              </w:rPr>
            </w:pPr>
            <w:r>
              <w:rPr>
                <w:rFonts w:ascii="Times New Roman" w:cs="Times New Roman" w:eastAsia="Times New Roman" w:hAnsi="Times New Roman"/>
                <w:sz w:val="9"/>
                <w:szCs w:val="9"/>
                <w:b w:val="1"/>
                <w:bCs w:val="1"/>
                <w:color w:val="auto"/>
                <w:w w:val="93"/>
              </w:rPr>
              <w:t>Unexercised</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40" w:type="dxa"/>
            <w:vAlign w:val="bottom"/>
            <w:gridSpan w:val="3"/>
          </w:tcPr>
          <w:p>
            <w:pPr>
              <w:jc w:val="center"/>
              <w:ind w:right="40"/>
              <w:spacing w:after="0" w:line="86" w:lineRule="exact"/>
              <w:rPr>
                <w:sz w:val="20"/>
                <w:szCs w:val="20"/>
                <w:color w:val="auto"/>
              </w:rPr>
            </w:pPr>
            <w:r>
              <w:rPr>
                <w:rFonts w:ascii="Times New Roman" w:cs="Times New Roman" w:eastAsia="Times New Roman" w:hAnsi="Times New Roman"/>
                <w:sz w:val="9"/>
                <w:szCs w:val="9"/>
                <w:b w:val="1"/>
                <w:bCs w:val="1"/>
                <w:color w:val="auto"/>
                <w:w w:val="92"/>
              </w:rPr>
              <w:t>or Units of Stock</w:t>
            </w:r>
          </w:p>
        </w:tc>
        <w:tc>
          <w:tcPr>
            <w:tcW w:w="74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w w:val="95"/>
              </w:rPr>
              <w:t>Shares or Units of</w:t>
            </w:r>
          </w:p>
        </w:tc>
        <w:tc>
          <w:tcPr>
            <w:tcW w:w="0" w:type="dxa"/>
            <w:vAlign w:val="bottom"/>
          </w:tcPr>
          <w:p>
            <w:pPr>
              <w:spacing w:after="0"/>
              <w:rPr>
                <w:sz w:val="1"/>
                <w:szCs w:val="1"/>
                <w:color w:val="auto"/>
              </w:rPr>
            </w:pPr>
          </w:p>
        </w:tc>
      </w:tr>
      <w:tr>
        <w:trPr>
          <w:trHeight w:val="86"/>
        </w:trPr>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Name</w:t>
            </w:r>
          </w:p>
        </w:tc>
        <w:tc>
          <w:tcPr>
            <w:tcW w:w="40" w:type="dxa"/>
            <w:vAlign w:val="bottom"/>
          </w:tcPr>
          <w:p>
            <w:pPr>
              <w:spacing w:after="0"/>
              <w:rPr>
                <w:sz w:val="7"/>
                <w:szCs w:val="7"/>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Type of Award(1)</w:t>
            </w:r>
          </w:p>
        </w:tc>
        <w:tc>
          <w:tcPr>
            <w:tcW w:w="40" w:type="dxa"/>
            <w:vAlign w:val="bottom"/>
          </w:tcPr>
          <w:p>
            <w:pPr>
              <w:spacing w:after="0"/>
              <w:rPr>
                <w:sz w:val="7"/>
                <w:szCs w:val="7"/>
                <w:color w:val="auto"/>
              </w:rPr>
            </w:pPr>
          </w:p>
        </w:tc>
        <w:tc>
          <w:tcPr>
            <w:tcW w:w="620" w:type="dxa"/>
            <w:vAlign w:val="bottom"/>
            <w:gridSpan w:val="2"/>
          </w:tcPr>
          <w:p>
            <w:pPr>
              <w:jc w:val="center"/>
              <w:ind w:right="40"/>
              <w:spacing w:after="0" w:line="86" w:lineRule="exact"/>
              <w:rPr>
                <w:sz w:val="20"/>
                <w:szCs w:val="20"/>
                <w:color w:val="auto"/>
              </w:rPr>
            </w:pPr>
            <w:r>
              <w:rPr>
                <w:rFonts w:ascii="Times New Roman" w:cs="Times New Roman" w:eastAsia="Times New Roman" w:hAnsi="Times New Roman"/>
                <w:sz w:val="9"/>
                <w:szCs w:val="9"/>
                <w:b w:val="1"/>
                <w:bCs w:val="1"/>
                <w:color w:val="auto"/>
                <w:w w:val="96"/>
              </w:rPr>
              <w:t>Options (#)</w:t>
            </w:r>
          </w:p>
        </w:tc>
        <w:tc>
          <w:tcPr>
            <w:tcW w:w="640" w:type="dxa"/>
            <w:vAlign w:val="bottom"/>
          </w:tcPr>
          <w:p>
            <w:pPr>
              <w:jc w:val="center"/>
              <w:ind w:left="90"/>
              <w:spacing w:after="0" w:line="86" w:lineRule="exact"/>
              <w:rPr>
                <w:sz w:val="20"/>
                <w:szCs w:val="20"/>
                <w:color w:val="auto"/>
              </w:rPr>
            </w:pPr>
            <w:r>
              <w:rPr>
                <w:rFonts w:ascii="Times New Roman" w:cs="Times New Roman" w:eastAsia="Times New Roman" w:hAnsi="Times New Roman"/>
                <w:sz w:val="9"/>
                <w:szCs w:val="9"/>
                <w:b w:val="1"/>
                <w:bCs w:val="1"/>
                <w:color w:val="auto"/>
                <w:w w:val="96"/>
              </w:rPr>
              <w:t>Options (#)</w:t>
            </w: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w w:val="98"/>
              </w:rPr>
              <w:t>Exercise</w:t>
            </w:r>
          </w:p>
        </w:tc>
        <w:tc>
          <w:tcPr>
            <w:tcW w:w="640" w:type="dxa"/>
            <w:vAlign w:val="bottom"/>
            <w:gridSpan w:val="2"/>
          </w:tcPr>
          <w:p>
            <w:pPr>
              <w:jc w:val="center"/>
              <w:ind w:right="40"/>
              <w:spacing w:after="0" w:line="86" w:lineRule="exact"/>
              <w:rPr>
                <w:sz w:val="20"/>
                <w:szCs w:val="20"/>
                <w:color w:val="auto"/>
              </w:rPr>
            </w:pPr>
            <w:r>
              <w:rPr>
                <w:rFonts w:ascii="Times New Roman" w:cs="Times New Roman" w:eastAsia="Times New Roman" w:hAnsi="Times New Roman"/>
                <w:sz w:val="9"/>
                <w:szCs w:val="9"/>
                <w:b w:val="1"/>
                <w:bCs w:val="1"/>
                <w:color w:val="auto"/>
                <w:w w:val="96"/>
              </w:rPr>
              <w:t>Expiration</w:t>
            </w:r>
          </w:p>
        </w:tc>
        <w:tc>
          <w:tcPr>
            <w:tcW w:w="840" w:type="dxa"/>
            <w:vAlign w:val="bottom"/>
            <w:gridSpan w:val="3"/>
          </w:tcPr>
          <w:p>
            <w:pPr>
              <w:jc w:val="center"/>
              <w:ind w:right="40"/>
              <w:spacing w:after="0" w:line="86" w:lineRule="exact"/>
              <w:rPr>
                <w:sz w:val="20"/>
                <w:szCs w:val="20"/>
                <w:color w:val="auto"/>
              </w:rPr>
            </w:pPr>
            <w:r>
              <w:rPr>
                <w:rFonts w:ascii="Times New Roman" w:cs="Times New Roman" w:eastAsia="Times New Roman" w:hAnsi="Times New Roman"/>
                <w:sz w:val="9"/>
                <w:szCs w:val="9"/>
                <w:b w:val="1"/>
                <w:bCs w:val="1"/>
                <w:color w:val="auto"/>
                <w:w w:val="98"/>
              </w:rPr>
              <w:t>That Have Not</w:t>
            </w:r>
          </w:p>
        </w:tc>
        <w:tc>
          <w:tcPr>
            <w:tcW w:w="74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w w:val="96"/>
              </w:rPr>
              <w:t>Stock That Have</w:t>
            </w:r>
          </w:p>
        </w:tc>
        <w:tc>
          <w:tcPr>
            <w:tcW w:w="0" w:type="dxa"/>
            <w:vAlign w:val="bottom"/>
          </w:tcPr>
          <w:p>
            <w:pPr>
              <w:spacing w:after="0"/>
              <w:rPr>
                <w:sz w:val="1"/>
                <w:szCs w:val="1"/>
                <w:color w:val="auto"/>
              </w:rPr>
            </w:pPr>
          </w:p>
        </w:tc>
      </w:tr>
      <w:tr>
        <w:trPr>
          <w:trHeight w:val="121"/>
        </w:trPr>
        <w:tc>
          <w:tcPr>
            <w:tcW w:w="148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Exercisable</w:t>
            </w: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9"/>
                <w:szCs w:val="9"/>
                <w:b w:val="1"/>
                <w:bCs w:val="1"/>
                <w:color w:val="auto"/>
                <w:w w:val="96"/>
              </w:rPr>
              <w:t>Unexercisable</w:t>
            </w: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Price ($)</w:t>
            </w: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88"/>
              </w:rPr>
              <w:t>Date</w:t>
            </w:r>
          </w:p>
        </w:tc>
        <w:tc>
          <w:tcPr>
            <w:tcW w:w="4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9"/>
                <w:szCs w:val="9"/>
                <w:b w:val="1"/>
                <w:bCs w:val="1"/>
                <w:color w:val="auto"/>
                <w:w w:val="92"/>
              </w:rPr>
              <w:t>Vested (#)</w:t>
            </w: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Not Vested ($)</w:t>
            </w:r>
          </w:p>
        </w:tc>
        <w:tc>
          <w:tcPr>
            <w:tcW w:w="0" w:type="dxa"/>
            <w:vAlign w:val="bottom"/>
          </w:tcPr>
          <w:p>
            <w:pPr>
              <w:spacing w:after="0"/>
              <w:rPr>
                <w:sz w:val="1"/>
                <w:szCs w:val="1"/>
                <w:color w:val="auto"/>
              </w:rPr>
            </w:pPr>
          </w:p>
        </w:tc>
      </w:tr>
      <w:tr>
        <w:trPr>
          <w:trHeight w:val="160"/>
        </w:trPr>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Gregory W. (Bill) Haskell </w:t>
            </w:r>
            <w:r>
              <w:rPr>
                <w:rFonts w:ascii="Times New Roman" w:cs="Times New Roman" w:eastAsia="Times New Roman" w:hAnsi="Times New Roman"/>
                <w:sz w:val="11"/>
                <w:szCs w:val="11"/>
                <w:color w:val="B4B4B4"/>
              </w:rPr>
              <w:t>....</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Refinity Units</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109,000</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(4)</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Mike Otworth </w:t>
            </w:r>
            <w:r>
              <w:rPr>
                <w:rFonts w:ascii="Times New Roman" w:cs="Times New Roman" w:eastAsia="Times New Roman" w:hAnsi="Times New Roman"/>
                <w:sz w:val="11"/>
                <w:szCs w:val="11"/>
                <w:color w:val="B4B4B4"/>
              </w:rPr>
              <w:t>.......................</w:t>
            </w:r>
          </w:p>
        </w:tc>
        <w:tc>
          <w:tcPr>
            <w:tcW w:w="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INV Options</w:t>
            </w:r>
          </w:p>
        </w:tc>
        <w:tc>
          <w:tcPr>
            <w:tcW w:w="40" w:type="dxa"/>
            <w:vAlign w:val="bottom"/>
          </w:tcPr>
          <w:p>
            <w:pPr>
              <w:spacing w:after="0"/>
              <w:rPr>
                <w:sz w:val="14"/>
                <w:szCs w:val="14"/>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rPr>
              <w:t>262,295</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72"/>
              </w:rPr>
              <w:t>(2)</w:t>
            </w: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12/9/2034</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Refinity Units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109,000</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(4)</w:t>
            </w: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Accelsius SARs</w:t>
            </w:r>
          </w:p>
        </w:tc>
        <w:tc>
          <w:tcPr>
            <w:tcW w:w="40" w:type="dxa"/>
            <w:vAlign w:val="bottom"/>
          </w:tcPr>
          <w:p>
            <w:pPr>
              <w:spacing w:after="0"/>
              <w:rPr>
                <w:sz w:val="14"/>
                <w:szCs w:val="14"/>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1"/>
                <w:szCs w:val="11"/>
                <w:color w:val="auto"/>
              </w:rPr>
              <w:t>150,000</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72"/>
              </w:rPr>
              <w:t>(3)</w:t>
            </w: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12.175</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12/31/2026</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INV RSUs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537,705</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(5)</w:t>
            </w: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7,447,214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Accelsius Units</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75,000</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(6)</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3,147,750</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rPr>
              <w:t>(7)</w:t>
            </w:r>
          </w:p>
        </w:tc>
        <w:tc>
          <w:tcPr>
            <w:tcW w:w="0" w:type="dxa"/>
            <w:vAlign w:val="bottom"/>
          </w:tcPr>
          <w:p>
            <w:pPr>
              <w:spacing w:after="0"/>
              <w:rPr>
                <w:sz w:val="1"/>
                <w:szCs w:val="1"/>
                <w:color w:val="auto"/>
              </w:rPr>
            </w:pPr>
          </w:p>
        </w:tc>
      </w:tr>
      <w:tr>
        <w:trPr>
          <w:trHeight w:val="167"/>
        </w:trPr>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Dr. John Scott </w:t>
            </w:r>
            <w:r>
              <w:rPr>
                <w:rFonts w:ascii="Times New Roman" w:cs="Times New Roman" w:eastAsia="Times New Roman" w:hAnsi="Times New Roman"/>
                <w:sz w:val="11"/>
                <w:szCs w:val="11"/>
                <w:color w:val="B4B4B4"/>
              </w:rPr>
              <w:t>.......................</w:t>
            </w: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 Options</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rPr>
              <w:t>163,934</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w w:val="72"/>
              </w:rPr>
              <w:t>(2)</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12/9/2034</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Refinity Units</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109,000</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(4)</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Accelsius SARs</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rPr>
              <w:t>150,000</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w w:val="72"/>
              </w:rPr>
              <w:t>(3)</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12.175</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12/31/2026</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INV RSUs</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336,066</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(5)</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4,654,514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Accelsius Units</w:t>
            </w:r>
          </w:p>
        </w:tc>
        <w:tc>
          <w:tcPr>
            <w:tcW w:w="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9,375</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(8)</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434,813</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7"/>
                <w:szCs w:val="7"/>
                <w:color w:val="auto"/>
              </w:rPr>
              <w:t>(7)</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1420" w:right="1219" w:hanging="267"/>
        <w:spacing w:after="0" w:line="259" w:lineRule="auto"/>
        <w:tabs>
          <w:tab w:leader="none" w:pos="14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Type of Award: Refinity Units – Refinity Incentive Units; INV Options – stock options to purchase shares of Common Stock; INV RSUs – restricted stock units settled in shares of Common Stock; Accelsius SARs – awards granted by Innventure and settled in shares of Common Stock, the value of which is determined based on the increase in value of Class A Common Units of Accelsius; Accelsius Units – Accelsius Incentive Units.</w:t>
      </w:r>
    </w:p>
    <w:p>
      <w:pPr>
        <w:spacing w:after="0" w:line="1" w:lineRule="exact"/>
        <w:rPr>
          <w:rFonts w:ascii="Times New Roman" w:cs="Times New Roman" w:eastAsia="Times New Roman" w:hAnsi="Times New Roman"/>
          <w:sz w:val="11"/>
          <w:szCs w:val="11"/>
          <w:color w:val="auto"/>
        </w:rPr>
      </w:pPr>
    </w:p>
    <w:p>
      <w:pPr>
        <w:ind w:left="1420" w:right="1199" w:hanging="267"/>
        <w:spacing w:after="0" w:line="260" w:lineRule="auto"/>
        <w:tabs>
          <w:tab w:leader="none" w:pos="14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general, these stock options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1420" w:right="1399" w:hanging="267"/>
        <w:spacing w:after="0" w:line="261" w:lineRule="auto"/>
        <w:tabs>
          <w:tab w:leader="none" w:pos="14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ind w:left="1420" w:right="1199" w:hanging="267"/>
        <w:spacing w:after="0" w:line="260" w:lineRule="auto"/>
        <w:tabs>
          <w:tab w:leader="none" w:pos="14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w:t>
      </w:r>
    </w:p>
    <w:p>
      <w:pPr>
        <w:ind w:left="1420" w:right="1259" w:hanging="267"/>
        <w:spacing w:after="0" w:line="262" w:lineRule="auto"/>
        <w:tabs>
          <w:tab w:leader="none" w:pos="14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general, these RSUs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1420" w:hanging="267"/>
        <w:spacing w:after="0"/>
        <w:tabs>
          <w:tab w:leader="none" w:pos="14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March 22, 2024, Accelsius granted to Mr. Otworth 100,000 Accelsius Incentive Units, with an Accelsius Distribution Threshold of</w:t>
      </w:r>
    </w:p>
    <w:p>
      <w:pPr>
        <w:spacing w:after="0" w:line="13" w:lineRule="exact"/>
        <w:rPr>
          <w:rFonts w:ascii="Times New Roman" w:cs="Times New Roman" w:eastAsia="Times New Roman" w:hAnsi="Times New Roman"/>
          <w:sz w:val="11"/>
          <w:szCs w:val="11"/>
          <w:color w:val="auto"/>
        </w:rPr>
      </w:pPr>
    </w:p>
    <w:p>
      <w:pPr>
        <w:ind w:left="1420" w:right="1239"/>
        <w:spacing w:after="0" w:line="267"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$4.41.In general, these Accelsius Incentive Units will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936" w:orient="portrait"/>
          <w:cols w:equalWidth="0" w:num="1">
            <w:col w:w="9019"/>
          </w:cols>
          <w:pgMar w:left="1440" w:top="2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20" w:right="1279" w:hanging="267"/>
        <w:spacing w:after="0" w:line="285" w:lineRule="auto"/>
        <w:tabs>
          <w:tab w:leader="none" w:pos="142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w:t>
      </w:r>
    </w:p>
    <w:p>
      <w:pPr>
        <w:sectPr>
          <w:pgSz w:w="11900" w:h="16936" w:orient="portrait"/>
          <w:cols w:equalWidth="0" w:num="1">
            <w:col w:w="9019"/>
          </w:cols>
          <w:pgMar w:left="1440" w:top="264" w:right="1440" w:bottom="0" w:gutter="0" w:footer="0" w:header="0"/>
          <w:type w:val="continuous"/>
        </w:sectPr>
      </w:pPr>
    </w:p>
    <w:bookmarkStart w:id="52" w:name="page53"/>
    <w:bookmarkEnd w:id="52"/>
    <w:p>
      <w:pPr>
        <w:spacing w:after="0" w:line="43" w:lineRule="exact"/>
        <w:rPr>
          <w:sz w:val="20"/>
          <w:szCs w:val="20"/>
          <w:color w:val="auto"/>
        </w:rPr>
      </w:pPr>
    </w:p>
    <w:p>
      <w:pPr>
        <w:ind w:left="1420" w:right="1179" w:hanging="267"/>
        <w:spacing w:after="0" w:line="271" w:lineRule="auto"/>
        <w:tabs>
          <w:tab w:leader="none" w:pos="142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-358140</wp:posOffset>
            </wp:positionV>
            <wp:extent cx="716026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Additional Narrative Disclosure</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Tax Qualified Retirement Plan</w:t>
      </w:r>
    </w:p>
    <w:p>
      <w:pPr>
        <w:spacing w:after="0" w:line="144" w:lineRule="exact"/>
        <w:rPr>
          <w:sz w:val="20"/>
          <w:szCs w:val="20"/>
          <w:color w:val="auto"/>
        </w:rPr>
      </w:pPr>
    </w:p>
    <w:p>
      <w:pPr>
        <w:ind w:left="1160" w:right="1439" w:firstLine="258"/>
        <w:spacing w:after="0" w:line="268" w:lineRule="auto"/>
        <w:rPr>
          <w:sz w:val="20"/>
          <w:szCs w:val="20"/>
          <w:color w:val="auto"/>
        </w:rPr>
      </w:pPr>
      <w:r>
        <w:rPr>
          <w:rFonts w:ascii="Times New Roman" w:cs="Times New Roman" w:eastAsia="Times New Roman" w:hAnsi="Times New Roman"/>
          <w:sz w:val="14"/>
          <w:szCs w:val="14"/>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w:t>
      </w:r>
    </w:p>
    <w:p>
      <w:pPr>
        <w:spacing w:after="0" w:line="97"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Innventure did not offer a defined benefit pension plan or nonqualified deferred compensation plan for its NEOs during 2024.</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Severance and Change in Control Compensation</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Severance Under NEO Arrangements</w:t>
      </w:r>
    </w:p>
    <w:p>
      <w:pPr>
        <w:spacing w:after="0" w:line="142"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None of the agreements or offer letters with the NEOs provide for severance compensation in the event of a termination of employment.</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Innventure Equity Compensation</w:t>
      </w:r>
    </w:p>
    <w:p>
      <w:pPr>
        <w:spacing w:after="0" w:line="142" w:lineRule="exact"/>
        <w:rPr>
          <w:sz w:val="20"/>
          <w:szCs w:val="20"/>
          <w:color w:val="auto"/>
        </w:rPr>
      </w:pPr>
    </w:p>
    <w:p>
      <w:pPr>
        <w:ind w:left="1160" w:right="1479" w:firstLine="258"/>
        <w:spacing w:after="0" w:line="292" w:lineRule="auto"/>
        <w:rPr>
          <w:sz w:val="20"/>
          <w:szCs w:val="20"/>
          <w:color w:val="auto"/>
        </w:rPr>
      </w:pPr>
      <w:r>
        <w:rPr>
          <w:rFonts w:ascii="Times New Roman" w:cs="Times New Roman" w:eastAsia="Times New Roman" w:hAnsi="Times New Roman"/>
          <w:sz w:val="14"/>
          <w:szCs w:val="14"/>
          <w:color w:val="auto"/>
        </w:rPr>
        <w:t>In general, RSUs, stock options and Accelsius SARs granted under the 2024 Plan are eligible to vest or are automatically exercised as follows in the event of certain termination and change in control scenarios.</w:t>
      </w:r>
    </w:p>
    <w:p>
      <w:pPr>
        <w:spacing w:after="0" w:line="79"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RSUs. </w:t>
      </w:r>
      <w:r>
        <w:rPr>
          <w:rFonts w:ascii="Times New Roman" w:cs="Times New Roman" w:eastAsia="Times New Roman" w:hAnsi="Times New Roman"/>
          <w:sz w:val="14"/>
          <w:szCs w:val="14"/>
          <w:color w:val="auto"/>
        </w:rPr>
        <w:t>If an NEO’s employment is terminated due to death or disability, the RSUs will vest in full. If an NEO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remains employed through the date of a “change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w:t>
      </w:r>
    </w:p>
    <w:p>
      <w:pPr>
        <w:spacing w:after="0" w:line="97" w:lineRule="exact"/>
        <w:rPr>
          <w:sz w:val="20"/>
          <w:szCs w:val="20"/>
          <w:color w:val="auto"/>
        </w:rPr>
      </w:pPr>
    </w:p>
    <w:p>
      <w:pPr>
        <w:ind w:left="1160" w:right="1239" w:firstLine="258"/>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If an NEO’s employment is terminated due to death or disability, the unvested portion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 will vest in full upon termination. If an NEO remains employed through the date of 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w:t>
      </w:r>
    </w:p>
    <w:p>
      <w:pPr>
        <w:spacing w:after="0" w:line="97" w:lineRule="exact"/>
        <w:rPr>
          <w:sz w:val="20"/>
          <w:szCs w:val="20"/>
          <w:color w:val="auto"/>
        </w:rPr>
      </w:pPr>
    </w:p>
    <w:p>
      <w:pPr>
        <w:jc w:val="both"/>
        <w:ind w:left="1160" w:right="1579" w:firstLine="258"/>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Accelsius SARs. </w:t>
      </w:r>
      <w:r>
        <w:rPr>
          <w:rFonts w:ascii="Times New Roman" w:cs="Times New Roman" w:eastAsia="Times New Roman" w:hAnsi="Times New Roman"/>
          <w:sz w:val="14"/>
          <w:szCs w:val="14"/>
          <w:color w:val="auto"/>
        </w:rPr>
        <w:t>The Accelsius SARs granted in December 2024 were fully vested upon grant and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automatically exercised upon the earliest to occur of: (i) the 24-month anniversary of the date of grant, (ii) the participant’s death, or (iii) the participant’s disability.</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Treatment of Incentive Units Upon a Termination of Employment or Engagement</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439"/>
        <w:spacing w:after="0" w:line="292" w:lineRule="auto"/>
        <w:rPr>
          <w:sz w:val="20"/>
          <w:szCs w:val="20"/>
          <w:color w:val="auto"/>
        </w:rPr>
      </w:pPr>
      <w:r>
        <w:rPr>
          <w:rFonts w:ascii="Times New Roman" w:cs="Times New Roman" w:eastAsia="Times New Roman" w:hAnsi="Times New Roman"/>
          <w:sz w:val="14"/>
          <w:szCs w:val="14"/>
          <w:color w:val="auto"/>
        </w:rPr>
        <w:t>granted), such vested Incentive Units may be repurchased (or could have been repurchased) for their fair market value.</w:t>
      </w:r>
    </w:p>
    <w:p>
      <w:pPr>
        <w:spacing w:after="0" w:line="8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As described above, Innventure Incentive Units held by the NEOs vested (to the extent unvested) at the time of the Business Combination and were cancelled in exchange for shares of Common Stock.</w:t>
      </w:r>
    </w:p>
    <w:p>
      <w:pPr>
        <w:spacing w:after="0" w:line="8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With respect to Refinity Incentive Units, if an NEO’s employment or service is terminated, then Refinity Holdings, LLC may redeem such NEO’s vested Refinity Incentive Units for their fair market value (as defined in the applicable award agreements pursuant to which Refinity Incentive Units are granted), except that if the termination is by Refinity Holdings, LLC for cause (as defined in the Refinity Holdings, LLC PI Unit Incentive Plan), such vested and unvested Refinity Incentive Units may be redeemed by Refinity Holdings, LLC for $0.</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Treatment of Accelsius Incentive Units and Refinity Incentive Units upon a Change in Control</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With respect to Accelsius Incentive Units and Refinity Incentive Units if Accelsius or Refinity Holdings, LLC,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42" w:lineRule="exact"/>
        <w:rPr>
          <w:sz w:val="20"/>
          <w:szCs w:val="20"/>
          <w:color w:val="auto"/>
        </w:rPr>
      </w:pPr>
    </w:p>
    <w:p>
      <w:pPr>
        <w:ind w:left="1160" w:right="1319" w:firstLine="258"/>
        <w:spacing w:after="0" w:line="292" w:lineRule="auto"/>
        <w:rPr>
          <w:sz w:val="20"/>
          <w:szCs w:val="20"/>
          <w:color w:val="auto"/>
        </w:rPr>
      </w:pPr>
      <w:r>
        <w:rPr>
          <w:rFonts w:ascii="Times New Roman" w:cs="Times New Roman" w:eastAsia="Times New Roman" w:hAnsi="Times New Roman"/>
          <w:sz w:val="14"/>
          <w:szCs w:val="14"/>
          <w:color w:val="auto"/>
        </w:rPr>
        <w:t>Bill Haskell, David Yablunosky, Mike Otworth, Suzanne Niemeyer, James Donnally, Bruce Brown, Elizabeth Williams, Daniel Hennessy, and Michael Amalfitano served on the Innventure Board during 2024.</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Non-Management Director Compensation Policy</w:t>
      </w:r>
    </w:p>
    <w:p>
      <w:pPr>
        <w:spacing w:after="0" w:line="142"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In 2024, our Board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97" w:lineRule="exact"/>
        <w:rPr>
          <w:sz w:val="20"/>
          <w:szCs w:val="20"/>
          <w:color w:val="auto"/>
        </w:rPr>
      </w:pPr>
    </w:p>
    <w:p>
      <w:pPr>
        <w:ind w:left="1660" w:right="1239" w:hanging="249"/>
        <w:spacing w:after="0" w:line="295" w:lineRule="auto"/>
        <w:tabs>
          <w:tab w:leader="none" w:pos="16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Initial Equity Grant</w:t>
      </w:r>
      <w:r>
        <w:rPr>
          <w:rFonts w:ascii="Times New Roman" w:cs="Times New Roman" w:eastAsia="Times New Roman" w:hAnsi="Times New Roman"/>
          <w:sz w:val="14"/>
          <w:szCs w:val="14"/>
          <w:color w:val="auto"/>
        </w:rPr>
        <w:t>: Each non-management director that became a member of our Board as of the Closing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and who was still serving on our Board on the third business day following the effective date of the</w:t>
      </w:r>
    </w:p>
    <w:p>
      <w:pPr>
        <w:sectPr>
          <w:pgSz w:w="11900" w:h="16882" w:orient="portrait"/>
          <w:cols w:equalWidth="0" w:num="1">
            <w:col w:w="9019"/>
          </w:cols>
          <w:pgMar w:left="1440" w:top="133" w:right="1440" w:bottom="0" w:gutter="0" w:footer="0" w:header="0"/>
        </w:sectPr>
      </w:pPr>
    </w:p>
    <w:bookmarkStart w:id="53" w:name="page54"/>
    <w:bookmarkEnd w:id="53"/>
    <w:p>
      <w:pPr>
        <w:ind w:left="1660" w:right="1399"/>
        <w:spacing w:after="0" w:line="241" w:lineRule="auto"/>
        <w:rPr>
          <w:sz w:val="20"/>
          <w:szCs w:val="20"/>
          <w:color w:val="auto"/>
        </w:rPr>
      </w:pPr>
      <w:r>
        <w:rPr>
          <w:rFonts w:ascii="Times New Roman" w:cs="Times New Roman" w:eastAsia="Times New Roman" w:hAnsi="Times New Roman"/>
          <w:sz w:val="14"/>
          <w:szCs w:val="14"/>
          <w:color w:val="auto"/>
        </w:rPr>
        <w:t>Director Compensation Plan received RSUs with a targeted value of $90,000 on such date, in respect of their service from the Closing and the date of the Company’s first annual meeting of stockholders.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-175260</wp:posOffset>
            </wp:positionV>
            <wp:extent cx="716026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right="1619"/>
        <w:spacing w:after="0" w:line="272" w:lineRule="auto"/>
        <w:rPr>
          <w:sz w:val="20"/>
          <w:szCs w:val="20"/>
          <w:color w:val="auto"/>
        </w:rPr>
      </w:pPr>
      <w:r>
        <w:rPr>
          <w:rFonts w:ascii="Times New Roman" w:cs="Times New Roman" w:eastAsia="Times New Roman" w:hAnsi="Times New Roman"/>
          <w:sz w:val="14"/>
          <w:szCs w:val="14"/>
          <w:color w:val="auto"/>
        </w:rPr>
        <w:t>RSUs will generally vest on the date of this year’s annual meeting, subject to each non-management director providing service on our Board through such date.</w:t>
      </w:r>
    </w:p>
    <w:p>
      <w:pPr>
        <w:spacing w:after="0" w:line="92" w:lineRule="exact"/>
        <w:rPr>
          <w:sz w:val="20"/>
          <w:szCs w:val="20"/>
          <w:color w:val="auto"/>
        </w:rPr>
      </w:pPr>
    </w:p>
    <w:p>
      <w:pPr>
        <w:ind w:left="1660" w:hanging="249"/>
        <w:spacing w:after="0"/>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Quarterly cash retainer</w:t>
      </w:r>
      <w:r>
        <w:rPr>
          <w:rFonts w:ascii="Times New Roman" w:cs="Times New Roman" w:eastAsia="Times New Roman" w:hAnsi="Times New Roman"/>
          <w:sz w:val="14"/>
          <w:szCs w:val="14"/>
          <w:color w:val="auto"/>
        </w:rPr>
        <w:t>: Each non-management director will receive an annual cash retainer fee of</w:t>
      </w:r>
    </w:p>
    <w:p>
      <w:pPr>
        <w:spacing w:after="0" w:line="26" w:lineRule="exact"/>
        <w:rPr>
          <w:rFonts w:ascii="Times New Roman" w:cs="Times New Roman" w:eastAsia="Times New Roman" w:hAnsi="Times New Roman"/>
          <w:sz w:val="14"/>
          <w:szCs w:val="14"/>
          <w:color w:val="auto"/>
        </w:rPr>
      </w:pPr>
    </w:p>
    <w:p>
      <w:pPr>
        <w:ind w:left="1660" w:right="1159"/>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$80,000, paid in arrears on a quarterly basis. The annual cash retainer fee will be prorated in the event that a non-management director serves on our Board for a portion of any calendar quarter.</w:t>
      </w:r>
    </w:p>
    <w:p>
      <w:pPr>
        <w:spacing w:after="0" w:line="91" w:lineRule="exact"/>
        <w:rPr>
          <w:rFonts w:ascii="Times New Roman" w:cs="Times New Roman" w:eastAsia="Times New Roman" w:hAnsi="Times New Roman"/>
          <w:sz w:val="14"/>
          <w:szCs w:val="14"/>
          <w:color w:val="auto"/>
        </w:rPr>
      </w:pPr>
    </w:p>
    <w:p>
      <w:pPr>
        <w:ind w:left="1660" w:right="1239" w:hanging="249"/>
        <w:spacing w:after="0" w:line="261" w:lineRule="auto"/>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Annual equity retainer</w:t>
      </w:r>
      <w:r>
        <w:rPr>
          <w:rFonts w:ascii="Times New Roman" w:cs="Times New Roman" w:eastAsia="Times New Roman" w:hAnsi="Times New Roman"/>
          <w:sz w:val="14"/>
          <w:szCs w:val="14"/>
          <w:color w:val="auto"/>
        </w:rPr>
        <w:t>: On the date of each of our regularly scheduled annual meetings of stockholders,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non-management director will 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02" w:lineRule="exact"/>
        <w:rPr>
          <w:rFonts w:ascii="Times New Roman" w:cs="Times New Roman" w:eastAsia="Times New Roman" w:hAnsi="Times New Roman"/>
          <w:sz w:val="14"/>
          <w:szCs w:val="14"/>
          <w:color w:val="auto"/>
        </w:rPr>
      </w:pPr>
    </w:p>
    <w:p>
      <w:pPr>
        <w:ind w:left="1660" w:right="1299" w:hanging="249"/>
        <w:spacing w:after="0" w:line="266" w:lineRule="auto"/>
        <w:tabs>
          <w:tab w:leader="none" w:pos="1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Committee retainers</w:t>
      </w:r>
      <w:r>
        <w:rPr>
          <w:rFonts w:ascii="Times New Roman" w:cs="Times New Roman" w:eastAsia="Times New Roman" w:hAnsi="Times New Roman"/>
          <w:sz w:val="14"/>
          <w:szCs w:val="14"/>
          <w:color w:val="auto"/>
        </w:rPr>
        <w:t>: Each non-management director who serves as the chairperson of a 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committee of our Board will receive an annual cash retainer fee of $20,000, paid in arrears on a quarterly 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right="1459"/>
        <w:spacing w:after="0" w:line="292" w:lineRule="auto"/>
        <w:rPr>
          <w:sz w:val="20"/>
          <w:szCs w:val="20"/>
          <w:color w:val="auto"/>
        </w:rPr>
      </w:pPr>
      <w:r>
        <w:rPr>
          <w:rFonts w:ascii="Times New Roman" w:cs="Times New Roman" w:eastAsia="Times New Roman" w:hAnsi="Times New Roman"/>
          <w:sz w:val="14"/>
          <w:szCs w:val="14"/>
          <w:color w:val="auto"/>
        </w:rPr>
        <w:t>arrears on a quarterly basis and prorated in the event that such non-management director serves in such position for a portion of any calendar quarter.</w:t>
      </w:r>
    </w:p>
    <w:p>
      <w:pPr>
        <w:spacing w:after="0" w:line="8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2024 Director Compensation</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61"/>
        </w:trPr>
        <w:tc>
          <w:tcPr>
            <w:tcW w:w="2820" w:type="dxa"/>
            <w:vAlign w:val="bottom"/>
            <w:gridSpan w:val="2"/>
            <w:vMerge w:val="continue"/>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paid in cash ($)</w:t>
            </w:r>
          </w:p>
        </w:tc>
        <w:tc>
          <w:tcPr>
            <w:tcW w:w="940" w:type="dxa"/>
            <w:vAlign w:val="bottom"/>
          </w:tcPr>
          <w:p>
            <w:pPr>
              <w:jc w:val="right"/>
              <w:ind w:right="296"/>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w:t>
            </w:r>
          </w:p>
        </w:tc>
        <w:tc>
          <w:tcPr>
            <w:tcW w:w="40" w:type="dxa"/>
            <w:vAlign w:val="bottom"/>
          </w:tcPr>
          <w:p>
            <w:pPr>
              <w:spacing w:after="0"/>
              <w:rPr>
                <w:sz w:val="14"/>
                <w:szCs w:val="14"/>
                <w:color w:val="auto"/>
              </w:rPr>
            </w:pPr>
          </w:p>
        </w:tc>
        <w:tc>
          <w:tcPr>
            <w:tcW w:w="940" w:type="dxa"/>
            <w:vAlign w:val="bottom"/>
          </w:tcPr>
          <w:p>
            <w:pPr>
              <w:jc w:val="right"/>
              <w:ind w:right="296"/>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James Donnally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89,999</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782,000</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899,499</w:t>
            </w:r>
          </w:p>
        </w:tc>
        <w:tc>
          <w:tcPr>
            <w:tcW w:w="0" w:type="dxa"/>
            <w:vAlign w:val="bottom"/>
          </w:tcPr>
          <w:p>
            <w:pPr>
              <w:spacing w:after="0"/>
              <w:rPr>
                <w:sz w:val="1"/>
                <w:szCs w:val="1"/>
                <w:color w:val="auto"/>
              </w:rPr>
            </w:pPr>
          </w:p>
        </w:tc>
      </w:tr>
      <w:tr>
        <w:trPr>
          <w:trHeight w:val="198"/>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Bruce Brown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89,999</w:t>
            </w:r>
          </w:p>
        </w:tc>
        <w:tc>
          <w:tcPr>
            <w:tcW w:w="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117,499</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Elizabeth Williams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89,999</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114,999</w:t>
            </w:r>
          </w:p>
        </w:tc>
        <w:tc>
          <w:tcPr>
            <w:tcW w:w="0" w:type="dxa"/>
            <w:vAlign w:val="bottom"/>
          </w:tcPr>
          <w:p>
            <w:pPr>
              <w:spacing w:after="0"/>
              <w:rPr>
                <w:sz w:val="1"/>
                <w:szCs w:val="1"/>
                <w:color w:val="auto"/>
              </w:rPr>
            </w:pPr>
          </w:p>
        </w:tc>
      </w:tr>
      <w:tr>
        <w:trPr>
          <w:trHeight w:val="198"/>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Daniel Hennessy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89,999</w:t>
            </w:r>
          </w:p>
        </w:tc>
        <w:tc>
          <w:tcPr>
            <w:tcW w:w="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114,999</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Michael Amalfitano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89,999</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114,999</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right="1219" w:hanging="267"/>
        <w:spacing w:after="0" w:line="259" w:lineRule="auto"/>
        <w:tabs>
          <w:tab w:leader="none" w:pos="142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grant date fair value of the RSU awards, calculated in accordance with FASB ASC Topic 718. For information regarding assumptions used in calculating these values, see Note 14 to the consolidated financial statements included elsewhere in this prospectus. As of December 31, 2024, the non-management directors held the following outstanding stock awards: each of Messrs. Donnally, Brown, Hennessy and Amalfitano and Ms. Williams, 7,377 RSUs.</w:t>
      </w:r>
    </w:p>
    <w:p>
      <w:pPr>
        <w:spacing w:after="0" w:line="1" w:lineRule="exact"/>
        <w:rPr>
          <w:rFonts w:ascii="Times New Roman" w:cs="Times New Roman" w:eastAsia="Times New Roman" w:hAnsi="Times New Roman"/>
          <w:sz w:val="11"/>
          <w:szCs w:val="11"/>
          <w:color w:val="auto"/>
        </w:rPr>
      </w:pPr>
    </w:p>
    <w:p>
      <w:pPr>
        <w:ind w:left="1420" w:right="1219" w:hanging="267"/>
        <w:spacing w:after="0" w:line="265" w:lineRule="auto"/>
        <w:tabs>
          <w:tab w:leader="none" w:pos="142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grant date fair value of the Accelsius SARs, calculated in accordance with FASB ASC Topic 718. For information regarding assumptions used in calculating these values, see Note 14 to the consolidated financial statements included elsewhere in this prospectus.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The Compensation Committee may, in its discretion, determine that Mr. Donnally will receive cash instead of Common Stock. As of December 31, 2024, Mr. Donnally held 20,000 Accelsius SARs. Mr. Donnally was granted these Accelsius SARs in respect of prior service.</w:t>
      </w:r>
    </w:p>
    <w:p>
      <w:pPr>
        <w:sectPr>
          <w:pgSz w:w="11900" w:h="16838" w:orient="portrait"/>
          <w:cols w:equalWidth="0" w:num="1">
            <w:col w:w="9019"/>
          </w:cols>
          <w:pgMar w:left="1440" w:top="94" w:right="1440" w:bottom="4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94" w:right="1440" w:bottom="437" w:gutter="0" w:footer="0" w:header="0"/>
          <w:type w:val="continuous"/>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CERTAIN RELATIONSHIPS AND RELATED PARTY TRANSACTIONS</w:t>
      </w:r>
    </w:p>
    <w:p>
      <w:pPr>
        <w:spacing w:after="0" w:line="140" w:lineRule="exact"/>
        <w:rPr>
          <w:sz w:val="20"/>
          <w:szCs w:val="20"/>
          <w:color w:val="auto"/>
        </w:rPr>
      </w:pPr>
    </w:p>
    <w:p>
      <w:pPr>
        <w:ind w:left="1160" w:right="1379"/>
        <w:spacing w:after="0" w:line="295" w:lineRule="auto"/>
        <w:rPr>
          <w:sz w:val="20"/>
          <w:szCs w:val="20"/>
          <w:color w:val="auto"/>
        </w:rPr>
      </w:pPr>
      <w:r>
        <w:rPr>
          <w:rFonts w:ascii="Times New Roman" w:cs="Times New Roman" w:eastAsia="Times New Roman" w:hAnsi="Times New Roman"/>
          <w:sz w:val="14"/>
          <w:szCs w:val="14"/>
          <w:i w:val="1"/>
          <w:iCs w:val="1"/>
          <w:color w:val="auto"/>
        </w:rPr>
        <w:t>Unless otherwise indicated, all dollar amounts (“$”) in this section are expressed in thousands, except share and per share amounts.</w:t>
      </w:r>
    </w:p>
    <w:p>
      <w:pPr>
        <w:spacing w:after="0" w:line="79"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The following is a description of each transaction since January 1, 2023 and each currently proposed transaction in which Innventure LLC, Innventure or the Innventure Companies has been or is to be a participant and:</w:t>
      </w:r>
    </w:p>
    <w:p>
      <w:pPr>
        <w:spacing w:after="0" w:line="81" w:lineRule="exact"/>
        <w:rPr>
          <w:sz w:val="20"/>
          <w:szCs w:val="20"/>
          <w:color w:val="auto"/>
        </w:rPr>
      </w:pPr>
    </w:p>
    <w:p>
      <w:pPr>
        <w:ind w:left="1660" w:hanging="249"/>
        <w:spacing w:after="0"/>
        <w:tabs>
          <w:tab w:leader="none" w:pos="1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involved exceeded or exceeds $120; and</w:t>
      </w:r>
    </w:p>
    <w:p>
      <w:pPr>
        <w:spacing w:after="0" w:line="139" w:lineRule="exact"/>
        <w:rPr>
          <w:rFonts w:ascii="Times New Roman" w:cs="Times New Roman" w:eastAsia="Times New Roman" w:hAnsi="Times New Roman"/>
          <w:sz w:val="14"/>
          <w:szCs w:val="14"/>
          <w:color w:val="auto"/>
        </w:rPr>
      </w:pPr>
    </w:p>
    <w:p>
      <w:pPr>
        <w:ind w:left="1660" w:right="1259" w:hanging="249"/>
        <w:spacing w:after="0" w:line="274" w:lineRule="auto"/>
        <w:tabs>
          <w:tab w:leader="none" w:pos="16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Transactions with AeroFlexx, Accelsius, Innventus ESG Fund I, L.P., and Innventure1, LLC</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Management Services</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Pursuant to a Management Services Agreement dated August 17, 2018, among Management Services, a wholly owned subsidiary of Innventure LLC, Innventure GP and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w:t>
      </w:r>
    </w:p>
    <w:p>
      <w:pPr>
        <w:spacing w:after="0" w:line="10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Option Agreement</w:t>
      </w:r>
    </w:p>
    <w:p>
      <w:pPr>
        <w:spacing w:after="0" w:line="144" w:lineRule="exact"/>
        <w:rPr>
          <w:sz w:val="20"/>
          <w:szCs w:val="20"/>
          <w:color w:val="auto"/>
        </w:rPr>
      </w:pPr>
    </w:p>
    <w:p>
      <w:pPr>
        <w:jc w:val="both"/>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w:t>
      </w:r>
    </w:p>
    <w:p>
      <w:pPr>
        <w:spacing w:after="0" w:line="2"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Indebtedness</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w:t>
      </w:r>
    </w:p>
    <w:p>
      <w:pPr>
        <w:spacing w:after="0" w:line="97"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$2,400 from time to time until the Maturity Date (as defined in the AeroFlexx Loan Agreement). Additionally, the aggregate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79"/>
        <w:spacing w:after="0" w:line="257" w:lineRule="auto"/>
        <w:rPr>
          <w:sz w:val="20"/>
          <w:szCs w:val="20"/>
          <w:color w:val="auto"/>
        </w:rPr>
      </w:pPr>
      <w:r>
        <w:rPr>
          <w:rFonts w:ascii="Times New Roman" w:cs="Times New Roman" w:eastAsia="Times New Roman" w:hAnsi="Times New Roman"/>
          <w:sz w:val="14"/>
          <w:szCs w:val="14"/>
          <w:color w:val="auto"/>
        </w:rPr>
        <w:t>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w:t>
      </w:r>
    </w:p>
    <w:p>
      <w:pPr>
        <w:sectPr>
          <w:pgSz w:w="11900" w:h="16838" w:orient="portrait"/>
          <w:cols w:equalWidth="0" w:num="1">
            <w:col w:w="9019"/>
          </w:cols>
          <w:pgMar w:left="1440" w:top="971" w:right="1440" w:bottom="0" w:gutter="0" w:footer="0" w:header="0"/>
        </w:sectPr>
      </w:pPr>
    </w:p>
    <w:bookmarkStart w:id="55" w:name="page56"/>
    <w:bookmarkEnd w:id="55"/>
    <w:p>
      <w:pPr>
        <w:ind w:left="1160" w:right="1199"/>
        <w:spacing w:after="0" w:line="193" w:lineRule="auto"/>
        <w:rPr>
          <w:sz w:val="20"/>
          <w:szCs w:val="20"/>
          <w:color w:val="auto"/>
        </w:rPr>
      </w:pPr>
      <w:r>
        <w:rPr>
          <w:rFonts w:ascii="Times New Roman" w:cs="Times New Roman" w:eastAsia="Times New Roman" w:hAnsi="Times New Roman"/>
          <w:sz w:val="14"/>
          <w:szCs w:val="14"/>
          <w:color w:val="auto"/>
        </w:rPr>
        <w:t>entity. Since the date of the AeroFlexx Loan Agreement, the largest amount of principal outstanding $10,000 and no interest or principal has been paid on the Term Loans, and as of March 31, 2025 the current amount outstanding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-134620</wp:posOffset>
            </wp:positionV>
            <wp:extent cx="716026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39"/>
        <w:spacing w:after="0" w:line="264" w:lineRule="auto"/>
        <w:rPr>
          <w:sz w:val="20"/>
          <w:szCs w:val="20"/>
          <w:color w:val="auto"/>
        </w:rPr>
      </w:pPr>
      <w:r>
        <w:rPr>
          <w:rFonts w:ascii="Times New Roman" w:cs="Times New Roman" w:eastAsia="Times New Roman" w:hAnsi="Times New Roman"/>
          <w:sz w:val="14"/>
          <w:szCs w:val="14"/>
          <w:color w:val="auto"/>
        </w:rPr>
        <w:t>$10,307 following the conversion of $7,300 on January 2, 2025 and the inclusion of the $4,400 informal loan under the AeroFlexx Loan Agreement. Subsequent to the date on which the $10,000 cap on the AeroFlexx Loan Agreement was achieved, Innventure has also informally loaned an additional $4,155 to AeroFlexx.</w:t>
      </w:r>
    </w:p>
    <w:p>
      <w:pPr>
        <w:spacing w:after="0" w:line="99"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On March 30, 2023, Innventure LLC entered into a loan and security agreement with Accelsius. Under the loan and security agreement, Innventure LLC agreed to loan, from time to time, up to $6,000 in term loans to Accelsius, with a minimum loan of $10 per term loan. On December 13, 2023, the loan and security agreement was amended to increase the aggregate amount available to be loaned to Accelsius to $12,000.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$17,075 in the aggregate, of which $5,075 of principal has been repaid and $84 of interest has been repaid. As of December 31, 2024, approximately $12,408 was outstanding under the loan and security agreement, including $408 of accrued interest. In addition, to date, Innventure LLC has informally loaned Accelsius $1,200. As described elsewhere in this prospectus, all intercompany transactions and balances have been eliminated in consolidation, including those related to this loan and security agreement with Accelsius.</w:t>
      </w:r>
    </w:p>
    <w:p>
      <w:pPr>
        <w:spacing w:after="0" w:line="1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During the fiscal year ended December 31, 2024, Innventure LLC informally loaned Refinity Holdings $530.</w:t>
      </w:r>
    </w:p>
    <w:p>
      <w:pPr>
        <w:spacing w:after="0" w:line="140"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19"/>
        <w:spacing w:after="0" w:line="268" w:lineRule="auto"/>
        <w:rPr>
          <w:sz w:val="20"/>
          <w:szCs w:val="20"/>
          <w:color w:val="auto"/>
        </w:rPr>
      </w:pPr>
      <w:r>
        <w:rPr>
          <w:rFonts w:ascii="Times New Roman" w:cs="Times New Roman" w:eastAsia="Times New Roman" w:hAnsi="Times New Roman"/>
          <w:sz w:val="14"/>
          <w:szCs w:val="14"/>
          <w:color w:val="auto"/>
        </w:rPr>
        <w:t>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w:t>
      </w:r>
    </w:p>
    <w:p>
      <w:pPr>
        <w:spacing w:after="0" w:line="97"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Transactions Involving Innventure1</w:t>
      </w:r>
    </w:p>
    <w:p>
      <w:pPr>
        <w:spacing w:after="0" w:line="144"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and converted this note in the amount of $500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ESG Fund Obligations</w:t>
      </w:r>
    </w:p>
    <w:p>
      <w:pPr>
        <w:spacing w:after="0" w:line="144" w:lineRule="exact"/>
        <w:rPr>
          <w:sz w:val="20"/>
          <w:szCs w:val="20"/>
          <w:color w:val="auto"/>
        </w:rPr>
      </w:pPr>
    </w:p>
    <w:p>
      <w:pPr>
        <w:ind w:left="1160" w:right="1919" w:firstLine="258"/>
        <w:spacing w:after="0" w:line="292" w:lineRule="auto"/>
        <w:rPr>
          <w:sz w:val="20"/>
          <w:szCs w:val="20"/>
          <w:color w:val="auto"/>
        </w:rPr>
      </w:pPr>
      <w:r>
        <w:rPr>
          <w:rFonts w:ascii="Times New Roman" w:cs="Times New Roman" w:eastAsia="Times New Roman" w:hAnsi="Times New Roman"/>
          <w:sz w:val="14"/>
          <w:szCs w:val="14"/>
          <w:color w:val="auto"/>
        </w:rPr>
        <w:t>On May 24, 2023, Innventure LLC and WE-INN paid to the ESG Fund its capital call obligation of approximately $100.</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 B-1 Unit Purchase Agreement</w:t>
      </w:r>
    </w:p>
    <w:p>
      <w:pPr>
        <w:spacing w:after="0" w:line="144"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Global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w:t>
      </w:r>
    </w:p>
    <w:p>
      <w:pPr>
        <w:spacing w:after="0" w:line="2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Intercompany Advancement of Expenses</w:t>
      </w:r>
    </w:p>
    <w:p>
      <w:pPr>
        <w:spacing w:after="0" w:line="144"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$246 of the respective advances have been fully reimbursed, and the remainder is added to the respective letter-of-credit</w:t>
      </w:r>
    </w:p>
    <w:p>
      <w:pPr>
        <w:sectPr>
          <w:pgSz w:w="11900" w:h="16838" w:orient="portrait"/>
          <w:cols w:equalWidth="0" w:num="1">
            <w:col w:w="9019"/>
          </w:cols>
          <w:pgMar w:left="1440" w:top="94" w:right="1440" w:bottom="1440" w:gutter="0" w:footer="0" w:header="0"/>
        </w:sectPr>
      </w:pPr>
    </w:p>
    <w:bookmarkStart w:id="56" w:name="page57"/>
    <w:bookmarkEnd w:id="56"/>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outstanding balance or otherwise remains outstanding. The following table details the aggregate amount advanced to each company (in excess of $120) per year since 2023:</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4"/>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Fiscal Year Ended</w:t>
            </w:r>
          </w:p>
        </w:tc>
      </w:tr>
      <w:tr>
        <w:trPr>
          <w:trHeight w:val="150"/>
        </w:trPr>
        <w:tc>
          <w:tcPr>
            <w:tcW w:w="4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0" w:type="dxa"/>
            <w:vAlign w:val="bottom"/>
            <w:tcBorders>
              <w:bottom w:val="single" w:sz="8" w:color="auto"/>
            </w:tcBorders>
          </w:tcPr>
          <w:p>
            <w:pPr>
              <w:spacing w:after="0"/>
              <w:rPr>
                <w:sz w:val="13"/>
                <w:szCs w:val="13"/>
                <w:color w:val="auto"/>
              </w:rPr>
            </w:pPr>
          </w:p>
        </w:tc>
      </w:tr>
      <w:tr>
        <w:trPr>
          <w:trHeight w:val="156"/>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Company Name</w:t>
            </w:r>
          </w:p>
        </w:tc>
        <w:tc>
          <w:tcPr>
            <w:tcW w:w="240" w:type="dxa"/>
            <w:vAlign w:val="bottom"/>
          </w:tcPr>
          <w:p>
            <w:pPr>
              <w:spacing w:after="0"/>
              <w:rPr>
                <w:sz w:val="13"/>
                <w:szCs w:val="13"/>
                <w:color w:val="auto"/>
              </w:rPr>
            </w:pP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89"/>
        </w:trPr>
        <w:tc>
          <w:tcPr>
            <w:tcW w:w="47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Accelsius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AeroFlexx </w:t>
            </w:r>
            <w:r>
              <w:rPr>
                <w:rFonts w:ascii="Times New Roman" w:cs="Times New Roman" w:eastAsia="Times New Roman" w:hAnsi="Times New Roman"/>
                <w:sz w:val="14"/>
                <w:szCs w:val="14"/>
                <w:color w:val="B4B4B4"/>
              </w:rPr>
              <w:t>...............................................................................................................</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ESG Fund </w:t>
            </w:r>
            <w:r>
              <w:rPr>
                <w:rFonts w:ascii="Times New Roman" w:cs="Times New Roman" w:eastAsia="Times New Roman" w:hAnsi="Times New Roman"/>
                <w:sz w:val="14"/>
                <w:szCs w:val="14"/>
                <w:color w:val="B4B4B4"/>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Refinity </w:t>
            </w:r>
            <w:r>
              <w:rPr>
                <w:rFonts w:ascii="Times New Roman" w:cs="Times New Roman" w:eastAsia="Times New Roman" w:hAnsi="Times New Roman"/>
                <w:sz w:val="14"/>
                <w:szCs w:val="14"/>
                <w:color w:val="B4B4B4"/>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hanging="267"/>
        <w:spacing w:after="0"/>
        <w:tabs>
          <w:tab w:leader="none" w:pos="142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$120</w:t>
      </w:r>
    </w:p>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AeroFlexx</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Loan and Security Agreements</w:t>
      </w:r>
    </w:p>
    <w:p>
      <w:pPr>
        <w:spacing w:after="0" w:line="154" w:lineRule="exact"/>
        <w:rPr>
          <w:sz w:val="20"/>
          <w:szCs w:val="20"/>
          <w:color w:val="auto"/>
        </w:rPr>
      </w:pPr>
    </w:p>
    <w:p>
      <w:pPr>
        <w:ind w:left="1160" w:right="1159" w:firstLine="258"/>
        <w:spacing w:after="0" w:line="258" w:lineRule="auto"/>
        <w:rPr>
          <w:sz w:val="20"/>
          <w:szCs w:val="20"/>
          <w:color w:val="auto"/>
        </w:rPr>
      </w:pPr>
      <w:r>
        <w:rPr>
          <w:rFonts w:ascii="Times New Roman" w:cs="Times New Roman" w:eastAsia="Times New Roman" w:hAnsi="Times New Roman"/>
          <w:sz w:val="14"/>
          <w:szCs w:val="14"/>
          <w:color w:val="auto"/>
        </w:rPr>
        <w:t>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w:t>
      </w:r>
    </w:p>
    <w:p>
      <w:pPr>
        <w:spacing w:after="0" w:line="109"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 (ii) 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w:t>
      </w:r>
    </w:p>
    <w:p>
      <w:pPr>
        <w:spacing w:after="0" w:line="278"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w:t>
      </w:r>
    </w:p>
    <w:p>
      <w:pPr>
        <w:spacing w:after="0" w:line="97"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rPr>
        <w:t>James Donnally, a member of the Board, also serves as a director of Auto Now Acceptance Company, the parent company of Auto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Accelsius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w:t>
      </w:r>
    </w:p>
    <w:p>
      <w:pPr>
        <w:spacing w:after="0" w:line="144" w:lineRule="exact"/>
        <w:rPr>
          <w:sz w:val="20"/>
          <w:szCs w:val="20"/>
          <w:color w:val="auto"/>
        </w:rPr>
      </w:pPr>
    </w:p>
    <w:p>
      <w:pPr>
        <w:ind w:left="1160" w:right="1159" w:firstLine="258"/>
        <w:spacing w:after="0" w:line="259" w:lineRule="auto"/>
        <w:rPr>
          <w:sz w:val="20"/>
          <w:szCs w:val="20"/>
          <w:color w:val="auto"/>
        </w:rPr>
      </w:pPr>
      <w:r>
        <w:rPr>
          <w:rFonts w:ascii="Times New Roman" w:cs="Times New Roman" w:eastAsia="Times New Roman" w:hAnsi="Times New Roman"/>
          <w:sz w:val="14"/>
          <w:szCs w:val="14"/>
          <w:color w:val="auto"/>
        </w:rPr>
        <w:t>On August 18, 2022, pursuant to a note purchase agreement (the “Series I Note Purchase Agreement”), by and among Accelsius, the ESG Fund and the other parties thereto, Accelsius issued a convertible promissory note to the ESG Fund in an aggregate principal amount of $4,000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2023 was approximately $500. As of December 31, 2024, the total amount of interest accrued and due to the ESG Fund in 2024 was $0.</w:t>
      </w:r>
    </w:p>
    <w:p>
      <w:pPr>
        <w:spacing w:after="0" w:line="2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On June 2, 2023, the Series I Note Purchase Agreement was amended and restated to permit Accelsius to issue</w:t>
      </w:r>
    </w:p>
    <w:p>
      <w:pPr>
        <w:sectPr>
          <w:pgSz w:w="11900" w:h="16864" w:orient="portrait"/>
          <w:cols w:equalWidth="0" w:num="1">
            <w:col w:w="9019"/>
          </w:cols>
          <w:pgMar w:left="1440" w:top="372" w:right="1440" w:bottom="0" w:gutter="0" w:footer="0" w:header="0"/>
        </w:sectPr>
      </w:pPr>
    </w:p>
    <w:bookmarkStart w:id="57" w:name="page58"/>
    <w:bookmarkEnd w:id="57"/>
    <w:p>
      <w:pPr>
        <w:spacing w:after="0" w:line="138"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$6,000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-757555</wp:posOffset>
            </wp:positionV>
            <wp:extent cx="716026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 A Series 2 Units</w:t>
      </w:r>
    </w:p>
    <w:p>
      <w:pPr>
        <w:spacing w:after="0" w:line="144" w:lineRule="exact"/>
        <w:rPr>
          <w:sz w:val="20"/>
          <w:szCs w:val="20"/>
          <w:color w:val="auto"/>
        </w:rPr>
      </w:pPr>
    </w:p>
    <w:p>
      <w:pPr>
        <w:ind w:left="1160" w:right="1619" w:firstLine="258"/>
        <w:spacing w:after="0" w:line="292" w:lineRule="auto"/>
        <w:rPr>
          <w:sz w:val="20"/>
          <w:szCs w:val="20"/>
          <w:color w:val="auto"/>
        </w:rPr>
      </w:pPr>
      <w:r>
        <w:rPr>
          <w:rFonts w:ascii="Times New Roman" w:cs="Times New Roman" w:eastAsia="Times New Roman" w:hAnsi="Times New Roman"/>
          <w:sz w:val="14"/>
          <w:szCs w:val="14"/>
          <w:color w:val="auto"/>
        </w:rPr>
        <w:t>On February 1, 2023, the ESG Fund purchased 23,712 Class A Series 2 Units of Accelsius for aggregate proceeds of approximately $100.</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Other Related Party Transactions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Investor Rights Agreement</w:t>
      </w:r>
    </w:p>
    <w:p>
      <w:pPr>
        <w:spacing w:after="0" w:line="144"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Pursuant to the terms of the Business Combination Agreement, at the Closing, Innventure and Founding Investors entered into the Investor Rights Agreement. See the section entitled “</w:t>
      </w:r>
      <w:r>
        <w:rPr>
          <w:rFonts w:ascii="Times New Roman" w:cs="Times New Roman" w:eastAsia="Times New Roman" w:hAnsi="Times New Roman"/>
          <w:sz w:val="14"/>
          <w:szCs w:val="14"/>
          <w:i w:val="1"/>
          <w:iCs w:val="1"/>
          <w:color w:val="auto"/>
        </w:rPr>
        <w:t>Management—Director Nominations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 to Nominate Certain Directors</w:t>
      </w:r>
      <w:r>
        <w:rPr>
          <w:rFonts w:ascii="Times New Roman" w:cs="Times New Roman" w:eastAsia="Times New Roman" w:hAnsi="Times New Roman"/>
          <w:sz w:val="14"/>
          <w:szCs w:val="14"/>
          <w:color w:val="auto"/>
        </w:rPr>
        <w:t>” for more information.</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Lock-Up Agreements</w:t>
      </w:r>
    </w:p>
    <w:p>
      <w:pPr>
        <w:spacing w:after="0" w:line="14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In connection with the entry into the Business Combination Agreement, certain members of Innventure LLC (the “MSA Lock-Up Parties”) entered into a Member Support Agreement with Learn CW, Innventure, and Holdco (the “Member Support Agreement”)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01"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Pursuant to Innventure’s A&amp;R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A&amp;R Certificate of Incorporation lapsed with respect to the shares of Common Stock held by the former holders of membership interests, warrants, or other equity interests of Innventure LLC.</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connection with the entry into the Business Combination Agreement, certain insiders of Innventure entered</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into lock-up agreements, pursuant to which such persons have agreed to restrictions on the transfer of their shares of</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Common Stock, subject to certain exceptions, for a period ending upon the earlier of (A) the expiration of one year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after the Closing and (B) subsequent to the Closing, (i) if the closing price of Common Stock equals or exceeds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$12.00 per share (as adjusted for share subdivisions, share capitalizations, reorganizations, recapitalizations and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like) for any 20 trading days within any 30-trading day period commencing at least 150 days after the Closing or (ii)</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date which Innventure completes a merger, liquidation, stock exchange, reorganization or other similar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transaction after the Closing that results in all of the public stockholders of Innventure having the right to exchange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their shares of Common Stock for cash securities or other property.</w:t>
      </w:r>
    </w:p>
    <w:p>
      <w:pPr>
        <w:spacing w:after="0" w:line="126" w:lineRule="exact"/>
        <w:rPr>
          <w:sz w:val="20"/>
          <w:szCs w:val="20"/>
          <w:color w:val="auto"/>
        </w:rPr>
      </w:pPr>
    </w:p>
    <w:p>
      <w:pPr>
        <w:ind w:left="1160" w:right="1239" w:firstLine="258"/>
        <w:spacing w:after="0" w:line="258" w:lineRule="auto"/>
        <w:rPr>
          <w:sz w:val="20"/>
          <w:szCs w:val="20"/>
          <w:color w:val="auto"/>
        </w:rPr>
      </w:pPr>
      <w:r>
        <w:rPr>
          <w:rFonts w:ascii="Times New Roman" w:cs="Times New Roman" w:eastAsia="Times New Roman" w:hAnsi="Times New Roman"/>
          <w:sz w:val="14"/>
          <w:szCs w:val="14"/>
          <w:color w:val="auto"/>
        </w:rPr>
        <w:t>In connection with Learn CW’s initial public offering, Learn CW entered into a Letter Agreement (the “2021 Letter Agreement”), dated October 7, 2021, among Learn CW and its officers, directors, director nominees and CWAM LC Sponsor LLC, Learn CW’s former Sponsor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completes a liquidation, merger, share exchange or other similar transaction that results in all of Learn CW’s shareholders having the right to exchange their Learn CW Class A ordinary shares, par value $0.0001 per share (the “Ordinary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equals or exceeds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will be released from lock-up.</w:t>
      </w:r>
    </w:p>
    <w:p>
      <w:pPr>
        <w:spacing w:after="0" w:line="2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Employee Family Relationship</w:t>
      </w:r>
    </w:p>
    <w:p>
      <w:pPr>
        <w:spacing w:after="0" w:line="144" w:lineRule="exact"/>
        <w:rPr>
          <w:sz w:val="20"/>
          <w:szCs w:val="20"/>
          <w:color w:val="auto"/>
        </w:rPr>
      </w:pPr>
    </w:p>
    <w:p>
      <w:pPr>
        <w:jc w:val="both"/>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Mr. Colin Scott (the son of Dr. John Scott, our Chief Strategy Officer) is an employee of Innventure and serves on the Accelsius board of directors. Mr. Colin Scott earned $325 and $216 for the years ended December 31, 2024 and 2023, respectively.</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Aircraft Time Sharing Agreements</w:t>
      </w:r>
    </w:p>
    <w:p>
      <w:pPr>
        <w:spacing w:after="0" w:line="144" w:lineRule="exact"/>
        <w:rPr>
          <w:sz w:val="20"/>
          <w:szCs w:val="20"/>
          <w:color w:val="auto"/>
        </w:rPr>
      </w:pPr>
    </w:p>
    <w:p>
      <w:pPr>
        <w:ind w:left="1160" w:right="1219" w:firstLine="258"/>
        <w:spacing w:after="0" w:line="260" w:lineRule="auto"/>
        <w:rPr>
          <w:sz w:val="20"/>
          <w:szCs w:val="20"/>
          <w:color w:val="auto"/>
        </w:rPr>
      </w:pPr>
      <w:r>
        <w:rPr>
          <w:rFonts w:ascii="Times New Roman" w:cs="Times New Roman" w:eastAsia="Times New Roman" w:hAnsi="Times New Roman"/>
          <w:sz w:val="14"/>
          <w:szCs w:val="14"/>
          <w:color w:val="auto"/>
        </w:rPr>
        <w:t>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Mr. Otworth was the Executive Chairman of Innventure LLC and is now Innventure’s Executive Chairman. Dr. Scott was the Chief Strategy Officer of Innventure LLC and is now Innventure’s Chief Strategy Officer.</w:t>
      </w:r>
    </w:p>
    <w:p>
      <w:pPr>
        <w:spacing w:after="0" w:line="1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Bridge Financing</w:t>
      </w:r>
    </w:p>
    <w:p>
      <w:pPr>
        <w:spacing w:after="0" w:line="144"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On August 20, 2024, pursuant to an unsecured promissory note (the “Glockner Bridge Note”), Innventure LLC borrowed $10,000 from Glockner Family Venture Fund, LP (the “Glockner Lender”), a Florida limited partnership</w:t>
      </w:r>
    </w:p>
    <w:p>
      <w:pPr>
        <w:sectPr>
          <w:pgSz w:w="11900" w:h="16976" w:orient="portrait"/>
          <w:cols w:equalWidth="0" w:num="1">
            <w:col w:w="9019"/>
          </w:cols>
          <w:pgMar w:left="1440" w:top="104" w:right="1440" w:bottom="0" w:gutter="0" w:footer="0" w:header="0"/>
        </w:sectPr>
      </w:pPr>
    </w:p>
    <w:bookmarkStart w:id="58" w:name="page59"/>
    <w:bookmarkEnd w:id="58"/>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219"/>
        <w:spacing w:after="0" w:line="263" w:lineRule="auto"/>
        <w:rPr>
          <w:sz w:val="20"/>
          <w:szCs w:val="20"/>
          <w:color w:val="auto"/>
        </w:rPr>
      </w:pPr>
      <w:r>
        <w:rPr>
          <w:rFonts w:ascii="Times New Roman" w:cs="Times New Roman" w:eastAsia="Times New Roman" w:hAnsi="Times New Roman"/>
          <w:sz w:val="14"/>
          <w:szCs w:val="14"/>
          <w:color w:val="auto"/>
        </w:rPr>
        <w:t>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79"/>
        <w:spacing w:after="0" w:line="262" w:lineRule="auto"/>
        <w:rPr>
          <w:sz w:val="20"/>
          <w:szCs w:val="20"/>
          <w:color w:val="auto"/>
        </w:rPr>
      </w:pPr>
      <w:r>
        <w:rPr>
          <w:rFonts w:ascii="Times New Roman" w:cs="Times New Roman" w:eastAsia="Times New Roman" w:hAnsi="Times New Roman"/>
          <w:sz w:val="14"/>
          <w:szCs w:val="14"/>
          <w:color w:val="auto"/>
        </w:rPr>
        <w:t>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w:t>
      </w:r>
    </w:p>
    <w:p>
      <w:pPr>
        <w:spacing w:after="0" w:line="101"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99"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On October 1, 2024, the Company and the Glockner Lender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in connection with entry into the A&amp;R Glockner Bridge Note. As described above, Mr. Donnally serves as the managing member of the Glockner Lender’s general partner, Bellringer Consulting Group LLC. 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w:t>
      </w:r>
    </w:p>
    <w:p>
      <w:pPr>
        <w:spacing w:after="0" w:line="110"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w:t>
      </w:r>
    </w:p>
    <w:p>
      <w:pPr>
        <w:spacing w:after="0" w:line="103"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On March 20, 2025, Dr. Scott agreed to deem as repaid in full and otherwise terminated all loans and other obligations of Innventure LLC to Dr. Scott under the A&amp;R Scott Bridge Note and any loan documentation executed in connection with the A&amp;R Scott Bridge Note in exchange for (i) Dr. Scott’s receipt in cash of $195 and (ii) the issuance to Dr. Scott of 226,334 shares of Series C Preferred Stock on March 24, 2025.</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Review, Approval or Ratification of Transactions with Related Parties</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 of Directors and Executive Officers</w:t>
      </w:r>
    </w:p>
    <w:p>
      <w:pPr>
        <w:spacing w:after="0" w:line="142"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Innventure has entered into indemnification agreements with each of Innventure’s directors and executive officers, the form of which is attached as an exhibit to the Company’s Annual Report on Form 10-K for the year</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619"/>
        <w:spacing w:after="0" w:line="292" w:lineRule="auto"/>
        <w:rPr>
          <w:sz w:val="20"/>
          <w:szCs w:val="20"/>
          <w:color w:val="auto"/>
        </w:rPr>
      </w:pPr>
      <w:r>
        <w:rPr>
          <w:rFonts w:ascii="Times New Roman" w:cs="Times New Roman" w:eastAsia="Times New Roman" w:hAnsi="Times New Roman"/>
          <w:sz w:val="14"/>
          <w:szCs w:val="14"/>
          <w:color w:val="auto"/>
        </w:rPr>
        <w:t>ended December 31, 2024. The indemnification agreements require Innventure to indemnify its directors and executive officers to the fullest extent permitted by Delaware law.</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Related Party Transaction Policy</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Innventure has adopted a formal written policy for the review and approval of transactions with related parties.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Such policy requires, among other things, that:</w:t>
      </w:r>
    </w:p>
    <w:p>
      <w:pPr>
        <w:spacing w:after="0" w:line="126" w:lineRule="exact"/>
        <w:rPr>
          <w:sz w:val="20"/>
          <w:szCs w:val="20"/>
          <w:color w:val="auto"/>
        </w:rPr>
      </w:pPr>
    </w:p>
    <w:p>
      <w:pPr>
        <w:ind w:left="1660" w:hanging="249"/>
        <w:spacing w:after="0"/>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shall review the material facts of all related party transactions;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reviewing any related party transaction, the Audit Committee will take into account, among other factors</w:t>
      </w:r>
    </w:p>
    <w:p>
      <w:pPr>
        <w:sectPr>
          <w:pgSz w:w="11900" w:h="16885" w:orient="portrait"/>
          <w:cols w:equalWidth="0" w:num="1">
            <w:col w:w="9019"/>
          </w:cols>
          <w:pgMar w:left="1440" w:top="157" w:right="1440" w:bottom="0" w:gutter="0" w:footer="0" w:header="0"/>
        </w:sectPr>
      </w:pPr>
    </w:p>
    <w:bookmarkStart w:id="59" w:name="page60"/>
    <w:bookmarkEnd w:id="59"/>
    <w:p>
      <w:pPr>
        <w:spacing w:after="0" w:line="116" w:lineRule="exact"/>
        <w:rPr>
          <w:sz w:val="20"/>
          <w:szCs w:val="20"/>
          <w:color w:val="auto"/>
        </w:rPr>
      </w:pPr>
    </w:p>
    <w:p>
      <w:pPr>
        <w:ind w:left="1660" w:right="1299"/>
        <w:spacing w:after="0" w:line="274" w:lineRule="auto"/>
        <w:rPr>
          <w:sz w:val="20"/>
          <w:szCs w:val="20"/>
          <w:color w:val="auto"/>
        </w:rPr>
      </w:pPr>
      <w:r>
        <w:rPr>
          <w:rFonts w:ascii="Times New Roman" w:cs="Times New Roman" w:eastAsia="Times New Roman" w:hAnsi="Times New Roman"/>
          <w:sz w:val="14"/>
          <w:szCs w:val="14"/>
          <w:color w:val="auto"/>
        </w:rPr>
        <w:t>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-340360</wp:posOffset>
            </wp:positionV>
            <wp:extent cx="716026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3" w:lineRule="exact"/>
        <w:rPr>
          <w:sz w:val="20"/>
          <w:szCs w:val="20"/>
          <w:color w:val="auto"/>
        </w:rPr>
      </w:pPr>
    </w:p>
    <w:p>
      <w:pPr>
        <w:ind w:left="1660" w:right="1239" w:hanging="249"/>
        <w:spacing w:after="0" w:line="271"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270" w:lineRule="exact"/>
        <w:rPr>
          <w:rFonts w:ascii="Times New Roman" w:cs="Times New Roman" w:eastAsia="Times New Roman" w:hAnsi="Times New Roman"/>
          <w:sz w:val="14"/>
          <w:szCs w:val="14"/>
          <w:color w:val="auto"/>
        </w:rPr>
      </w:pPr>
    </w:p>
    <w:p>
      <w:pPr>
        <w:ind w:left="1660" w:right="1879" w:hanging="249"/>
        <w:spacing w:after="0" w:line="292" w:lineRule="auto"/>
        <w:tabs>
          <w:tab w:leader="none" w:pos="16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related party transaction will be ongoing, the Audit Committee may establish guidelines for Innventure’s management to follow in its ongoing dealings with the related party.</w:t>
      </w:r>
    </w:p>
    <w:p>
      <w:pPr>
        <w:spacing w:after="0" w:line="8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42"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Innventure has one class of securities registered under Section 12 of the Exchange Act: its Common Stock. The following description of our capital stock is a summary and is qualified in its entirety by provisions of Delaware law and by reference to the terms of the A&amp;R Certificate of Incorporation and our Bylaws, which are attached as exhibits to Innventure’s most recent Annual Report on Form 10-K filed with the SEC. We encourage you to read the applicable portions of the Delaware General Corporation Law, as amended (the “DGCL”), and our A&amp;R Certificate of Incorporation and our Bylaws, as applicable, carefully and in their entirety because they describe your rights as a holder of shares of Common Stock.</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2"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Innventure’s authorized capital stock consists of 250,000,000 shares of Common Stock and 25,000,000 shares of preferred stock, par value $0.0001 per share. Of the 25,000,000 shares of preferred stock, 3,000,000 shares are designated as “Series B Preferred Stock” and 5,000,000 shares are designated as “Series C Preferred Stock.”</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42"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108"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April 11, 2025, there were approximately 47,106,300 shares of Common Stock outstanding.</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42"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After the designation of the Series B Preferred Stock and the Series C Preferred Stock, 17,000,000 authorized shares of preferred stock remain available for the creation and issuance of one or more additional series of preferred</w:t>
      </w:r>
    </w:p>
    <w:p>
      <w:pPr>
        <w:sectPr>
          <w:pgSz w:w="11900" w:h="16955" w:orient="portrait"/>
          <w:cols w:equalWidth="0" w:num="1">
            <w:col w:w="9019"/>
          </w:cols>
          <w:pgMar w:left="1440" w:top="125" w:right="1440" w:bottom="0" w:gutter="0" w:footer="0" w:header="0"/>
        </w:sectPr>
      </w:pPr>
    </w:p>
    <w:bookmarkStart w:id="60" w:name="page61"/>
    <w:bookmarkEnd w:id="60"/>
    <w:p>
      <w:pPr>
        <w:ind w:left="1160" w:right="1179"/>
        <w:spacing w:after="0" w:line="263" w:lineRule="auto"/>
        <w:rPr>
          <w:sz w:val="20"/>
          <w:szCs w:val="20"/>
          <w:color w:val="auto"/>
        </w:rPr>
      </w:pPr>
      <w:r>
        <w:rPr>
          <w:rFonts w:ascii="Times New Roman" w:cs="Times New Roman" w:eastAsia="Times New Roman" w:hAnsi="Times New Roman"/>
          <w:sz w:val="14"/>
          <w:szCs w:val="14"/>
          <w:color w:val="auto"/>
        </w:rPr>
        <w:t>stock by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-669290</wp:posOffset>
            </wp:positionV>
            <wp:extent cx="716026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1" w:lineRule="exact"/>
        <w:rPr>
          <w:sz w:val="20"/>
          <w:szCs w:val="20"/>
          <w:color w:val="auto"/>
        </w:rPr>
      </w:pPr>
    </w:p>
    <w:p>
      <w:pPr>
        <w:ind w:left="1660" w:right="1499" w:hanging="249"/>
        <w:spacing w:after="0" w:line="292" w:lineRule="auto"/>
        <w:tabs>
          <w:tab w:leader="none" w:pos="1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any series and the designation to distinguish the shares of such series from the shares of all other series;</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and whether such voting powers are full or limited in such series;</w:t>
      </w:r>
    </w:p>
    <w:p>
      <w:pPr>
        <w:spacing w:after="0" w:line="139"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provisions, if any, applicable to such series, including the redemption price or prices to be paid;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right="1399" w:hanging="249"/>
        <w:spacing w:after="0" w:line="292"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the dividend rate of such series, and the dates and preferences of dividends on such series;</w:t>
      </w:r>
    </w:p>
    <w:p>
      <w:pPr>
        <w:spacing w:after="0" w:line="80" w:lineRule="exact"/>
        <w:rPr>
          <w:rFonts w:ascii="Times New Roman" w:cs="Times New Roman" w:eastAsia="Times New Roman" w:hAnsi="Times New Roman"/>
          <w:sz w:val="14"/>
          <w:szCs w:val="14"/>
          <w:color w:val="auto"/>
        </w:rPr>
      </w:pPr>
    </w:p>
    <w:p>
      <w:pPr>
        <w:ind w:left="1660" w:right="1399" w:hanging="249"/>
        <w:spacing w:after="0" w:line="292"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such series upon the voluntary or involuntary dissolution of, or upon any distribution of the assets of, the Company;</w:t>
      </w:r>
    </w:p>
    <w:p>
      <w:pPr>
        <w:spacing w:after="0" w:line="80" w:lineRule="exact"/>
        <w:rPr>
          <w:rFonts w:ascii="Times New Roman" w:cs="Times New Roman" w:eastAsia="Times New Roman" w:hAnsi="Times New Roman"/>
          <w:sz w:val="14"/>
          <w:szCs w:val="14"/>
          <w:color w:val="auto"/>
        </w:rPr>
      </w:pPr>
    </w:p>
    <w:p>
      <w:pPr>
        <w:ind w:left="1660" w:right="1239" w:hanging="249"/>
        <w:spacing w:after="0" w:line="268"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97"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subscribe for or to purchase any securities of the Company or any other corporation or other entity;</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of a sinking fund applicable to such series;</w:t>
      </w:r>
    </w:p>
    <w:p>
      <w:pPr>
        <w:spacing w:after="0" w:line="139"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participating, optional, or other special powers, preferences or rights and qualifications, limitations, or restrictions thereof; and</w:t>
      </w:r>
    </w:p>
    <w:p>
      <w:pPr>
        <w:spacing w:after="0" w:line="80" w:lineRule="exact"/>
        <w:rPr>
          <w:rFonts w:ascii="Times New Roman" w:cs="Times New Roman" w:eastAsia="Times New Roman" w:hAnsi="Times New Roman"/>
          <w:sz w:val="14"/>
          <w:szCs w:val="14"/>
          <w:color w:val="auto"/>
        </w:rPr>
      </w:pPr>
    </w:p>
    <w:p>
      <w:pPr>
        <w:ind w:left="1660" w:right="1619" w:hanging="249"/>
        <w:spacing w:after="0" w:line="274" w:lineRule="auto"/>
        <w:tabs>
          <w:tab w:leader="none" w:pos="16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 may be determined from time to time by the Board and stated or expressed in the resolution or resolutions providing for the issuance of such preferred stock (collectively, a “Preferred Stock Designation”).</w:t>
      </w:r>
    </w:p>
    <w:p>
      <w:pPr>
        <w:spacing w:after="0" w:line="93"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278"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101"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that the Board may deem relevant. Because Innventure is a holding company with no direct operations, Innventure will only be able to pay dividends from funds it receive from its subsidiaries.</w:t>
      </w:r>
    </w:p>
    <w:p>
      <w:pPr>
        <w:sectPr>
          <w:pgSz w:w="11900" w:h="16838" w:orient="portrait"/>
          <w:cols w:equalWidth="0" w:num="1">
            <w:col w:w="9019"/>
          </w:cols>
          <w:pgMar w:left="1440" w:top="136" w:right="1440" w:bottom="0" w:gutter="0" w:footer="0" w:header="0"/>
          <w:type w:val="continuous"/>
        </w:sectPr>
      </w:pPr>
    </w:p>
    <w:bookmarkStart w:id="61" w:name="page62"/>
    <w:bookmarkEnd w:id="61"/>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142"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91" w:lineRule="exact"/>
        <w:rPr>
          <w:sz w:val="20"/>
          <w:szCs w:val="20"/>
          <w:color w:val="auto"/>
        </w:rPr>
      </w:pPr>
    </w:p>
    <w:p>
      <w:pPr>
        <w:ind w:left="1160" w:right="1259"/>
        <w:spacing w:after="0" w:line="295" w:lineRule="auto"/>
        <w:rPr>
          <w:sz w:val="20"/>
          <w:szCs w:val="20"/>
          <w:color w:val="auto"/>
        </w:rPr>
      </w:pPr>
      <w:r>
        <w:rPr>
          <w:rFonts w:ascii="Times New Roman" w:cs="Times New Roman" w:eastAsia="Times New Roman" w:hAnsi="Times New Roman"/>
          <w:sz w:val="14"/>
          <w:szCs w:val="14"/>
          <w:b w:val="1"/>
          <w:bCs w:val="1"/>
          <w:color w:val="auto"/>
        </w:rPr>
        <w:t>Anti-Takeover Effects of Innventure’s A&amp;R Certificate of Incorporation and Bylaws and Certain Provisions of Delaware Law</w:t>
      </w:r>
    </w:p>
    <w:p>
      <w:pPr>
        <w:spacing w:after="0" w:line="79"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44" w:lineRule="exact"/>
        <w:rPr>
          <w:sz w:val="20"/>
          <w:szCs w:val="20"/>
          <w:color w:val="auto"/>
        </w:rPr>
      </w:pPr>
    </w:p>
    <w:p>
      <w:pPr>
        <w:ind w:left="1160" w:right="1199" w:firstLine="258"/>
        <w:spacing w:after="0" w:line="26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274"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99"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44"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will hold office for a term expiring at the annual meeting of stockholders to be held in 2025;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106"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At each succeeding annual meeting of the stockholders of Innventure, the successors to the class of directors whose term expires at that meeting will be elected by plurality vote of all votes cast at such meeting to hold office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59"/>
        <w:spacing w:after="0" w:line="268" w:lineRule="auto"/>
        <w:rPr>
          <w:sz w:val="20"/>
          <w:szCs w:val="20"/>
          <w:color w:val="auto"/>
        </w:rPr>
      </w:pPr>
      <w:r>
        <w:rPr>
          <w:rFonts w:ascii="Times New Roman" w:cs="Times New Roman" w:eastAsia="Times New Roman" w:hAnsi="Times New Roman"/>
          <w:sz w:val="14"/>
          <w:szCs w:val="14"/>
          <w:color w:val="auto"/>
        </w:rPr>
        <w:t>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144"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144" w:lineRule="exact"/>
        <w:rPr>
          <w:sz w:val="20"/>
          <w:szCs w:val="20"/>
          <w:color w:val="auto"/>
        </w:rPr>
      </w:pPr>
    </w:p>
    <w:p>
      <w:pPr>
        <w:ind w:left="1160" w:right="1239" w:firstLine="258"/>
        <w:spacing w:after="0" w:line="274" w:lineRule="auto"/>
        <w:rPr>
          <w:sz w:val="20"/>
          <w:szCs w:val="20"/>
          <w:color w:val="auto"/>
        </w:rPr>
      </w:pPr>
      <w:r>
        <w:rPr>
          <w:rFonts w:ascii="Times New Roman" w:cs="Times New Roman" w:eastAsia="Times New Roman" w:hAnsi="Times New Roman"/>
          <w:sz w:val="14"/>
          <w:szCs w:val="14"/>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CEO, or President.</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144"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103" w:lineRule="exact"/>
        <w:rPr>
          <w:sz w:val="20"/>
          <w:szCs w:val="20"/>
          <w:color w:val="auto"/>
        </w:rPr>
      </w:pPr>
    </w:p>
    <w:p>
      <w:pPr>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These notice provisions may defer, delay or discourage a potential acquirer from conducting a solicitation of proxies to elect the acquirer’s own slate of directors or otherwise attempting to influence or obtain control of Innventure.</w:t>
      </w:r>
    </w:p>
    <w:p>
      <w:pPr>
        <w:sectPr>
          <w:pgSz w:w="11900" w:h="16921" w:orient="portrait"/>
          <w:cols w:equalWidth="0" w:num="1">
            <w:col w:w="9019"/>
          </w:cols>
          <w:pgMar w:left="1440" w:top="144" w:right="1440" w:bottom="0" w:gutter="0" w:footer="0" w:header="0"/>
        </w:sectPr>
      </w:pPr>
    </w:p>
    <w:bookmarkStart w:id="62" w:name="page63"/>
    <w:bookmarkEnd w:id="62"/>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Stockholder Action by Written Consent</w:t>
      </w:r>
    </w:p>
    <w:p>
      <w:pPr>
        <w:spacing w:after="0" w:line="14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Dissenters’ Rights of Appraisal and Payment</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Stockholders’ Derivative Actions</w:t>
      </w:r>
    </w:p>
    <w:p>
      <w:pPr>
        <w:spacing w:after="0" w:line="144"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Amendment of the A&amp;R Certificate of Incorporation</w:t>
      </w:r>
    </w:p>
    <w:p>
      <w:pPr>
        <w:spacing w:after="0" w:line="144" w:lineRule="exact"/>
        <w:rPr>
          <w:sz w:val="20"/>
          <w:szCs w:val="20"/>
          <w:color w:val="auto"/>
        </w:rPr>
      </w:pPr>
    </w:p>
    <w:p>
      <w:pPr>
        <w:ind w:left="1160" w:right="1299" w:firstLine="258"/>
        <w:spacing w:after="0" w:line="262" w:lineRule="auto"/>
        <w:rPr>
          <w:sz w:val="20"/>
          <w:szCs w:val="20"/>
          <w:color w:val="auto"/>
        </w:rPr>
      </w:pPr>
      <w:r>
        <w:rPr>
          <w:rFonts w:ascii="Times New Roman" w:cs="Times New Roman" w:eastAsia="Times New Roman" w:hAnsi="Times New Roman"/>
          <w:sz w:val="14"/>
          <w:szCs w:val="14"/>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Amendment of the Bylaws</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 Selection</w:t>
      </w:r>
    </w:p>
    <w:p>
      <w:pPr>
        <w:spacing w:after="0" w:line="144"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97" w:lineRule="exact"/>
        <w:rPr>
          <w:sz w:val="20"/>
          <w:szCs w:val="20"/>
          <w:color w:val="auto"/>
        </w:rPr>
      </w:pPr>
    </w:p>
    <w:p>
      <w:pPr>
        <w:ind w:left="1660" w:hanging="249"/>
        <w:spacing w:after="0"/>
        <w:tabs>
          <w:tab w:leader="none" w:pos="1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breach of their duty of loyalty to our company or our stockholder;</w:t>
      </w:r>
    </w:p>
    <w:p>
      <w:pPr>
        <w:spacing w:after="0" w:line="139" w:lineRule="exact"/>
        <w:rPr>
          <w:rFonts w:ascii="Times New Roman" w:cs="Times New Roman" w:eastAsia="Times New Roman" w:hAnsi="Times New Roman"/>
          <w:sz w:val="14"/>
          <w:szCs w:val="14"/>
          <w:color w:val="auto"/>
        </w:rPr>
      </w:pPr>
    </w:p>
    <w:p>
      <w:pPr>
        <w:ind w:left="1660" w:right="1379" w:hanging="249"/>
        <w:spacing w:after="0" w:line="292" w:lineRule="auto"/>
        <w:tabs>
          <w:tab w:leader="none" w:pos="1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act or omission not in good faith or that involves intentional misconduct or a knowing violation of law;</w:t>
      </w:r>
    </w:p>
    <w:p>
      <w:pPr>
        <w:spacing w:after="0" w:line="80"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for unlawful payments of dividends or unlawful stock repurchases, or redemptions as provided in Section 174 of the DGCL;</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transaction from which they derived an improper personal benefit; or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Innventure.</w:t>
      </w:r>
    </w:p>
    <w:p>
      <w:pPr>
        <w:sectPr>
          <w:pgSz w:w="11900" w:h="16838" w:orient="portrait"/>
          <w:cols w:equalWidth="0" w:num="1">
            <w:col w:w="9019"/>
          </w:cols>
          <w:pgMar w:left="1440" w:top="239" w:right="1440" w:bottom="469"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239" w:right="1440" w:bottom="469" w:gutter="0" w:footer="0" w:header="0"/>
          <w:type w:val="continuous"/>
        </w:sectPr>
      </w:pPr>
    </w:p>
    <w:bookmarkStart w:id="63" w:name="page64"/>
    <w:bookmarkEnd w:id="63"/>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101"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9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INNVENTURE WARRANTS</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highlight w:val="white"/>
        </w:rPr>
        <w:t>The Company assumed the Warrant Agreement and the outstanding Learn CW Warrants, and, as a result, such warrants were, pursuant to their terms, converted into Innventure Warrants.</w:t>
      </w:r>
    </w:p>
    <w:p>
      <w:pPr>
        <w:spacing w:after="0" w:line="8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Each whole Innventure Warrant entitles the registered holder to purchase one share of Common Stock at a price of $11.50 per share, subject to adjustment as discussed below, except as discussed in the immediately following paragraph. Pursuant to the Warrant Agreement, an Innventure Warrant holder may exercise its Innventure Warrants only for a whole number of shares of Common Stock. This means only a whole Innventure Warrant may be exercised at a given time by an Innventure Warrant holder. The Innventure Warrants will expire on October 2, 2029, at 5:00 p.m., New York City time, or earlier upon redemption or liquidation.</w:t>
      </w:r>
    </w:p>
    <w:p>
      <w:pPr>
        <w:spacing w:after="0" w:line="101"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highlight w:val="white"/>
        </w:rPr>
        <w:t>We will not be obligated to deliver any Common Stock pursuant to the exercise of an Innventure Warrant and will have no obligation to settle such Innventure Warrant exercise unless a registration statement under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an Innventure Warrant, the holder of such Innventure Warrant will not be entitled to exercise such Innventure Warrant and such Innventure Warrant may have no value and expire worthless. In no event will we be required to net cash settle any Innventure Warrant.</w:t>
      </w:r>
    </w:p>
    <w:p>
      <w:pPr>
        <w:spacing w:after="0" w:line="103"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highlight w:val="white"/>
        </w:rPr>
        <w:t>No fractional shares will be issued upon exercise. If, upon exercise, a holder would be entitled to receive a fractional interest in a share, we will round down to the nearest whole number of the number of shares to be issued to the holder.</w:t>
      </w:r>
    </w:p>
    <w:p>
      <w:pPr>
        <w:spacing w:after="0" w:line="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highlight w:val="white"/>
        </w:rPr>
        <w:t>The Innventure Warrant holders do not have the rights or privileges of holders of shares of Common Stock or</w:t>
      </w:r>
    </w:p>
    <w:p>
      <w:pPr>
        <w:sectPr>
          <w:pgSz w:w="11900" w:h="16853" w:orient="portrait"/>
          <w:cols w:equalWidth="0" w:num="1">
            <w:col w:w="9019"/>
          </w:cols>
          <w:pgMar w:left="1440" w:top="941" w:right="1440" w:bottom="0" w:gutter="0" w:footer="0" w:header="0"/>
        </w:sectPr>
      </w:pPr>
    </w:p>
    <w:bookmarkStart w:id="64" w:name="page65"/>
    <w:bookmarkEnd w:id="64"/>
    <w:p>
      <w:pPr>
        <w:ind w:left="1160" w:right="1339"/>
        <w:spacing w:after="0" w:line="273" w:lineRule="auto"/>
        <w:rPr>
          <w:sz w:val="20"/>
          <w:szCs w:val="20"/>
          <w:color w:val="auto"/>
        </w:rPr>
      </w:pPr>
      <w:r>
        <w:rPr>
          <w:rFonts w:ascii="Times New Roman" w:cs="Times New Roman" w:eastAsia="Times New Roman" w:hAnsi="Times New Roman"/>
          <w:sz w:val="14"/>
          <w:szCs w:val="14"/>
          <w:color w:val="auto"/>
          <w:highlight w:val="white"/>
        </w:rPr>
        <w:t>any voting rights until they exercise their Innventure Warrants and receive shares of Common Stock. After the issuance of shares of Common Stock upon exercise of the Innventure Warrants, each holder will be entitled to one vote for each share held of record on all matters to be voted on by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-318770</wp:posOffset>
            </wp:positionV>
            <wp:extent cx="716026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highlight w:val="white"/>
        </w:rPr>
        <w:t>Redemption of Innventure Warrants When the Price per Share Equals or Exceeds $18.00</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Once the Innventure Warrants become exercisable, we may redeem the outstanding Innventure Warrants:</w:t>
      </w:r>
    </w:p>
    <w:p>
      <w:pPr>
        <w:spacing w:after="0" w:line="140" w:lineRule="exact"/>
        <w:rPr>
          <w:sz w:val="20"/>
          <w:szCs w:val="20"/>
          <w:color w:val="auto"/>
        </w:rPr>
      </w:pPr>
    </w:p>
    <w:p>
      <w:pPr>
        <w:ind w:left="1660" w:hanging="249"/>
        <w:spacing w:after="0"/>
        <w:tabs>
          <w:tab w:leader="none" w:pos="16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in whole and not in part;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at a price of $0.01 per warrant;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upon a minimum of 30 days’ prior written notice of redemption to each warrant holder; and</w:t>
      </w:r>
    </w:p>
    <w:p>
      <w:pPr>
        <w:spacing w:after="0" w:line="139" w:lineRule="exact"/>
        <w:rPr>
          <w:rFonts w:ascii="Times New Roman" w:cs="Times New Roman" w:eastAsia="Times New Roman" w:hAnsi="Times New Roman"/>
          <w:sz w:val="14"/>
          <w:szCs w:val="14"/>
          <w:color w:val="auto"/>
        </w:rPr>
      </w:pPr>
    </w:p>
    <w:p>
      <w:pPr>
        <w:ind w:left="1660" w:right="1399" w:hanging="249"/>
        <w:spacing w:after="0" w:line="268" w:lineRule="auto"/>
        <w:tabs>
          <w:tab w:leader="none" w:pos="16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if, and only if, the closing price of the Common Stock equals or exceeds $18.00 per share (as may be adjusted for any required anti-dilution adjustments) for any twenty (20) trading days within a thirty (30) trading day period ending three trading days before we send the notice of redemption to the warrant holders.</w:t>
      </w:r>
    </w:p>
    <w:p>
      <w:pPr>
        <w:spacing w:after="0" w:line="97"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The $18.00 (as adjusted) redemption criterion discussed above was established to prevent a redemption call unless there is at the time of the call a significant premium to the warrant exercise price. If the foregoing conditions are satisfied and the Company issues a notice of redemption of the Innventure Warrants, each warrant holder will be entitled to exercise his, her or its Innventure Warrant prior to the scheduled redemption date. However, the price of the shares of Common Stock may fall below the $18.00 redemption trigger price (as adjusted for any required anti-dilution adjustments) as well as the $11.50 (for whole shares) exercise price after the redemption notice is issued.</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highlight w:val="white"/>
        </w:rPr>
        <w:t>Redemption of Innventure Warrants When the Price per Share Equals or Exceeds $10.00</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highlight w:val="white"/>
        </w:rPr>
        <w:t>Once the Innventure Warrants become exercisable, we may redeem the outstanding Innventure Warrants:</w:t>
      </w:r>
    </w:p>
    <w:p>
      <w:pPr>
        <w:spacing w:after="0" w:line="140" w:lineRule="exact"/>
        <w:rPr>
          <w:sz w:val="20"/>
          <w:szCs w:val="20"/>
          <w:color w:val="auto"/>
        </w:rPr>
      </w:pPr>
    </w:p>
    <w:p>
      <w:pPr>
        <w:ind w:left="1660" w:hanging="249"/>
        <w:spacing w:after="0"/>
        <w:tabs>
          <w:tab w:leader="none" w:pos="16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in whole and not in part;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60" w:right="1199" w:hanging="249"/>
        <w:spacing w:after="0" w:line="268" w:lineRule="auto"/>
        <w:tabs>
          <w:tab w:leader="none" w:pos="1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at a price of $0.10 per warrant upon a minimum of 30 days’ prior written notice of redemption provided that holders will be able to exercise their Innventure Warrants on a cashless basis prior to redemption and receive that number of shares determined by reference to the table below, based on the redemption date and the “Fair Market Value” of the Common Stock (as defined below) except as otherwise described below;</w:t>
      </w:r>
    </w:p>
    <w:p>
      <w:pPr>
        <w:spacing w:after="0" w:line="97"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upon a minimum of 30 days’ prior written notice of redemption to each warrant holder; and</w:t>
      </w:r>
    </w:p>
    <w:p>
      <w:pPr>
        <w:spacing w:after="0" w:line="139" w:lineRule="exact"/>
        <w:rPr>
          <w:rFonts w:ascii="Times New Roman" w:cs="Times New Roman" w:eastAsia="Times New Roman" w:hAnsi="Times New Roman"/>
          <w:sz w:val="14"/>
          <w:szCs w:val="14"/>
          <w:color w:val="auto"/>
        </w:rPr>
      </w:pPr>
    </w:p>
    <w:p>
      <w:pPr>
        <w:jc w:val="both"/>
        <w:ind w:left="1660" w:right="1559" w:hanging="249"/>
        <w:spacing w:after="0" w:line="274" w:lineRule="auto"/>
        <w:tabs>
          <w:tab w:leader="none" w:pos="16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if, and only if, the closing price of the Common Stock equals or exceeds $10.00 per share (as may be adjusted for any required anti-dilution adjustments) for any 20 trading days within the 30-trading day period ending three trading days before we send the notice of redemption to the warrant holders.</w:t>
      </w:r>
    </w:p>
    <w:p>
      <w:pPr>
        <w:spacing w:after="0" w:line="93"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highlight w:val="white"/>
        </w:rPr>
        <w:t>Beginning on the date the notice of redemption is given until the Innventure Warrants are redeemed or exercised, holders may elect to exercise their Innventure Warrants on a cashless basis. The numbers in the table below represent the number of shares of Common Stock that an Innventure Warrant holder will receive upon such cashless exercise in connection with a redemption by us pursuant to this redemption feature, based on the “Fair Market Value” of the Common Stock on the corresponding redemption date (assuming holders elect to exercise their Innventure Warrants and such Innventure Warrants are not redeemed for $0.10 per warrant), determined for these purposes based on volume weighted average price of the Common Stock during the ten (10) trading days immediately following the date on which the notice of redemption is sent to the holders of Innventure Warrants, and the number of months that the corresponding redemption date precedes the expiration date of the Innventure Warrants, each as set forth in the table below. We will provide Innventure Warrant holders with the final Fair Market Value no later than one business day after the 10-trading day period described above ends.</w:t>
      </w:r>
    </w:p>
    <w:p>
      <w:pPr>
        <w:spacing w:after="0" w:line="108"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The share prices set forth in the column headings of the table below will be adjusted as of any date on which the number of shares issuable upon exercise of an Innventure Warrant or the exercise price of a warrant is adjusted as set forth in the Warrant Agreement.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an Innventure Warrant immediately prior to such adjustment and the denominator of which is the number of shares deliverable</w:t>
      </w:r>
    </w:p>
    <w:p>
      <w:pPr>
        <w:sectPr>
          <w:pgSz w:w="11900" w:h="16838" w:orient="portrait"/>
          <w:cols w:equalWidth="0" w:num="1">
            <w:col w:w="9019"/>
          </w:cols>
          <w:pgMar w:left="1440" w:top="94"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88</w:t>
      </w:r>
    </w:p>
    <w:p>
      <w:pPr>
        <w:sectPr>
          <w:pgSz w:w="11900" w:h="16838" w:orient="portrait"/>
          <w:cols w:equalWidth="0" w:num="1">
            <w:col w:w="9019"/>
          </w:cols>
          <w:pgMar w:left="1440" w:top="3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59"/>
        <w:spacing w:after="0" w:line="292" w:lineRule="auto"/>
        <w:rPr>
          <w:sz w:val="20"/>
          <w:szCs w:val="20"/>
          <w:color w:val="auto"/>
        </w:rPr>
      </w:pPr>
      <w:r>
        <w:rPr>
          <w:rFonts w:ascii="Times New Roman" w:cs="Times New Roman" w:eastAsia="Times New Roman" w:hAnsi="Times New Roman"/>
          <w:sz w:val="14"/>
          <w:szCs w:val="14"/>
          <w:color w:val="auto"/>
          <w:highlight w:val="white"/>
        </w:rPr>
        <w:t>upon exercise of an Innventure Warrant as so adjusted. The number of shares in the table below shall be adjusted in the same manner and at the same time as the number of shares issuable upon exercise of an Innventure Warrant.</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10"/>
          </w:tcPr>
          <w:p>
            <w:pPr>
              <w:ind w:left="300"/>
              <w:spacing w:after="0"/>
              <w:rPr>
                <w:sz w:val="20"/>
                <w:szCs w:val="20"/>
                <w:color w:val="auto"/>
              </w:rPr>
            </w:pPr>
            <w:r>
              <w:rPr>
                <w:rFonts w:ascii="Times New Roman" w:cs="Times New Roman" w:eastAsia="Times New Roman" w:hAnsi="Times New Roman"/>
                <w:sz w:val="11"/>
                <w:szCs w:val="11"/>
                <w:b w:val="1"/>
                <w:bCs w:val="1"/>
                <w:color w:val="auto"/>
              </w:rPr>
              <w:t>Fair Market Value of Common Stock (per share)</w:t>
            </w: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220" w:type="dxa"/>
            <w:vAlign w:val="bottom"/>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Redemption Date</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220" w:type="dxa"/>
            <w:vAlign w:val="bottom"/>
            <w:gridSpan w:val="2"/>
          </w:tcPr>
          <w:p>
            <w:pPr>
              <w:ind w:left="40"/>
              <w:spacing w:after="0" w:line="119" w:lineRule="exact"/>
              <w:rPr>
                <w:sz w:val="20"/>
                <w:szCs w:val="20"/>
                <w:color w:val="auto"/>
              </w:rPr>
            </w:pPr>
            <w:r>
              <w:rPr>
                <w:rFonts w:ascii="Times New Roman" w:cs="Times New Roman" w:eastAsia="Times New Roman" w:hAnsi="Times New Roman"/>
                <w:sz w:val="11"/>
                <w:szCs w:val="11"/>
                <w:b w:val="1"/>
                <w:bCs w:val="1"/>
                <w:color w:val="auto"/>
              </w:rPr>
              <w:t>(period to expiration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≤10.00</w:t>
            </w: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11.00</w:t>
            </w:r>
          </w:p>
        </w:tc>
        <w:tc>
          <w:tcPr>
            <w:tcW w:w="6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12.00</w:t>
            </w:r>
          </w:p>
        </w:tc>
        <w:tc>
          <w:tcPr>
            <w:tcW w:w="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13.00</w:t>
            </w:r>
          </w:p>
        </w:tc>
        <w:tc>
          <w:tcPr>
            <w:tcW w:w="4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14.00</w:t>
            </w:r>
          </w:p>
        </w:tc>
        <w:tc>
          <w:tcPr>
            <w:tcW w:w="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15.00</w:t>
            </w:r>
          </w:p>
        </w:tc>
        <w:tc>
          <w:tcPr>
            <w:tcW w:w="4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16.00</w:t>
            </w:r>
          </w:p>
        </w:tc>
        <w:tc>
          <w:tcPr>
            <w:tcW w:w="4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17.00</w:t>
            </w:r>
          </w:p>
        </w:tc>
        <w:tc>
          <w:tcPr>
            <w:tcW w:w="40" w:type="dxa"/>
            <w:vAlign w:val="bottom"/>
          </w:tcPr>
          <w:p>
            <w:pPr>
              <w:spacing w:after="0"/>
              <w:rPr>
                <w:sz w:val="10"/>
                <w:szCs w:val="10"/>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≥18.00</w:t>
            </w:r>
          </w:p>
        </w:tc>
        <w:tc>
          <w:tcPr>
            <w:tcW w:w="0" w:type="dxa"/>
            <w:vAlign w:val="bottom"/>
          </w:tcPr>
          <w:p>
            <w:pPr>
              <w:spacing w:after="0"/>
              <w:rPr>
                <w:sz w:val="1"/>
                <w:szCs w:val="1"/>
                <w:color w:val="auto"/>
              </w:rPr>
            </w:pPr>
          </w:p>
        </w:tc>
      </w:tr>
      <w:tr>
        <w:trPr>
          <w:trHeight w:val="154"/>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of warrants)</w:t>
            </w:r>
          </w:p>
        </w:tc>
        <w:tc>
          <w:tcPr>
            <w:tcW w:w="6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60 months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0.261</w:t>
            </w: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0.281</w:t>
            </w:r>
          </w:p>
        </w:tc>
        <w:tc>
          <w:tcPr>
            <w:tcW w:w="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0.297</w:t>
            </w: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0.311</w:t>
            </w: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0.324</w:t>
            </w: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0.337</w:t>
            </w: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0.348</w:t>
            </w: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0.358</w:t>
            </w: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57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0.257</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0.277</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0.294</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0.324</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0.337</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0.348</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0.358</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54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0.252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0.272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0.347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0.357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51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0.246</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0.268</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0.287</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0.304</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0.320</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0.333</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0.346</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0.357</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48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0.241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0.263</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0.344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0.356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45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0.235</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0.258</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0.279</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0.298</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0.315</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0.330</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0.343</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0.356</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42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0.228</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0.252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0.274</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0.328</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0.342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0.355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39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0.221</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0.246</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0.269</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0.309</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0.325</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0.340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0.354</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36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0.213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0.239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0.263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0.339</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0.353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33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0.205</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0.232</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0.257</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0.280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0.301</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0.320</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0.337</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0.352</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30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0.196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0.224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0.250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0.351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27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0.185</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0.214</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0.242</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0.268</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0.291</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0.313</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0.332</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0.350</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24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0.173</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0.204</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0.233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0.260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0.308</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0.329</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0.348</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21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0.161</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0.193</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0.223</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0.252</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0.279</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0.304</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0.326</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0.347</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18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0.146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0.179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0.211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0.242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0.271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0.298</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0.345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15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0.130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0.164</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0.197</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0.230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0.262</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0.291</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0.317</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0.342</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12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0.111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0.146</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0.181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0.216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0.250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0.312</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9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0.090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0.125</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0.162</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0.199</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0.237</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0.272</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0.305</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0.336</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6 months </w:t>
            </w:r>
            <w:r>
              <w:rPr>
                <w:rFonts w:ascii="Times New Roman" w:cs="Times New Roman" w:eastAsia="Times New Roman" w:hAnsi="Times New Roman"/>
                <w:sz w:val="14"/>
                <w:szCs w:val="14"/>
                <w:color w:val="B4B4B4"/>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0.065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0.137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0.178</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0.219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0.259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0.296</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0.331</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195"/>
        </w:trPr>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3 months </w:t>
            </w:r>
            <w:r>
              <w:rPr>
                <w:rFonts w:ascii="Times New Roman" w:cs="Times New Roman" w:eastAsia="Times New Roman" w:hAnsi="Times New Roman"/>
                <w:sz w:val="14"/>
                <w:szCs w:val="14"/>
                <w:color w:val="B4B4B4"/>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0.034</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0.065</w:t>
            </w:r>
          </w:p>
        </w:tc>
        <w:tc>
          <w:tcPr>
            <w:tcW w:w="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0.104</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0.150</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0.197</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0.243</w:t>
            </w:r>
          </w:p>
        </w:tc>
        <w:tc>
          <w:tcPr>
            <w:tcW w:w="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0.286</w:t>
            </w:r>
          </w:p>
        </w:tc>
        <w:tc>
          <w:tcPr>
            <w:tcW w:w="4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0.326</w:t>
            </w:r>
          </w:p>
        </w:tc>
        <w:tc>
          <w:tcPr>
            <w:tcW w:w="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0 months </w:t>
            </w:r>
            <w:r>
              <w:rPr>
                <w:rFonts w:ascii="Times New Roman" w:cs="Times New Roman" w:eastAsia="Times New Roman" w:hAnsi="Times New Roman"/>
                <w:sz w:val="14"/>
                <w:szCs w:val="14"/>
                <w:color w:val="B4B4B4"/>
              </w:rPr>
              <w:t>................</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0.042</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0.179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0.233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0.281</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0.323</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0.361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highlight w:val="white"/>
        </w:rPr>
        <w:t>This redemption feature is structured to allow for all of the outstanding Innventure Warrants to be redeemed when the Common Stock is trading at or above $10.00 per share, which may be at a time when the trading price of our Common Stock is below the exercise price of the Innventure Warrants. This redemption feature will provide the Company with the flexibility to redeem the Innventure Warrants without the warrants having to reach the $18.00 per share threshold set forth above under “—</w:t>
      </w:r>
      <w:r>
        <w:rPr>
          <w:rFonts w:ascii="Times New Roman" w:cs="Times New Roman" w:eastAsia="Times New Roman" w:hAnsi="Times New Roman"/>
          <w:sz w:val="14"/>
          <w:szCs w:val="14"/>
          <w:i w:val="1"/>
          <w:iCs w:val="1"/>
          <w:color w:val="auto"/>
          <w:highlight w:val="white"/>
        </w:rPr>
        <w:t>Redemption of Innventure Warrants When the Price per Share Equals or</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i w:val="1"/>
          <w:iCs w:val="1"/>
          <w:color w:val="auto"/>
          <w:highlight w:val="white"/>
        </w:rPr>
        <w:t>Exceeds $18.00</w:t>
      </w:r>
      <w:r>
        <w:rPr>
          <w:rFonts w:ascii="Times New Roman" w:cs="Times New Roman" w:eastAsia="Times New Roman" w:hAnsi="Times New Roman"/>
          <w:sz w:val="14"/>
          <w:szCs w:val="14"/>
          <w:color w:val="auto"/>
          <w:highlight w:val="white"/>
        </w:rPr>
        <w:t>.” Holders choosing to exercise their Innventure Warrants in connection with a redemption pursuant</w:t>
      </w:r>
      <w:r>
        <w:rPr>
          <w:rFonts w:ascii="Times New Roman" w:cs="Times New Roman" w:eastAsia="Times New Roman" w:hAnsi="Times New Roman"/>
          <w:sz w:val="14"/>
          <w:szCs w:val="14"/>
          <w:i w:val="1"/>
          <w:iCs w:val="1"/>
          <w:color w:val="auto"/>
          <w:highlight w:val="white"/>
        </w:rPr>
        <w:t xml:space="preserve"> </w:t>
      </w:r>
      <w:r>
        <w:rPr>
          <w:rFonts w:ascii="Times New Roman" w:cs="Times New Roman" w:eastAsia="Times New Roman" w:hAnsi="Times New Roman"/>
          <w:sz w:val="14"/>
          <w:szCs w:val="14"/>
          <w:color w:val="auto"/>
          <w:highlight w:val="white"/>
        </w:rPr>
        <w:t>to this feature will, in effect, receive a number of shares for their warrants based on an option pricing model with a fixed volatility input as of the date of Learn CW’s initial public offering of 23,000,000 units. This redemption right will provide the Company with an additional mechanism by which to redeem all of the outstanding Innventure Warrants, and therefore have certainty as to our capital structure as the Innventure Warrants would no longer be outstanding and would have been exercised or redeemed. The Company will be required to pay the applicable redemption price to warrant holders if the Company chooses to exercise this redemption right and it will allow the Company to quickly proceed with a redemption of the Innventure Warrants if the Company determines it is in its best interest to do so.</w:t>
      </w:r>
    </w:p>
    <w:p>
      <w:pPr>
        <w:spacing w:after="0" w:line="276"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highlight w:val="white"/>
        </w:rPr>
        <w:t>As stated above, the Company will be able to redeem the Innventure Warrants when the shares of Common Stock are trading at a price starting at $10.00, which is below the exercise price of $11.50, because it will provide certainty with respect to the Company’s capital structure and cash position while providing warrant holders with the opportunity to exercise their warrants on a cashless basis for the applicable number of shares. If the Company chooses to redeem the Innventure Warrants when the Common Stock is trading at a price below the exercise price of the Innventure Warrants, this could result in the warrant holders receiving fewer shares than they would have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3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299"/>
        <w:spacing w:after="0" w:line="292" w:lineRule="auto"/>
        <w:rPr>
          <w:sz w:val="20"/>
          <w:szCs w:val="20"/>
          <w:color w:val="auto"/>
        </w:rPr>
      </w:pPr>
      <w:r>
        <w:rPr>
          <w:rFonts w:ascii="Times New Roman" w:cs="Times New Roman" w:eastAsia="Times New Roman" w:hAnsi="Times New Roman"/>
          <w:sz w:val="14"/>
          <w:szCs w:val="14"/>
          <w:color w:val="auto"/>
          <w:highlight w:val="white"/>
        </w:rPr>
        <w:t>received if they had chosen to wait to exercise their warrants for shares of Common Stock if and when such shares of Common Stock were trading at a price higher than the exercise price of $11.50.</w:t>
      </w:r>
    </w:p>
    <w:p>
      <w:pPr>
        <w:sectPr>
          <w:pgSz w:w="11900" w:h="16838" w:orient="portrait"/>
          <w:cols w:equalWidth="0" w:num="1">
            <w:col w:w="9019"/>
          </w:cols>
          <w:pgMar w:left="1440" w:top="340" w:right="1440" w:bottom="1440" w:gutter="0" w:footer="0" w:header="0"/>
          <w:type w:val="continuous"/>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42" w:lineRule="exact"/>
        <w:rPr>
          <w:sz w:val="20"/>
          <w:szCs w:val="20"/>
          <w:color w:val="auto"/>
        </w:rPr>
      </w:pP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sets forth information known to us regarding the beneficial ownership of our Common Stock as of April 11, 2025 (except as otherwise set forth below) by:</w:t>
      </w:r>
    </w:p>
    <w:p>
      <w:pPr>
        <w:spacing w:after="0" w:line="81" w:lineRule="exact"/>
        <w:rPr>
          <w:sz w:val="20"/>
          <w:szCs w:val="20"/>
          <w:color w:val="auto"/>
        </w:rPr>
      </w:pPr>
    </w:p>
    <w:p>
      <w:pPr>
        <w:ind w:left="1660" w:hanging="249"/>
        <w:spacing w:after="0"/>
        <w:tabs>
          <w:tab w:leader="none" w:pos="1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to us to be the beneficial owner of more than 5% of our Common Stock;</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 directors; and</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4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103"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The following table is based on 47,106,300 shares of Common Stock outstanding as of April 11,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w:t>
      </w:r>
    </w:p>
    <w:p>
      <w:pPr>
        <w:sectPr>
          <w:pgSz w:w="11900" w:h="16838" w:orient="portrait"/>
          <w:cols w:equalWidth="0" w:num="1">
            <w:col w:w="9019"/>
          </w:cols>
          <w:pgMar w:left="1440" w:top="1440" w:right="1440" w:bottom="1440" w:gutter="0" w:footer="0" w:header="0"/>
          <w:type w:val="continuous"/>
        </w:sectPr>
      </w:pPr>
    </w:p>
    <w:bookmarkStart w:id="67" w:name="page68"/>
    <w:bookmarkEnd w:id="67"/>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Amount and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0"/>
        </w:trPr>
        <w:tc>
          <w:tcPr>
            <w:tcW w:w="47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Nature of</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Beneficial</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54"/>
        </w:trPr>
        <w:tc>
          <w:tcPr>
            <w:tcW w:w="4780" w:type="dxa"/>
            <w:vAlign w:val="bottom"/>
            <w:gridSpan w:val="2"/>
            <w:vMerge w:val="continue"/>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89"/>
        </w:trPr>
        <w:tc>
          <w:tcPr>
            <w:tcW w:w="47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Directors and Named Executive Officers:</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Roland Austrup</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863,264</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James O. Donnally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4,224,536</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8.97 %</w:t>
            </w:r>
          </w:p>
        </w:tc>
        <w:tc>
          <w:tcPr>
            <w:tcW w:w="0" w:type="dxa"/>
            <w:vAlign w:val="bottom"/>
          </w:tcPr>
          <w:p>
            <w:pPr>
              <w:spacing w:after="0"/>
              <w:rPr>
                <w:sz w:val="1"/>
                <w:szCs w:val="1"/>
                <w:color w:val="auto"/>
              </w:rPr>
            </w:pP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Gregory W. Haskell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752,115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Michael Otworth</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2,942,912</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0" w:type="dxa"/>
            <w:vAlign w:val="bottom"/>
          </w:tcPr>
          <w:p>
            <w:pPr>
              <w:spacing w:after="0"/>
              <w:rPr>
                <w:sz w:val="1"/>
                <w:szCs w:val="1"/>
                <w:color w:val="auto"/>
              </w:rPr>
            </w:pPr>
          </w:p>
        </w:tc>
      </w:tr>
      <w:tr>
        <w:trPr>
          <w:trHeight w:val="204"/>
        </w:trPr>
        <w:tc>
          <w:tcPr>
            <w:tcW w:w="478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4"/>
                <w:szCs w:val="14"/>
                <w:color w:val="auto"/>
              </w:rPr>
              <w:t>John Scott</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2,081,653</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0" w:type="dxa"/>
            <w:vAlign w:val="bottom"/>
          </w:tcPr>
          <w:p>
            <w:pPr>
              <w:spacing w:after="0"/>
              <w:rPr>
                <w:sz w:val="1"/>
                <w:szCs w:val="1"/>
                <w:color w:val="auto"/>
              </w:rPr>
            </w:pPr>
          </w:p>
        </w:tc>
      </w:tr>
      <w:tr>
        <w:trPr>
          <w:trHeight w:val="204"/>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David Yablunosky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185,871</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Suzanne Niemeyer</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153,005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Bruce Brown</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Elizabeth Williams </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Daniel J. Hennessy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1,170,262</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0" w:type="dxa"/>
            <w:vAlign w:val="bottom"/>
          </w:tcPr>
          <w:p>
            <w:pPr>
              <w:spacing w:after="0"/>
              <w:rPr>
                <w:sz w:val="1"/>
                <w:szCs w:val="1"/>
                <w:color w:val="auto"/>
              </w:rPr>
            </w:pP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Michael Amalfitano</w:t>
            </w:r>
            <w:r>
              <w:rPr>
                <w:rFonts w:ascii="Times New Roman" w:cs="Times New Roman" w:eastAsia="Times New Roman" w:hAnsi="Times New Roman"/>
                <w:sz w:val="14"/>
                <w:szCs w:val="14"/>
                <w:color w:val="B4B4B4"/>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All Directors and Executive Officers as a Group (11 Individuals)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12,373,608</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25.73 %</w:t>
            </w:r>
          </w:p>
        </w:tc>
        <w:tc>
          <w:tcPr>
            <w:tcW w:w="0" w:type="dxa"/>
            <w:vAlign w:val="bottom"/>
          </w:tcPr>
          <w:p>
            <w:pPr>
              <w:spacing w:after="0"/>
              <w:rPr>
                <w:sz w:val="1"/>
                <w:szCs w:val="1"/>
                <w:color w:val="auto"/>
              </w:rPr>
            </w:pPr>
          </w:p>
        </w:tc>
      </w:tr>
      <w:tr>
        <w:trPr>
          <w:trHeight w:val="198"/>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Five Percent Holders</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WE-INN LLC</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8,697,656</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18.46 %</w:t>
            </w:r>
          </w:p>
        </w:tc>
        <w:tc>
          <w:tcPr>
            <w:tcW w:w="0" w:type="dxa"/>
            <w:vAlign w:val="bottom"/>
          </w:tcPr>
          <w:p>
            <w:pPr>
              <w:spacing w:after="0"/>
              <w:rPr>
                <w:sz w:val="1"/>
                <w:szCs w:val="1"/>
                <w:color w:val="auto"/>
              </w:rPr>
            </w:pPr>
          </w:p>
        </w:tc>
      </w:tr>
      <w:tr>
        <w:trPr>
          <w:trHeight w:val="204"/>
        </w:trPr>
        <w:tc>
          <w:tcPr>
            <w:tcW w:w="4780" w:type="dxa"/>
            <w:vAlign w:val="bottom"/>
            <w:gridSpan w:val="2"/>
          </w:tcPr>
          <w:p>
            <w:pPr>
              <w:ind w:left="40"/>
              <w:spacing w:after="0" w:line="204" w:lineRule="exact"/>
              <w:rPr>
                <w:sz w:val="20"/>
                <w:szCs w:val="20"/>
                <w:color w:val="auto"/>
              </w:rPr>
            </w:pPr>
            <w:r>
              <w:rPr>
                <w:rFonts w:ascii="Times New Roman" w:cs="Times New Roman" w:eastAsia="Times New Roman" w:hAnsi="Times New Roman"/>
                <w:sz w:val="14"/>
                <w:szCs w:val="14"/>
                <w:color w:val="auto"/>
              </w:rPr>
              <w:t>Ascent X Innventure TC, A Series of Ascent X Innventure, LP</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3,541,685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0" w:type="dxa"/>
            <w:vAlign w:val="bottom"/>
          </w:tcPr>
          <w:p>
            <w:pPr>
              <w:spacing w:after="0"/>
              <w:rPr>
                <w:sz w:val="1"/>
                <w:szCs w:val="1"/>
                <w:color w:val="auto"/>
              </w:rPr>
            </w:pPr>
          </w:p>
        </w:tc>
      </w:tr>
      <w:tr>
        <w:trPr>
          <w:trHeight w:val="204"/>
        </w:trPr>
        <w:tc>
          <w:tcPr>
            <w:tcW w:w="4780" w:type="dxa"/>
            <w:vAlign w:val="bottom"/>
            <w:gridSpan w:val="2"/>
            <w:shd w:val="clear" w:color="auto" w:fill="CCEEFF"/>
          </w:tcPr>
          <w:p>
            <w:pPr>
              <w:ind w:left="40"/>
              <w:spacing w:after="0" w:line="204" w:lineRule="exact"/>
              <w:rPr>
                <w:sz w:val="20"/>
                <w:szCs w:val="20"/>
                <w:color w:val="auto"/>
              </w:rPr>
            </w:pPr>
            <w:r>
              <w:rPr>
                <w:rFonts w:ascii="Times New Roman" w:cs="Times New Roman" w:eastAsia="Times New Roman" w:hAnsi="Times New Roman"/>
                <w:sz w:val="14"/>
                <w:szCs w:val="14"/>
                <w:color w:val="auto"/>
              </w:rPr>
              <w:t>CastleKnight Master Fund LP</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3,953,354</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8.39 %</w:t>
            </w:r>
          </w:p>
        </w:tc>
        <w:tc>
          <w:tcPr>
            <w:tcW w:w="0" w:type="dxa"/>
            <w:vAlign w:val="bottom"/>
          </w:tcPr>
          <w:p>
            <w:pPr>
              <w:spacing w:after="0"/>
              <w:rPr>
                <w:sz w:val="1"/>
                <w:szCs w:val="1"/>
                <w:color w:val="auto"/>
              </w:rPr>
            </w:pPr>
          </w:p>
        </w:tc>
      </w:tr>
      <w:tr>
        <w:trPr>
          <w:trHeight w:val="249"/>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Glockner Family Venture Fund, LP </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4,680,272</w:t>
            </w:r>
          </w:p>
        </w:tc>
        <w:tc>
          <w:tcPr>
            <w:tcW w:w="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9.17 %</w:t>
            </w:r>
          </w:p>
        </w:tc>
        <w:tc>
          <w:tcPr>
            <w:tcW w:w="0" w:type="dxa"/>
            <w:vAlign w:val="bottom"/>
          </w:tcPr>
          <w:p>
            <w:pPr>
              <w:spacing w:after="0"/>
              <w:rPr>
                <w:sz w:val="1"/>
                <w:szCs w:val="1"/>
                <w:color w:val="auto"/>
              </w:rPr>
            </w:pPr>
          </w:p>
        </w:tc>
      </w:tr>
    </w:tbl>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3" w:lineRule="exact"/>
        <w:rPr>
          <w:sz w:val="20"/>
          <w:szCs w:val="20"/>
          <w:color w:val="auto"/>
        </w:rPr>
      </w:pPr>
    </w:p>
    <w:p>
      <w:pPr>
        <w:ind w:left="1420" w:hanging="267"/>
        <w:spacing w:after="0"/>
        <w:tabs>
          <w:tab w:leader="none" w:pos="142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13" w:lineRule="exact"/>
        <w:rPr>
          <w:sz w:val="20"/>
          <w:szCs w:val="20"/>
          <w:color w:val="auto"/>
        </w:rPr>
      </w:pPr>
    </w:p>
    <w:p>
      <w:pPr>
        <w:ind w:left="1420" w:right="1219" w:hanging="267"/>
        <w:spacing w:after="0" w:line="261" w:lineRule="auto"/>
        <w:tabs>
          <w:tab w:leader="none" w:pos="142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1,500,431 shares of Common Stock held by the James O. Donnally Revocable Trust over which Mr. Donnally has sole voting and investment power and (ii)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29" w:lineRule="exact"/>
        <w:rPr>
          <w:rFonts w:ascii="Times New Roman" w:cs="Times New Roman" w:eastAsia="Times New Roman" w:hAnsi="Times New Roman"/>
          <w:sz w:val="11"/>
          <w:szCs w:val="11"/>
          <w:color w:val="auto"/>
        </w:rPr>
      </w:pPr>
    </w:p>
    <w:p>
      <w:pPr>
        <w:ind w:left="1420" w:right="1179" w:hanging="267"/>
        <w:spacing w:after="0" w:line="260" w:lineRule="auto"/>
        <w:tabs>
          <w:tab w:leader="none" w:pos="142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Otworth holds 2,714,580 shares of Common Stock and 114,161 shares of Series C Preferred Stock. As of April 11, 2025, if this Registration Statement were effective, these shares of Series C Preferred Stock would be convertible into 228,322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2" w:lineRule="exact"/>
        <w:rPr>
          <w:rFonts w:ascii="Times New Roman" w:cs="Times New Roman" w:eastAsia="Times New Roman" w:hAnsi="Times New Roman"/>
          <w:sz w:val="11"/>
          <w:szCs w:val="11"/>
          <w:color w:val="auto"/>
        </w:rPr>
      </w:pPr>
    </w:p>
    <w:p>
      <w:pPr>
        <w:ind w:left="1420" w:right="1179" w:hanging="267"/>
        <w:spacing w:after="0" w:line="260" w:lineRule="auto"/>
        <w:tabs>
          <w:tab w:leader="none" w:pos="142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Scott holds 1,628,985 shares of Common Stock and 226,334 shares of Series C Preferred Stock. As of April 11, 2025, if this Registration Statement were effective, these shares of Series C Preferred Stock would be convertible into 452,668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2" w:lineRule="exact"/>
        <w:rPr>
          <w:rFonts w:ascii="Times New Roman" w:cs="Times New Roman" w:eastAsia="Times New Roman" w:hAnsi="Times New Roman"/>
          <w:sz w:val="11"/>
          <w:szCs w:val="11"/>
          <w:color w:val="auto"/>
        </w:rPr>
      </w:pPr>
    </w:p>
    <w:p>
      <w:pPr>
        <w:ind w:left="1420" w:hanging="267"/>
        <w:spacing w:after="0"/>
        <w:tabs>
          <w:tab w:leader="none" w:pos="142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Greg Wasson has voting and investment power over the securities held by WE-INN LLC.</w:t>
      </w:r>
    </w:p>
    <w:p>
      <w:pPr>
        <w:spacing w:after="0" w:line="13" w:lineRule="exact"/>
        <w:rPr>
          <w:rFonts w:ascii="Times New Roman" w:cs="Times New Roman" w:eastAsia="Times New Roman" w:hAnsi="Times New Roman"/>
          <w:sz w:val="11"/>
          <w:szCs w:val="11"/>
          <w:color w:val="auto"/>
        </w:rPr>
      </w:pPr>
    </w:p>
    <w:p>
      <w:pPr>
        <w:ind w:left="1420" w:right="1219" w:hanging="267"/>
        <w:spacing w:after="0" w:line="265" w:lineRule="auto"/>
        <w:tabs>
          <w:tab w:leader="none" w:pos="142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Ascent X Innventure TC, A Series of Ascent X Innventure, LP is a limited partnership (“Ascent”). Ascent holds 3,291,685 shares of Common Stock and 125,000 shares of Series C Preferred Stock. As of April 11, 2025, if this Registration Statement were effective, these shares of Series C Preferred Stock would be convertible into 250,000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 Voting and investment power over the shares held by Ascent is exercised by Jonathan Loeffler and Mark Pomeroy Jr. The address for Ascent is 5956 Sherry Lane, 20th Floor, Dallas, Texas 75225.</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20" w:right="1339" w:hanging="267"/>
        <w:spacing w:after="0" w:line="268" w:lineRule="auto"/>
        <w:tabs>
          <w:tab w:leader="none" w:pos="142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by CastleKnight Master Fund LP in a Schedule 13G filed with the SEC on November 15, 2024. Per such Schedule 13G, CastleKnight Master Fund LP has shared voting power over all of such shares and shared dispositive power of all of such shares. The principal business address of CastleKnight Master Fund LP is Maples Corporate Services Limited, P.O. Box 309, Ugland House, Grand Cayman KY1-1104 Cayman Islands.</w:t>
      </w:r>
    </w:p>
    <w:p>
      <w:pPr>
        <w:spacing w:after="0" w:line="1" w:lineRule="exact"/>
        <w:rPr>
          <w:rFonts w:ascii="Times New Roman" w:cs="Times New Roman" w:eastAsia="Times New Roman" w:hAnsi="Times New Roman"/>
          <w:sz w:val="11"/>
          <w:szCs w:val="11"/>
          <w:color w:val="auto"/>
        </w:rPr>
      </w:pPr>
    </w:p>
    <w:p>
      <w:pPr>
        <w:ind w:left="1420" w:right="1179" w:hanging="267"/>
        <w:spacing w:after="0" w:line="266" w:lineRule="auto"/>
        <w:tabs>
          <w:tab w:leader="none" w:pos="142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Glockner Family Venture Fund, LP holds 739,566 shares of Common Stock and 1,970,353 shares of Series C Preferred Stock. As of April 11, 2025, if this Registration Statement were effective, these shares of Series C Preferred Stock would be convertible into 3,940,706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ectPr>
          <w:pgSz w:w="11900" w:h="16838" w:orient="portrait"/>
          <w:cols w:equalWidth="0" w:num="1">
            <w:col w:w="9019"/>
          </w:cols>
          <w:pgMar w:left="1440" w:top="1440" w:right="1440" w:bottom="53"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9019"/>
          </w:cols>
          <w:pgMar w:left="1440" w:top="1440" w:right="1440" w:bottom="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42"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Stockholders or their permitted transferees from time to time of up to 15,965,989 shares of Common Stock, which includes (i) up to 8,480,518 shares of Common Stock that may be issued upon conversion of Series C Preferred Stock, (ii) 85,471 shares of Common Stock issued to Ducera, (iii) up to 3,000,000 shares of Common Stock that may be issued upon the conversion of Convertible Debentures issued and issuable to Yorkville pursuant to the Securities Purchase Agreement, (iv) up to 4,100,000 shares of Common Stock that we may issue and sell to Yorkville from time to time pursuant to the SEPA (without exceeding the Exchange Cap) and (v) 300,000 shares of Common Stock that may be issued upon exercise of the 2025 WTI Warrants.</w:t>
      </w:r>
    </w:p>
    <w:p>
      <w:pPr>
        <w:spacing w:after="0" w:line="278"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Selling Stockholders may from time to time offer and sell any or all of our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our Common Stock other than through a public sale. Except as otherwise described below and for the ownership of the shares of our Common Stock, the Selling Stockholders have not had any material relationship with us or our predecessors or affiliates within the past three years.</w:t>
      </w:r>
    </w:p>
    <w:p>
      <w:pPr>
        <w:spacing w:after="0" w:line="10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following table sets forth, as of April 11, 2025,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We have based percentage ownership on 47,106,300 shares of Common Stock outstanding as of April 11, 2025.</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w:t>
      </w:r>
    </w:p>
    <w:p>
      <w:pPr>
        <w:sectPr>
          <w:pgSz w:w="11900" w:h="16838" w:orient="portrait"/>
          <w:cols w:equalWidth="0" w:num="1">
            <w:col w:w="9019"/>
          </w:cols>
          <w:pgMar w:left="1440" w:top="1440" w:right="1440" w:bottom="85" w:gutter="0" w:footer="0" w:header="0"/>
          <w:type w:val="continuous"/>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right="1199" w:firstLine="258"/>
        <w:spacing w:after="0" w:line="295" w:lineRule="auto"/>
        <w:rPr>
          <w:sz w:val="20"/>
          <w:szCs w:val="20"/>
          <w:color w:val="auto"/>
        </w:rPr>
      </w:pPr>
      <w:r>
        <w:rPr>
          <w:rFonts w:ascii="Times New Roman" w:cs="Times New Roman" w:eastAsia="Times New Roman" w:hAnsi="Times New Roman"/>
          <w:sz w:val="14"/>
          <w:szCs w:val="14"/>
          <w:color w:val="auto"/>
        </w:rPr>
        <w:t>Please see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further information regarding the Selling Stockholder’s method of distributing these shares.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gridSpan w:val="2"/>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2"/>
          </w:tcPr>
          <w:p>
            <w:pPr>
              <w:jc w:val="center"/>
              <w:ind w:right="20"/>
              <w:spacing w:after="0" w:line="110" w:lineRule="exact"/>
              <w:rPr>
                <w:sz w:val="20"/>
                <w:szCs w:val="20"/>
                <w:color w:val="auto"/>
              </w:rPr>
            </w:pPr>
            <w:r>
              <w:rPr>
                <w:rFonts w:ascii="Times New Roman" w:cs="Times New Roman" w:eastAsia="Times New Roman" w:hAnsi="Times New Roman"/>
                <w:sz w:val="11"/>
                <w:szCs w:val="11"/>
                <w:b w:val="1"/>
                <w:bCs w:val="1"/>
                <w:color w:val="auto"/>
              </w:rPr>
              <w:t>Shares</w:t>
            </w:r>
          </w:p>
        </w:tc>
        <w:tc>
          <w:tcPr>
            <w:tcW w:w="98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of Shares of</w:t>
            </w:r>
          </w:p>
        </w:tc>
        <w:tc>
          <w:tcPr>
            <w:tcW w:w="98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Shares</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of Common</w:t>
            </w: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of Common</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Common</w:t>
            </w:r>
          </w:p>
        </w:tc>
        <w:tc>
          <w:tcPr>
            <w:tcW w:w="0" w:type="dxa"/>
            <w:vAlign w:val="bottom"/>
          </w:tcPr>
          <w:p>
            <w:pPr>
              <w:spacing w:after="0"/>
              <w:rPr>
                <w:sz w:val="1"/>
                <w:szCs w:val="1"/>
                <w:color w:val="auto"/>
              </w:rPr>
            </w:pPr>
          </w:p>
        </w:tc>
      </w:tr>
      <w:tr>
        <w:trPr>
          <w:trHeight w:val="116"/>
        </w:trPr>
        <w:tc>
          <w:tcPr>
            <w:tcW w:w="2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2"/>
          </w:tcPr>
          <w:p>
            <w:pPr>
              <w:jc w:val="center"/>
              <w:ind w:right="20"/>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9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to</w:t>
            </w:r>
          </w:p>
        </w:tc>
        <w:tc>
          <w:tcPr>
            <w:tcW w:w="9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9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980" w:type="dxa"/>
            <w:vAlign w:val="bottom"/>
            <w:gridSpan w:val="2"/>
          </w:tcPr>
          <w:p>
            <w:pPr>
              <w:jc w:val="center"/>
              <w:ind w:right="20"/>
              <w:spacing w:after="0" w:line="110" w:lineRule="exact"/>
              <w:rPr>
                <w:sz w:val="20"/>
                <w:szCs w:val="20"/>
                <w:color w:val="auto"/>
              </w:rPr>
            </w:pPr>
            <w:r>
              <w:rPr>
                <w:rFonts w:ascii="Times New Roman" w:cs="Times New Roman" w:eastAsia="Times New Roman" w:hAnsi="Times New Roman"/>
                <w:sz w:val="11"/>
                <w:szCs w:val="11"/>
                <w:b w:val="1"/>
                <w:bCs w:val="1"/>
                <w:color w:val="auto"/>
              </w:rPr>
              <w:t>be Sold Pursuant</w:t>
            </w:r>
          </w:p>
        </w:tc>
        <w:tc>
          <w:tcPr>
            <w:tcW w:w="980" w:type="dxa"/>
            <w:vAlign w:val="bottom"/>
            <w:gridSpan w:val="2"/>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9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Name of Selling Stockholder</w:t>
            </w:r>
          </w:p>
        </w:tc>
        <w:tc>
          <w:tcPr>
            <w:tcW w:w="980" w:type="dxa"/>
            <w:vAlign w:val="bottom"/>
            <w:gridSpan w:val="2"/>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Owned Prior to</w:t>
            </w: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to</w:t>
            </w: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Owned</w:t>
            </w: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54"/>
        </w:trPr>
        <w:tc>
          <w:tcPr>
            <w:tcW w:w="2820" w:type="dxa"/>
            <w:vAlign w:val="bottom"/>
            <w:gridSpan w:val="2"/>
            <w:vMerge w:val="continue"/>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this Prospectus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After Offering</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After Offering</w:t>
            </w:r>
          </w:p>
        </w:tc>
        <w:tc>
          <w:tcPr>
            <w:tcW w:w="0" w:type="dxa"/>
            <w:vAlign w:val="bottom"/>
          </w:tcPr>
          <w:p>
            <w:pPr>
              <w:spacing w:after="0"/>
              <w:rPr>
                <w:sz w:val="1"/>
                <w:szCs w:val="1"/>
                <w:color w:val="auto"/>
              </w:rPr>
            </w:pPr>
          </w:p>
        </w:tc>
      </w:tr>
      <w:tr>
        <w:trPr>
          <w:trHeight w:val="189"/>
        </w:trPr>
        <w:tc>
          <w:tcPr>
            <w:tcW w:w="2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Holders of Series C Preferred Stock</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82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4"/>
                <w:szCs w:val="14"/>
                <w:color w:val="auto"/>
              </w:rPr>
              <w:t>Ascent X Innventure TC, A Series of</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3,541,685</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367,333</w:t>
            </w:r>
            <w:r>
              <w:rPr>
                <w:rFonts w:ascii="Times New Roman" w:cs="Times New Roman" w:eastAsia="Times New Roman" w:hAnsi="Times New Roman"/>
                <w:sz w:val="18"/>
                <w:szCs w:val="18"/>
                <w:color w:val="auto"/>
                <w:vertAlign w:val="superscript"/>
              </w:rPr>
              <w:t>(2)</w:t>
            </w:r>
          </w:p>
        </w:tc>
        <w:tc>
          <w:tcPr>
            <w:tcW w:w="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3,291,685</w:t>
            </w:r>
          </w:p>
        </w:tc>
        <w:tc>
          <w:tcPr>
            <w:tcW w:w="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93"/>
        </w:trPr>
        <w:tc>
          <w:tcPr>
            <w:tcW w:w="2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Ascent X Innventure, LP </w:t>
            </w:r>
            <w:r>
              <w:rPr>
                <w:rFonts w:ascii="Times New Roman" w:cs="Times New Roman" w:eastAsia="Times New Roman" w:hAnsi="Times New Roman"/>
                <w:sz w:val="14"/>
                <w:szCs w:val="14"/>
                <w:color w:val="B4B4B4"/>
              </w:rPr>
              <w:t>.........................</w:t>
            </w: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Casata Investments LLC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200,000</w:t>
            </w:r>
            <w:r>
              <w:rPr>
                <w:rFonts w:ascii="Times New Roman" w:cs="Times New Roman" w:eastAsia="Times New Roman" w:hAnsi="Times New Roman"/>
                <w:sz w:val="18"/>
                <w:szCs w:val="18"/>
                <w:color w:val="auto"/>
                <w:vertAlign w:val="superscript"/>
              </w:rPr>
              <w:t>(3)</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293,866</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82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4"/>
                <w:szCs w:val="14"/>
                <w:color w:val="auto"/>
              </w:rPr>
              <w:t>Crown Global Life Insurance LTD IRO</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r>
              <w:rPr>
                <w:rFonts w:ascii="Times New Roman" w:cs="Times New Roman" w:eastAsia="Times New Roman" w:hAnsi="Times New Roman"/>
                <w:sz w:val="18"/>
                <w:szCs w:val="18"/>
                <w:color w:val="auto"/>
                <w:vertAlign w:val="superscript"/>
              </w:rPr>
              <w:t>4)</w:t>
            </w:r>
          </w:p>
        </w:tc>
        <w:tc>
          <w:tcPr>
            <w:tcW w:w="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146,933</w:t>
            </w:r>
            <w:r>
              <w:rPr>
                <w:rFonts w:ascii="Times New Roman" w:cs="Times New Roman" w:eastAsia="Times New Roman" w:hAnsi="Times New Roman"/>
                <w:sz w:val="18"/>
                <w:szCs w:val="18"/>
                <w:color w:val="auto"/>
                <w:vertAlign w:val="superscript"/>
              </w:rPr>
              <w:t>(2)</w:t>
            </w:r>
          </w:p>
        </w:tc>
        <w:tc>
          <w:tcPr>
            <w:tcW w:w="40" w:type="dxa"/>
            <w:vAlign w:val="bottom"/>
          </w:tcPr>
          <w:p>
            <w:pPr>
              <w:spacing w:after="0"/>
              <w:rPr>
                <w:sz w:val="12"/>
                <w:szCs w:val="12"/>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Separate Account 30286 </w:t>
            </w:r>
            <w:r>
              <w:rPr>
                <w:rFonts w:ascii="Times New Roman" w:cs="Times New Roman" w:eastAsia="Times New Roman" w:hAnsi="Times New Roman"/>
                <w:sz w:val="14"/>
                <w:szCs w:val="14"/>
                <w:color w:val="B4B4B4"/>
              </w:rPr>
              <w:t>..........................</w:t>
            </w: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Glockner Family Venture Fund, LP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4,680,272</w:t>
            </w:r>
            <w:r>
              <w:rPr>
                <w:rFonts w:ascii="Times New Roman" w:cs="Times New Roman" w:eastAsia="Times New Roman" w:hAnsi="Times New Roman"/>
                <w:sz w:val="18"/>
                <w:szCs w:val="18"/>
                <w:color w:val="auto"/>
                <w:vertAlign w:val="superscript"/>
              </w:rPr>
              <w:t>(5)</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5,790,190</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739,566</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04"/>
        </w:trPr>
        <w:tc>
          <w:tcPr>
            <w:tcW w:w="2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Grail Partners LLC</w:t>
            </w:r>
            <w:r>
              <w:rPr>
                <w:rFonts w:ascii="Times New Roman" w:cs="Times New Roman" w:eastAsia="Times New Roman" w:hAnsi="Times New Roman"/>
                <w:sz w:val="14"/>
                <w:szCs w:val="14"/>
                <w:color w:val="B4B4B4"/>
              </w:rPr>
              <w:t>........................................</w:t>
            </w:r>
          </w:p>
        </w:tc>
        <w:tc>
          <w:tcPr>
            <w:tcW w:w="94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429,524</w:t>
            </w:r>
            <w:r>
              <w:rPr>
                <w:rFonts w:ascii="Times New Roman" w:cs="Times New Roman" w:eastAsia="Times New Roman" w:hAnsi="Times New Roman"/>
                <w:sz w:val="18"/>
                <w:szCs w:val="18"/>
                <w:color w:val="auto"/>
                <w:vertAlign w:val="superscript"/>
              </w:rPr>
              <w:t>(6)</w:t>
            </w:r>
          </w:p>
        </w:tc>
        <w:tc>
          <w:tcPr>
            <w:tcW w:w="4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587,732</w:t>
            </w:r>
            <w:r>
              <w:rPr>
                <w:rFonts w:ascii="Times New Roman" w:cs="Times New Roman" w:eastAsia="Times New Roman" w:hAnsi="Times New Roman"/>
                <w:sz w:val="18"/>
                <w:szCs w:val="18"/>
                <w:color w:val="auto"/>
                <w:vertAlign w:val="superscript"/>
              </w:rPr>
              <w:t>(2)</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29,524</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John Scott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2,081,653</w:t>
            </w:r>
            <w:r>
              <w:rPr>
                <w:rFonts w:ascii="Times New Roman" w:cs="Times New Roman" w:eastAsia="Times New Roman" w:hAnsi="Times New Roman"/>
                <w:sz w:val="18"/>
                <w:szCs w:val="18"/>
                <w:color w:val="auto"/>
                <w:vertAlign w:val="superscript"/>
              </w:rPr>
              <w:t>(7)</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665,118</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1,628,985</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04"/>
        </w:trPr>
        <w:tc>
          <w:tcPr>
            <w:tcW w:w="2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Michael Otworth </w:t>
            </w:r>
            <w:r>
              <w:rPr>
                <w:rFonts w:ascii="Times New Roman" w:cs="Times New Roman" w:eastAsia="Times New Roman" w:hAnsi="Times New Roman"/>
                <w:sz w:val="14"/>
                <w:szCs w:val="14"/>
                <w:color w:val="B4B4B4"/>
              </w:rPr>
              <w:t>...........................................</w:t>
            </w:r>
          </w:p>
        </w:tc>
        <w:tc>
          <w:tcPr>
            <w:tcW w:w="94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2,942,902</w:t>
            </w:r>
            <w:r>
              <w:rPr>
                <w:rFonts w:ascii="Times New Roman" w:cs="Times New Roman" w:eastAsia="Times New Roman" w:hAnsi="Times New Roman"/>
                <w:sz w:val="18"/>
                <w:szCs w:val="18"/>
                <w:color w:val="auto"/>
                <w:vertAlign w:val="superscript"/>
              </w:rPr>
              <w:t>(8)</w:t>
            </w:r>
          </w:p>
        </w:tc>
        <w:tc>
          <w:tcPr>
            <w:tcW w:w="4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335,480</w:t>
            </w:r>
            <w:r>
              <w:rPr>
                <w:rFonts w:ascii="Times New Roman" w:cs="Times New Roman" w:eastAsia="Times New Roman" w:hAnsi="Times New Roman"/>
                <w:sz w:val="18"/>
                <w:szCs w:val="18"/>
                <w:color w:val="auto"/>
                <w:vertAlign w:val="superscript"/>
              </w:rPr>
              <w:t>(2)</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2,714,580</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204"/>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Neil Eichlberger 2021 Irrevocable Trust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200,000</w:t>
            </w:r>
            <w:r>
              <w:rPr>
                <w:rFonts w:ascii="Times New Roman" w:cs="Times New Roman" w:eastAsia="Times New Roman" w:hAnsi="Times New Roman"/>
                <w:sz w:val="18"/>
                <w:szCs w:val="18"/>
                <w:color w:val="auto"/>
                <w:vertAlign w:val="superscript"/>
              </w:rPr>
              <w:t>(9)</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293,866</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Convertible Debentures and SEPA</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YA II PN, Ltd.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r>
              <w:rPr>
                <w:rFonts w:ascii="Times New Roman" w:cs="Times New Roman" w:eastAsia="Times New Roman" w:hAnsi="Times New Roman"/>
                <w:sz w:val="18"/>
                <w:szCs w:val="18"/>
                <w:color w:val="auto"/>
                <w:vertAlign w:val="superscript"/>
              </w:rPr>
              <w:t>(10)</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7,100,000</w:t>
            </w:r>
            <w:r>
              <w:rPr>
                <w:rFonts w:ascii="Times New Roman" w:cs="Times New Roman" w:eastAsia="Times New Roman" w:hAnsi="Times New Roman"/>
                <w:sz w:val="18"/>
                <w:szCs w:val="18"/>
                <w:color w:val="auto"/>
                <w:vertAlign w:val="superscript"/>
              </w:rPr>
              <w:t>(11)</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Ducera Securities LLC</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85,471</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85,471</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WTI Fund X, LLC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975,000</w:t>
            </w:r>
          </w:p>
        </w:tc>
        <w:tc>
          <w:tcPr>
            <w:tcW w:w="4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Times New Roman" w:cs="Times New Roman" w:eastAsia="Times New Roman" w:hAnsi="Times New Roman"/>
                <w:sz w:val="14"/>
                <w:szCs w:val="14"/>
                <w:color w:val="auto"/>
              </w:rPr>
              <w:t>225,000</w:t>
            </w:r>
            <w:r>
              <w:rPr>
                <w:rFonts w:ascii="Times New Roman" w:cs="Times New Roman" w:eastAsia="Times New Roman" w:hAnsi="Times New Roman"/>
                <w:sz w:val="18"/>
                <w:szCs w:val="18"/>
                <w:color w:val="auto"/>
                <w:vertAlign w:val="superscript"/>
              </w:rPr>
              <w:t>(13)</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04"/>
        </w:trPr>
        <w:tc>
          <w:tcPr>
            <w:tcW w:w="2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WTI Fund XI, LLC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4"/>
                <w:szCs w:val="14"/>
                <w:color w:val="auto"/>
              </w:rPr>
              <w:t>75,000</w:t>
            </w:r>
            <w:r>
              <w:rPr>
                <w:rFonts w:ascii="Times New Roman" w:cs="Times New Roman" w:eastAsia="Times New Roman" w:hAnsi="Times New Roman"/>
                <w:sz w:val="18"/>
                <w:szCs w:val="18"/>
                <w:color w:val="auto"/>
                <w:vertAlign w:val="superscript"/>
              </w:rPr>
              <w:t>(14)</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hanging="267"/>
        <w:spacing w:after="0"/>
        <w:tabs>
          <w:tab w:leader="none" w:pos="1420" w:val="left"/>
        </w:tabs>
        <w:numPr>
          <w:ilvl w:val="0"/>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13" w:lineRule="exact"/>
        <w:rPr>
          <w:sz w:val="20"/>
          <w:szCs w:val="20"/>
          <w:color w:val="auto"/>
        </w:rPr>
      </w:pPr>
    </w:p>
    <w:p>
      <w:pPr>
        <w:ind w:left="1420" w:right="1199" w:hanging="267"/>
        <w:spacing w:after="0" w:line="247" w:lineRule="auto"/>
        <w:tabs>
          <w:tab w:leader="none" w:pos="142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3,291,685 shares of Common Stock and (ii) up to 250,000 shares of Common Stock issuable upon conversion of 125,000 shares of Series C Preferred Stock originally issued to the Selling Stockholder. The Selling Stockholder is a limited partnership. Voting and investment power over the shares held by the Selling Stockholder is exercised by Jonathan Loeffler and Mark Pomeroy Jr.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5956 Sherry Lane, 20</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Floor, Dallas, Texas 75225.</w:t>
      </w:r>
    </w:p>
    <w:p>
      <w:pPr>
        <w:spacing w:after="0" w:line="3" w:lineRule="exact"/>
        <w:rPr>
          <w:rFonts w:ascii="Times New Roman" w:cs="Times New Roman" w:eastAsia="Times New Roman" w:hAnsi="Times New Roman"/>
          <w:sz w:val="11"/>
          <w:szCs w:val="11"/>
          <w:color w:val="auto"/>
        </w:rPr>
      </w:pPr>
    </w:p>
    <w:p>
      <w:pPr>
        <w:ind w:left="1420" w:right="1579" w:hanging="267"/>
        <w:spacing w:after="0" w:line="261" w:lineRule="auto"/>
        <w:tabs>
          <w:tab w:leader="none" w:pos="142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shares of Common Stock issuable upon conversion of shares of Series C Preferred Stock originally issued to the Selling Stockholder and shares of Common Stock issuable upon conversion of Series C Preferred Stock to be issued as dividends.</w:t>
      </w:r>
    </w:p>
    <w:p>
      <w:pPr>
        <w:ind w:left="1420" w:right="1219" w:hanging="267"/>
        <w:spacing w:after="0" w:line="260" w:lineRule="auto"/>
        <w:tabs>
          <w:tab w:leader="none" w:pos="142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200,000 shares of Common Stock issuable upon conversion of 100,000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Stockholders is 114 Old Orchard Road, Clarks Green, Pennsylvania 18411.</w:t>
      </w:r>
    </w:p>
    <w:p>
      <w:pPr>
        <w:spacing w:after="0" w:line="2" w:lineRule="exact"/>
        <w:rPr>
          <w:rFonts w:ascii="Times New Roman" w:cs="Times New Roman" w:eastAsia="Times New Roman" w:hAnsi="Times New Roman"/>
          <w:sz w:val="11"/>
          <w:szCs w:val="11"/>
          <w:color w:val="auto"/>
        </w:rPr>
      </w:pPr>
    </w:p>
    <w:p>
      <w:pPr>
        <w:ind w:left="1420" w:right="1199" w:hanging="267"/>
        <w:spacing w:after="0" w:line="252" w:lineRule="auto"/>
        <w:tabs>
          <w:tab w:leader="none" w:pos="142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Consists of 100,000 shares of Common Stock issuable upon conversion of 50,000 shares of Series C Preferred Stock originally issued to the Selling Stockholder. Terria Godwin and Pauline McGettigan are the controlling persons of the Selling Stockholder and share voting and investment power equally such that voting and investment decisions require the affirmative agreement of both persons.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39 Market Street, P.O. Box 10467, Suite 3206A, 2 </w:t>
      </w:r>
      <w:r>
        <w:rPr>
          <w:rFonts w:ascii="Times New Roman" w:cs="Times New Roman" w:eastAsia="Times New Roman" w:hAnsi="Times New Roman"/>
          <w:sz w:val="14"/>
          <w:szCs w:val="14"/>
          <w:color w:val="auto"/>
          <w:vertAlign w:val="superscript"/>
        </w:rPr>
        <w:t>nd</w:t>
      </w:r>
      <w:r>
        <w:rPr>
          <w:rFonts w:ascii="Times New Roman" w:cs="Times New Roman" w:eastAsia="Times New Roman" w:hAnsi="Times New Roman"/>
          <w:sz w:val="11"/>
          <w:szCs w:val="11"/>
          <w:color w:val="auto"/>
        </w:rPr>
        <w:t xml:space="preserve"> Floor, Camana Bay, Grand Cayman, Cayman Islands KY1-1004.</w:t>
      </w:r>
    </w:p>
    <w:p>
      <w:pPr>
        <w:ind w:left="1420" w:right="1179" w:hanging="267"/>
        <w:spacing w:after="0" w:line="253" w:lineRule="auto"/>
        <w:tabs>
          <w:tab w:leader="none" w:pos="142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739,566 shares of Common Stock and (ii) up to 3,940,706 shares of Common Stock issuable upon conversion of 1,970,353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111 2</w:t>
      </w:r>
      <w:r>
        <w:rPr>
          <w:rFonts w:ascii="Times New Roman" w:cs="Times New Roman" w:eastAsia="Times New Roman" w:hAnsi="Times New Roman"/>
          <w:sz w:val="14"/>
          <w:szCs w:val="14"/>
          <w:color w:val="auto"/>
          <w:vertAlign w:val="superscript"/>
        </w:rPr>
        <w:t>nd</w:t>
      </w:r>
      <w:r>
        <w:rPr>
          <w:rFonts w:ascii="Times New Roman" w:cs="Times New Roman" w:eastAsia="Times New Roman" w:hAnsi="Times New Roman"/>
          <w:sz w:val="11"/>
          <w:szCs w:val="11"/>
          <w:color w:val="auto"/>
        </w:rPr>
        <w:t xml:space="preserve"> Avenue NE, Suite 528, Saint Petersburg, Florida 33701. James Donnally, one of the Company’s directors, is the Managing Member of Bellringer Consulting Group, LLC, the General Partner of the Selling Stockholder, is an equity holder of the Selling Stockholder, and previously served as the Vice President and Chief Financial Officer of Glockner Enterprises from 1996 to 2023. Mr. Donnally currently has no authority over the Selling Stockholder’s decision-making with respect to equity or debt investments in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20" w:right="1199" w:hanging="267"/>
        <w:spacing w:after="0" w:line="285" w:lineRule="auto"/>
        <w:tabs>
          <w:tab w:leader="none" w:pos="142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29,524 shares of Common Stock and (ii) up to 400,000 shares of Common Stock issuable upon conversion of 200,000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w:t>
      </w:r>
    </w:p>
    <w:p>
      <w:pPr>
        <w:sectPr>
          <w:pgSz w:w="11900" w:h="16871" w:orient="portrait"/>
          <w:cols w:equalWidth="0" w:num="1">
            <w:col w:w="9019"/>
          </w:cols>
          <w:pgMar w:left="1440" w:top="1440" w:right="1440" w:bottom="0" w:gutter="0" w:footer="0" w:header="0"/>
        </w:sectPr>
      </w:pPr>
    </w:p>
    <w:bookmarkStart w:id="70" w:name="page71"/>
    <w:bookmarkEnd w:id="70"/>
    <w:p>
      <w:pPr>
        <w:ind w:left="1420" w:right="1379"/>
        <w:spacing w:after="0" w:line="236" w:lineRule="auto"/>
        <w:rPr>
          <w:sz w:val="20"/>
          <w:szCs w:val="20"/>
          <w:color w:val="auto"/>
        </w:rPr>
      </w:pPr>
      <w:r>
        <w:rPr>
          <w:rFonts w:ascii="Times New Roman" w:cs="Times New Roman" w:eastAsia="Times New Roman" w:hAnsi="Times New Roman"/>
          <w:sz w:val="11"/>
          <w:szCs w:val="11"/>
          <w:color w:val="auto"/>
        </w:rPr>
        <w:t>Stockholder did not have any agreements or understandings with any person to distribute such shares. The business address of the listed Selling Stockholder is 2 Embarcadero Center, Floor 8, 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-132080</wp:posOffset>
            </wp:positionV>
            <wp:extent cx="716026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420" w:right="1259" w:hanging="267"/>
        <w:spacing w:after="0" w:line="248"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1,628,985 shares of Common Stock and (ii) up to 452,668 shares of Common Stock issuable upon conversion of 226,334 shares of Series C Preferred Stock originally issued to the Selling Stockholder.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The business address of the listed Selling Stockholder is 14355 80</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Avenue, Sebastian, Florida 32958. Dr. Scott serves as the Company’s Chief Strategy Officer.</w:t>
      </w:r>
    </w:p>
    <w:p>
      <w:pPr>
        <w:spacing w:after="0" w:line="134" w:lineRule="exact"/>
        <w:rPr>
          <w:rFonts w:ascii="Times New Roman" w:cs="Times New Roman" w:eastAsia="Times New Roman" w:hAnsi="Times New Roman"/>
          <w:sz w:val="11"/>
          <w:szCs w:val="11"/>
          <w:color w:val="auto"/>
        </w:rPr>
      </w:pPr>
    </w:p>
    <w:p>
      <w:pPr>
        <w:ind w:left="1420" w:right="1179" w:hanging="267"/>
        <w:spacing w:after="0" w:line="266"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2,714,580 shares of Common Stock and (ii) up to 228,332 shares of Common Stock issuable upon conversion of 114,161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409 Cunningham Street, Maryville, Tennessee 37803. Mr. Otworth serves as the Company’s Executive Chairman and as a director.</w:t>
      </w:r>
    </w:p>
    <w:p>
      <w:pPr>
        <w:spacing w:after="0" w:line="125" w:lineRule="exact"/>
        <w:rPr>
          <w:rFonts w:ascii="Times New Roman" w:cs="Times New Roman" w:eastAsia="Times New Roman" w:hAnsi="Times New Roman"/>
          <w:sz w:val="11"/>
          <w:szCs w:val="11"/>
          <w:color w:val="auto"/>
        </w:rPr>
      </w:pPr>
    </w:p>
    <w:p>
      <w:pPr>
        <w:ind w:left="1420" w:right="1179" w:hanging="267"/>
        <w:spacing w:after="0" w:line="267"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200,000 shares of Common Stock issuable upon conversion of 100,000 shares of Series C Preferred Stock originally issued to the Selling Stockholder.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7 Country Road, Boynton Beach, Florida 33436.</w:t>
      </w:r>
    </w:p>
    <w:p>
      <w:pPr>
        <w:spacing w:after="0" w:line="124" w:lineRule="exact"/>
        <w:rPr>
          <w:rFonts w:ascii="Times New Roman" w:cs="Times New Roman" w:eastAsia="Times New Roman" w:hAnsi="Times New Roman"/>
          <w:sz w:val="11"/>
          <w:szCs w:val="11"/>
          <w:color w:val="auto"/>
        </w:rPr>
      </w:pPr>
    </w:p>
    <w:p>
      <w:pPr>
        <w:ind w:left="1420" w:right="1199" w:hanging="267"/>
        <w:spacing w:after="0" w:line="260"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up to 2,000,000 shares of Common Stock that may be issued upon conversion of the Convertible Debentures issued to Yorkville pursuant to the Securities Purchase Agreement without exceeding the SPA Exchange Cap.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c/o Mark Angelo, 1012 Springfield Avenue, Mountainside, New Jersey, 07092.</w:t>
      </w:r>
    </w:p>
    <w:p>
      <w:pPr>
        <w:spacing w:after="0" w:line="2" w:lineRule="exact"/>
        <w:rPr>
          <w:rFonts w:ascii="Times New Roman" w:cs="Times New Roman" w:eastAsia="Times New Roman" w:hAnsi="Times New Roman"/>
          <w:sz w:val="11"/>
          <w:szCs w:val="11"/>
          <w:color w:val="auto"/>
        </w:rPr>
      </w:pPr>
    </w:p>
    <w:p>
      <w:pPr>
        <w:ind w:left="1420" w:right="1319" w:hanging="267"/>
        <w:spacing w:after="0" w:line="260"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up to 3,000,000 shares of Common Stock that may be issued upon conversion of the Convertible Debentures issued and to be issued to Yorkville pursuant to the Securities Purchase Agreement and up to 4,100,000 shares of Common Stock that may be issued to Yorkville pursuant to the SEPA.</w:t>
      </w:r>
    </w:p>
    <w:p>
      <w:pPr>
        <w:jc w:val="both"/>
        <w:ind w:left="1420" w:right="1279" w:hanging="267"/>
        <w:spacing w:after="0" w:line="263"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85,471 shares of Common Stock issuable pursuant to the Ducera Engagement Letter.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 Times Square, Floor 36, New York, New York 10036.</w:t>
      </w:r>
    </w:p>
    <w:p>
      <w:pPr>
        <w:ind w:left="1420" w:right="1219" w:hanging="267"/>
        <w:spacing w:after="0" w:line="264"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up to 225,000 shares of Common Stock that may be issued to WTI Fund X, LLC pursuant to the 2025 WTI Warrants, subject to certain limitations, adjustment, and certain other rights to possible future financings in accordance with terms of the 2025 WTI Warrants.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104 La Mesa Drive, Suite 102, Portola Valley, California 94028.</w:t>
      </w:r>
    </w:p>
    <w:p>
      <w:pPr>
        <w:spacing w:after="0" w:line="124" w:lineRule="exact"/>
        <w:rPr>
          <w:rFonts w:ascii="Times New Roman" w:cs="Times New Roman" w:eastAsia="Times New Roman" w:hAnsi="Times New Roman"/>
          <w:sz w:val="11"/>
          <w:szCs w:val="11"/>
          <w:color w:val="auto"/>
        </w:rPr>
      </w:pPr>
    </w:p>
    <w:p>
      <w:pPr>
        <w:ind w:left="1420" w:right="1239" w:hanging="267"/>
        <w:spacing w:after="0" w:line="265" w:lineRule="auto"/>
        <w:tabs>
          <w:tab w:leader="none" w:pos="14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up to 75,000 shares of Common Stock that may be issued to WTI Fund XI, LLC pursuant to the 2025 WTI Warrants, subject to certain limitations, adjustment, and certain other rights to possible future financings in accordance with terms of the 2025 WTI Warrants.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104 La Mesa Drive, Suite 102, Portola Valley, California 94028.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Company has 250,000,000 shares of Common Stock authorized and, as of April 11, 2025, 47,106,300 shares of Common Stock are issued and outstanding. The Company also has 25,000,000 shares of preferred stock authorized. Of the 25,000,000 shares of preferred stock authorized, 3,000,000 shares have been designated as “Series B Preferred Stock,” and 5,000,000 shares are designated as “Series C Preferred Stock.” As of April 11, 2025,</w:t>
      </w:r>
    </w:p>
    <w:p>
      <w:pPr>
        <w:spacing w:after="0" w:line="1" w:lineRule="exact"/>
        <w:rPr>
          <w:sz w:val="20"/>
          <w:szCs w:val="20"/>
          <w:color w:val="auto"/>
        </w:rPr>
      </w:pPr>
    </w:p>
    <w:p>
      <w:pPr>
        <w:ind w:left="1160" w:right="1419" w:hanging="7"/>
        <w:spacing w:after="0" w:line="272" w:lineRule="auto"/>
        <w:tabs>
          <w:tab w:leader="none" w:pos="1331"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1,118,808 shares of Series B Preferred Stock are issued and outstanding, and (ii) 2,885,848 shares of Series C Preferred Stock are issued and outstanding.</w:t>
      </w:r>
    </w:p>
    <w:p>
      <w:pPr>
        <w:spacing w:after="0" w:line="94" w:lineRule="exact"/>
        <w:rPr>
          <w:sz w:val="20"/>
          <w:szCs w:val="20"/>
          <w:color w:val="auto"/>
        </w:rPr>
      </w:pPr>
    </w:p>
    <w:p>
      <w:pPr>
        <w:ind w:left="1160" w:right="1259" w:firstLine="258"/>
        <w:spacing w:after="0" w:line="274" w:lineRule="auto"/>
        <w:rPr>
          <w:sz w:val="20"/>
          <w:szCs w:val="20"/>
          <w:color w:val="auto"/>
        </w:rPr>
      </w:pPr>
      <w:r>
        <w:rPr>
          <w:rFonts w:ascii="Times New Roman" w:cs="Times New Roman" w:eastAsia="Times New Roman" w:hAnsi="Times New Roman"/>
          <w:sz w:val="14"/>
          <w:szCs w:val="14"/>
          <w:color w:val="auto"/>
        </w:rPr>
        <w:t>All of the shares of Common Stock issued in connection with the Business Combination are freely transferable under the Securities Act by persons other than by the Company’s “affiliates” or Learn CW’s “affiliates” without restriction or further registration under the Securities Act.</w:t>
      </w:r>
    </w:p>
    <w:p>
      <w:pPr>
        <w:spacing w:after="0" w:line="93"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Sales of substantial amounts of Common Stock in the public market could adversely affect prevailing market prices of the Common Stock. Prior to the Business Combination, there was no public market for the Common Stock.</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Pursuant to the A&amp;R Registration Right Agreement, Innventure is required to file a registration statement within 45 days after the consummation of the Business Combination registering the number of shares of Common Stock to permit the public resale of the Registrable Securities (as defined in the A&amp;R Registration Right Agreement) held by the holders thereto and use commercially reasonable efforts to have the registration statement declared effective and to maintain the effectiveness of such registration statement.</w:t>
      </w:r>
    </w:p>
    <w:p>
      <w:pPr>
        <w:spacing w:after="0" w:line="99"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In connection with the Securities Purchase Agreement entered into with Yorkville, on the First Closing Date, the Company entered into a registration rights agreement (the “SPA RRA”) with Yorkville pursuant to which Yorkville is entitled to certain registration rights under the Securities Act. Pursuant to the SPA RRA, the Company will be required to, on or before the 15th calendar day following the date the Company files its Annual Report on Form 10-K for the year ended December 31, 2024, file with the SEC (at its sole cost and expense) a registration statement registering the resale by Yorkville of all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w:t>
      </w:r>
    </w:p>
    <w:p>
      <w:pPr>
        <w:sectPr>
          <w:pgSz w:w="11900" w:h="16838" w:orient="portrait"/>
          <w:cols w:equalWidth="0" w:num="1">
            <w:col w:w="9019"/>
          </w:cols>
          <w:pgMar w:left="1440" w:top="100" w:right="1440" w:bottom="0" w:gutter="0" w:footer="0" w:header="0"/>
        </w:sectPr>
      </w:pPr>
    </w:p>
    <w:bookmarkStart w:id="71" w:name="page72"/>
    <w:bookmarkEnd w:id="71"/>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The Company has further agreed to file a registration statement with the SEC to permit the public resale of the shares of Common Stock issued to the Series C Purchasers (as defined below), Ducera, WTI Fund X, LLC and WTI Fund XI, LLC, Series B Investors (as defined below), and Yorkville pursuant to the Series C Purchase Agreements (defined below), the Ducera Engagement Letter (as defined below), the A&amp;R Registration Rights Agreement, dated October 22, 2024, by and among the Company and WTI Fund X, LLC and WTI Fund XI, LLC (the “WTI RRA”), the Series B Investment Agreements (as defined below), and the SEPA, respectively.</w:t>
      </w:r>
    </w:p>
    <w:p>
      <w:pPr>
        <w:spacing w:after="0" w:line="101"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On April 14, 2025, the Company issued two warrants to purchase up to an aggregate total of 300,000 shares of Common Stock (the “2025 WTI Warrants”) to WTI Fund X, LLC and WTI Fund XI, LLC, respectively. Each 2025 WTI Warrant is exercisable into one share of Common Stock at a price of $0.01 per share (subject to certain limitations, adjustment and certain other rights to possible future financings in accordance with terms of the 2025 WTI Warrants) through March 31, 2035. The Company has agreed to file a registration statement with the SEC to permit the public resale of the shares of Common Stock underlying the 2025 WTI Warrants on substantially the same terms as the WTI RRA.</w:t>
      </w:r>
    </w:p>
    <w:p>
      <w:pPr>
        <w:spacing w:after="0" w:line="101"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registration statement of which this prospectus forms a part is registering securities of the Company pursuant to the Securities Purchase Agreement RRA, the Series C Purchase Agreements, the WTI RRA, and the Ducera Engagement Letter, respectively, held by certain Company equity holders, each identified as a Selling Stockholder herein. The aggregate number of shares of Common Stock that will be entitled to registration under the Securities Purchase Agreement RRA (giving effect to the SPA Exchange Cap), the SEPA (giving effect to the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859"/>
        <w:spacing w:after="0" w:line="292" w:lineRule="auto"/>
        <w:rPr>
          <w:sz w:val="20"/>
          <w:szCs w:val="20"/>
          <w:color w:val="auto"/>
        </w:rPr>
      </w:pPr>
      <w:r>
        <w:rPr>
          <w:rFonts w:ascii="Times New Roman" w:cs="Times New Roman" w:eastAsia="Times New Roman" w:hAnsi="Times New Roman"/>
          <w:sz w:val="14"/>
          <w:szCs w:val="14"/>
          <w:color w:val="auto"/>
        </w:rPr>
        <w:t>Exchange Cap), the Series C Purchase Agreements, the WTI RRA, and the Ducera Engagement Letter is approximately 20,281,538.</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Lock-up Agreements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connection with the execution of the Business Combination Agreement, certain insiders of Innventure LLC</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(each, a “Lock-Up Party”) entered into the Lock-Up Agreements with the Company, pursuant to which such persons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agreed, subject to certain customary exceptions, not to (i) sell, offer to sell, contract or agree to sell, hypothecate,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pledge, grant any option to purchase or otherwise transfer, dispose of or agree to transfer or dispose of, directly or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indirectly, or establish or increase a put equivalent position or liquidate or decrease a call equivalent position within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meaning of Section 16 of the Exchange Act, and the rules and regulations of the SEC promulgated thereunder,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any shares of Common Stock, or any securities convertible into, exercisable for, exchangeable for or that represent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right to receive any shares of Common Stock (collectively, the “Restricted Shares”), currently owned or acquired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after the date of the applicable Lock-Up Agreement, that is owned directly by such Lock-Up Party (including</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securities held as custodian) or with respect to which such Lock-Up Party has beneficial ownership within the rules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and regulations of the SEC, (ii) enter into any swap or other arrangement that transfers to another, in whole or in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part, any of the economic consequences of ownership of any of the Restricted Shares, whether any such transaction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is to be settled by delivery of such securities, in cash or otherwise or (iii) publicly announce any intention to effect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any transaction specified in clause (i) or (ii) for a period ending upon the earlier of (A) the expiration of one year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after the Closing, and (B) subsequent to the Closing, (i) if the closing price of Common Stock equals or exceeds</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$12.00 per share (as adjusted for share subdivisions, share capitalizations, reorganizations, recapitalizations and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like) for any 20 trading days within any 30-trading day period commencing at least 150 days after the Closing, or (ii)</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 date which Innventure completes a merger, liquidation, stock exchange, reorganization or other similar</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transaction after the Closing that results in all of the public stockholders of Innventure having the right to exchange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their Common Stock for cash securities or other property.</w:t>
      </w:r>
    </w:p>
    <w:p>
      <w:pPr>
        <w:spacing w:after="0" w:line="126"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On October 7, 2021, Learn CW entered into a letter agreement dated October 7, 2021, by and among Learn CW and its officers, directors, director nominees, and the Sponsor, pursuant to which, among other things and in relevant part, the parties are subject to a lock-up on sales of their Common Stock until (a) one year after the completion of the Business Combination or (b) subsequent to the Business Combination, (x) the date on which the Company completes a liquidation, merger, share exchange or other similar transaction that results in all of the Company’s shareholders having the right to exchange their shares of Common Stock for cash, securities or other property or (y) if the closing price of the Common Stock equals or exceeds $12.00 per share (as adjusted for share sub-divisions, share capitalizations, reorganizations, recapitalizations and other similar transactions) for any twenty (20) trading days within any 30-trading day period commencing at least 150 days after the Business Combination. Any of their Innventure Warrants and shares of Common Stock underlying such warrants were also locked up until thirty (30) days after the completion of the Business Combination.</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140"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Subject to the further restrictions described below under “</w:t>
      </w:r>
      <w:r>
        <w:rPr>
          <w:rFonts w:ascii="Times New Roman" w:cs="Times New Roman" w:eastAsia="Times New Roman" w:hAnsi="Times New Roman"/>
          <w:sz w:val="14"/>
          <w:szCs w:val="14"/>
          <w:i w:val="1"/>
          <w:iCs w:val="1"/>
          <w:color w:val="auto"/>
        </w:rPr>
        <w:t>Restrictions on the Use of Rule 144 for Securities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Shell Companies or Former Shell Companies</w:t>
      </w:r>
      <w:r>
        <w:rPr>
          <w:rFonts w:ascii="Times New Roman" w:cs="Times New Roman" w:eastAsia="Times New Roman" w:hAnsi="Times New Roman"/>
          <w:sz w:val="14"/>
          <w:szCs w:val="14"/>
          <w:color w:val="auto"/>
        </w:rPr>
        <w:t>,” pursuant to Rule 144 under the Securities Act (“Rule 144”), a person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who has beneficially owned restricted Common Stock or Innventure 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w:t>
      </w:r>
    </w:p>
    <w:p>
      <w:pPr>
        <w:spacing w:after="0" w:line="105"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Persons who have beneficially owned Restricted Shares of Common Stock or Innventure Warrants for at least six months but who are affiliates of Innventure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97" w:lineRule="exact"/>
        <w:rPr>
          <w:sz w:val="20"/>
          <w:szCs w:val="20"/>
          <w:color w:val="auto"/>
        </w:rPr>
      </w:pPr>
    </w:p>
    <w:p>
      <w:pPr>
        <w:ind w:left="1660" w:hanging="249"/>
        <w:spacing w:after="0"/>
        <w:tabs>
          <w:tab w:leader="none" w:pos="16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percent (1%) of the total number of Common Stock then outstanding; or</w:t>
      </w:r>
    </w:p>
    <w:p>
      <w:pPr>
        <w:sectPr>
          <w:pgSz w:w="11900" w:h="16838" w:orient="portrait"/>
          <w:cols w:equalWidth="0" w:num="1">
            <w:col w:w="9019"/>
          </w:cols>
          <w:pgMar w:left="1440" w:top="254" w:right="1440" w:bottom="502"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254" w:right="1440" w:bottom="502" w:gutter="0" w:footer="0" w:header="0"/>
          <w:type w:val="continuous"/>
        </w:sectPr>
      </w:pPr>
    </w:p>
    <w:bookmarkStart w:id="72" w:name="page73"/>
    <w:bookmarkEnd w:id="72"/>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660" w:right="1339" w:hanging="249"/>
        <w:spacing w:after="0" w:line="292" w:lineRule="auto"/>
        <w:tabs>
          <w:tab w:leader="none" w:pos="16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reported trading volume of Common Stock during the four calendar weeks preceding the filing of a notice on Form 144 with respect to the sale.</w:t>
      </w:r>
    </w:p>
    <w:p>
      <w:pPr>
        <w:spacing w:after="0" w:line="81" w:lineRule="exact"/>
        <w:rPr>
          <w:sz w:val="20"/>
          <w:szCs w:val="20"/>
          <w:color w:val="auto"/>
        </w:rPr>
      </w:pPr>
    </w:p>
    <w:p>
      <w:pPr>
        <w:ind w:left="1160" w:right="1619" w:firstLine="258"/>
        <w:spacing w:after="0" w:line="292" w:lineRule="auto"/>
        <w:rPr>
          <w:sz w:val="20"/>
          <w:szCs w:val="20"/>
          <w:color w:val="auto"/>
        </w:rPr>
      </w:pPr>
      <w:r>
        <w:rPr>
          <w:rFonts w:ascii="Times New Roman" w:cs="Times New Roman" w:eastAsia="Times New Roman" w:hAnsi="Times New Roman"/>
          <w:sz w:val="14"/>
          <w:szCs w:val="14"/>
          <w:color w:val="auto"/>
        </w:rPr>
        <w:t>Sales by affiliates of Innventure under Rule 144 are also limited by manner of sale provisions and notice requirements and to the availability of current public information about Innventure.</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Restrictions on the Use of Rule 144 for Securities of Shell Companies or Former Shell Companies</w:t>
      </w:r>
    </w:p>
    <w:p>
      <w:pPr>
        <w:spacing w:after="0" w:line="142" w:lineRule="exact"/>
        <w:rPr>
          <w:sz w:val="20"/>
          <w:szCs w:val="20"/>
          <w:color w:val="auto"/>
        </w:rPr>
      </w:pPr>
    </w:p>
    <w:p>
      <w:pPr>
        <w:ind w:left="1160" w:right="1379" w:firstLine="258"/>
        <w:spacing w:after="0" w:line="274" w:lineRule="auto"/>
        <w:rPr>
          <w:sz w:val="20"/>
          <w:szCs w:val="20"/>
          <w:color w:val="auto"/>
        </w:rPr>
      </w:pPr>
      <w:r>
        <w:rPr>
          <w:rFonts w:ascii="Times New Roman" w:cs="Times New Roman" w:eastAsia="Times New Roman" w:hAnsi="Times New Roman"/>
          <w:sz w:val="14"/>
          <w:szCs w:val="14"/>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3" w:lineRule="exact"/>
        <w:rPr>
          <w:sz w:val="20"/>
          <w:szCs w:val="20"/>
          <w:color w:val="auto"/>
        </w:rPr>
      </w:pPr>
    </w:p>
    <w:p>
      <w:pPr>
        <w:ind w:left="1660" w:hanging="249"/>
        <w:spacing w:after="0"/>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that was formerly a shell company has ceased to be a shell company;</w:t>
      </w:r>
    </w:p>
    <w:p>
      <w:pPr>
        <w:spacing w:after="0" w:line="139"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is subject to the reporting requirements of Section 13 or 15(d) of the Exchange Act;</w:t>
      </w:r>
    </w:p>
    <w:p>
      <w:pPr>
        <w:spacing w:after="0" w:line="80" w:lineRule="exact"/>
        <w:rPr>
          <w:rFonts w:ascii="Times New Roman" w:cs="Times New Roman" w:eastAsia="Times New Roman" w:hAnsi="Times New Roman"/>
          <w:sz w:val="14"/>
          <w:szCs w:val="14"/>
          <w:color w:val="auto"/>
        </w:rPr>
      </w:pPr>
    </w:p>
    <w:p>
      <w:pPr>
        <w:ind w:left="1660" w:right="1319" w:hanging="249"/>
        <w:spacing w:after="0" w:line="274" w:lineRule="auto"/>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Times New Roman" w:cs="Times New Roman" w:eastAsia="Times New Roman" w:hAnsi="Times New Roman"/>
          <w:sz w:val="14"/>
          <w:szCs w:val="14"/>
          <w:color w:val="auto"/>
        </w:rPr>
      </w:pPr>
    </w:p>
    <w:p>
      <w:pPr>
        <w:ind w:left="1660" w:right="1319" w:hanging="249"/>
        <w:spacing w:after="0" w:line="292" w:lineRule="auto"/>
        <w:tabs>
          <w:tab w:leader="none" w:pos="16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one year has elapsed from the time that the issuer filed current Form 10 type information with the SEC reflecting its status as an entity that is not a shell company.</w:t>
      </w:r>
    </w:p>
    <w:p>
      <w:pPr>
        <w:spacing w:after="0" w:line="81"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As a result, although Innventure is a new registrant, shares of Common Stock and Innventure Warrants may not be eligible for sale pursuant to Rule 144 without registration until October 9, 2025—one year from the time that Innventure filed current Form 10 type information with the SEC.</w:t>
      </w:r>
    </w:p>
    <w:p>
      <w:pPr>
        <w:spacing w:after="0" w:line="93"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Innventure is no longer a shell company, and so, once the conditions set forth in the exceptions listed above are satisfied, Rule 144 will become available for the resale of the above noted restricted securities.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142"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remain subject to lock-up arrangements and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42"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We are registering (A) the resale by the Selling Stockholders or their permitted transferees of up to 15,965,989 shares of Common Stock, which includes (i) up to 8,480,518 shares of Common Stock that may be issued upon conversion of Series C Preferred Stock, (ii) 85,471 shares of Common Stock issued to Ducera, (iii) up to 3,000,000 shares of Common Stock that may be issued upon the conversion of Convertible Debentures issued to Yorkville pursuant to the Securities Purchase Agreement, (iv) up to 4,100,000 shares of Common Stock that we may issue and sell to Yorkville from time to time pursuant to the SEPA (without exceeding the Exchange Cap) and (v) 300,000 shares of Common Stock that may be issued upon exercise of the 2025 WTI Warrants, and (B) the issuance by us of 18,386,688 shares of Common Stock issuable upon the exercise of the Innventure Warrants.</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Common Stock is listed on NASDAQ under the symbol “INV.”</w:t>
      </w:r>
    </w:p>
    <w:p>
      <w:pPr>
        <w:spacing w:after="0" w:line="140"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99" w:lineRule="exact"/>
        <w:rPr>
          <w:sz w:val="20"/>
          <w:szCs w:val="20"/>
          <w:color w:val="auto"/>
        </w:rPr>
      </w:pPr>
    </w:p>
    <w:p>
      <w:pPr>
        <w:ind w:left="1660" w:hanging="249"/>
        <w:spacing w:after="0"/>
        <w:tabs>
          <w:tab w:leader="none" w:pos="16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39" w:lineRule="exact"/>
        <w:rPr>
          <w:rFonts w:ascii="Times New Roman" w:cs="Times New Roman" w:eastAsia="Times New Roman" w:hAnsi="Times New Roman"/>
          <w:sz w:val="14"/>
          <w:szCs w:val="14"/>
          <w:color w:val="auto"/>
        </w:rPr>
      </w:pPr>
    </w:p>
    <w:p>
      <w:pPr>
        <w:ind w:left="1660" w:right="1479" w:hanging="249"/>
        <w:spacing w:after="0" w:line="292" w:lineRule="auto"/>
        <w:tabs>
          <w:tab w:leader="none" w:pos="16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securities as agent but may position and resell a portion of the block as principal to facilitate the transaction;</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ectPr>
          <w:pgSz w:w="11900" w:h="16907" w:orient="portrait"/>
          <w:cols w:equalWidth="0" w:num="1">
            <w:col w:w="9019"/>
          </w:cols>
          <w:pgMar w:left="1440" w:top="909" w:right="1440" w:bottom="0" w:gutter="0" w:footer="0" w:header="0"/>
        </w:sectPr>
      </w:pPr>
    </w:p>
    <w:bookmarkStart w:id="73" w:name="page74"/>
    <w:bookmarkEnd w:id="73"/>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privately negotiated transactions;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underwritten transactions;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39" w:lineRule="exact"/>
        <w:rPr>
          <w:rFonts w:ascii="Times New Roman" w:cs="Times New Roman" w:eastAsia="Times New Roman" w:hAnsi="Times New Roman"/>
          <w:sz w:val="14"/>
          <w:szCs w:val="14"/>
          <w:color w:val="auto"/>
        </w:rPr>
      </w:pPr>
    </w:p>
    <w:p>
      <w:pPr>
        <w:ind w:left="1660" w:right="1199" w:hanging="249"/>
        <w:spacing w:after="0" w:line="292" w:lineRule="auto"/>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broker-dealers that agree with the Selling Stockholders to sell a specified number of such securities at a stipulated price per security;</w:t>
      </w:r>
    </w:p>
    <w:p>
      <w:pPr>
        <w:spacing w:after="0" w:line="80" w:lineRule="exact"/>
        <w:rPr>
          <w:rFonts w:ascii="Times New Roman" w:cs="Times New Roman" w:eastAsia="Times New Roman" w:hAnsi="Times New Roman"/>
          <w:sz w:val="14"/>
          <w:szCs w:val="14"/>
          <w:color w:val="auto"/>
        </w:rPr>
      </w:pPr>
    </w:p>
    <w:p>
      <w:pPr>
        <w:ind w:left="1660" w:right="1519" w:hanging="249"/>
        <w:spacing w:after="0" w:line="292" w:lineRule="auto"/>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80"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members, limited partners or stockholders of Selling Stockholders;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market” or through market makers or into an existing market for the shares;</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139" w:lineRule="exact"/>
        <w:rPr>
          <w:rFonts w:ascii="Times New Roman" w:cs="Times New Roman" w:eastAsia="Times New Roman" w:hAnsi="Times New Roman"/>
          <w:sz w:val="14"/>
          <w:szCs w:val="14"/>
          <w:color w:val="auto"/>
        </w:rPr>
      </w:pPr>
    </w:p>
    <w:p>
      <w:pPr>
        <w:ind w:left="1660" w:hanging="249"/>
        <w:spacing w:after="0"/>
        <w:tabs>
          <w:tab w:leader="none" w:pos="16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40" w:lineRule="exact"/>
        <w:rPr>
          <w:sz w:val="20"/>
          <w:szCs w:val="20"/>
          <w:color w:val="auto"/>
        </w:rPr>
      </w:pPr>
    </w:p>
    <w:p>
      <w:pPr>
        <w:jc w:val="both"/>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93"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right="1199" w:firstLine="258"/>
        <w:spacing w:after="0" w:line="260" w:lineRule="auto"/>
        <w:rPr>
          <w:sz w:val="20"/>
          <w:szCs w:val="20"/>
          <w:color w:val="auto"/>
        </w:rPr>
      </w:pPr>
      <w:r>
        <w:rPr>
          <w:rFonts w:ascii="Times New Roman" w:cs="Times New Roman" w:eastAsia="Times New Roman" w:hAnsi="Times New Roman"/>
          <w:sz w:val="14"/>
          <w:szCs w:val="14"/>
          <w:color w:val="auto"/>
        </w:rPr>
        <w:t>In connection with the sale of the securities or interests therein, the Selling Stockholders may enter into hedging transactions with broker- 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06"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01"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their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101"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With respect to the Selling Stockholders under the WTI RRA, the Company has agreed to keep this prospectus effective and in compliance with the Securities Act until the earlier of (i) such time as there are no longer any registrable securities under such agreements or (ii) the tenth-year anniversary of such agreement. Additionally, with respect to the Selling Stockholders under the Securities Purchase Agreement RRA, the Company has agreed to keep this prospectus effective until all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Company has also agreed to keep this prospectus effective and in compliance with the Securities Act until the expiration of the SEPA.</w:t>
      </w:r>
    </w:p>
    <w:p>
      <w:pPr>
        <w:spacing w:after="0" w:line="106"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01" w:lineRule="exact"/>
        <w:rPr>
          <w:sz w:val="20"/>
          <w:szCs w:val="20"/>
          <w:color w:val="auto"/>
        </w:rPr>
      </w:pPr>
    </w:p>
    <w:p>
      <w:pPr>
        <w:ind w:left="1160" w:right="1419" w:firstLine="258"/>
        <w:spacing w:after="0" w:line="295" w:lineRule="auto"/>
        <w:rPr>
          <w:sz w:val="20"/>
          <w:szCs w:val="20"/>
          <w:color w:val="auto"/>
        </w:rPr>
      </w:pPr>
      <w:r>
        <w:rPr>
          <w:rFonts w:ascii="Times New Roman" w:cs="Times New Roman" w:eastAsia="Times New Roman" w:hAnsi="Times New Roman"/>
          <w:sz w:val="14"/>
          <w:szCs w:val="14"/>
          <w:color w:val="auto"/>
        </w:rPr>
        <w:t>Certain of our stockholders have entered into Lock-Up Agreements. See “</w:t>
      </w:r>
      <w:r>
        <w:rPr>
          <w:rFonts w:ascii="Times New Roman" w:cs="Times New Roman" w:eastAsia="Times New Roman" w:hAnsi="Times New Roman"/>
          <w:sz w:val="14"/>
          <w:szCs w:val="14"/>
          <w:i w:val="1"/>
          <w:iCs w:val="1"/>
          <w:color w:val="auto"/>
        </w:rPr>
        <w:t>Shares Eligible For Future Sale—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Lock-up Agreements</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75"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42"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Innventure, Inc. (the Company) as of December 31, 2024 and 2023 and for the period from October 2, 2024 to December 31, 2024 (“Successor”), the period from January 1, 2024 to October 1, 2024 (“Predecessor”), and for the year ended December 31, 2023 (“Predecessor”),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42" w:lineRule="exact"/>
        <w:rPr>
          <w:sz w:val="20"/>
          <w:szCs w:val="20"/>
          <w:color w:val="auto"/>
        </w:rPr>
      </w:pPr>
    </w:p>
    <w:p>
      <w:pPr>
        <w:ind w:left="1160" w:right="1839" w:firstLine="258"/>
        <w:spacing w:after="0" w:line="292" w:lineRule="auto"/>
        <w:rPr>
          <w:sz w:val="20"/>
          <w:szCs w:val="20"/>
          <w:color w:val="auto"/>
        </w:rPr>
      </w:pPr>
      <w:r>
        <w:rPr>
          <w:rFonts w:ascii="Times New Roman" w:cs="Times New Roman" w:eastAsia="Times New Roman" w:hAnsi="Times New Roman"/>
          <w:sz w:val="14"/>
          <w:szCs w:val="14"/>
          <w:color w:val="auto"/>
        </w:rPr>
        <w:t>Jones Day will pass upon certain legal matters for us in connection with the securities offered by this prospectus.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42"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ectPr>
          <w:pgSz w:w="11900" w:h="16838" w:orient="portrait"/>
          <w:cols w:equalWidth="0" w:num="1">
            <w:col w:w="9019"/>
          </w:cols>
          <w:pgMar w:left="1440" w:top="307" w:right="1440" w:bottom="0" w:gutter="0" w:footer="0" w:header="0"/>
        </w:sect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1"/>
          <w:szCs w:val="11"/>
          <w:b w:val="1"/>
          <w:bCs w:val="1"/>
          <w:color w:val="auto"/>
        </w:rPr>
        <w:t>Consolidated Financial Statements</w:t>
      </w:r>
    </w:p>
    <w:p>
      <w:pPr>
        <w:spacing w:after="0" w:line="3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 (BDO USA, P.C.; PCAOB ID#243)</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Consolidated Balance Sheets as of December 31, 2024 and 2023</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Consolidated Statements of Operations and Comprehensive Income (Loss) for the period October 2,</w:t>
      </w:r>
    </w:p>
    <w:p>
      <w:pPr>
        <w:spacing w:after="0" w:line="5" w:lineRule="exact"/>
        <w:rPr>
          <w:sz w:val="20"/>
          <w:szCs w:val="20"/>
          <w:color w:val="auto"/>
        </w:rPr>
      </w:pPr>
    </w:p>
    <w:p>
      <w:pPr>
        <w:ind w:left="1320"/>
        <w:spacing w:after="0" w:line="230" w:lineRule="auto"/>
        <w:rPr>
          <w:sz w:val="20"/>
          <w:szCs w:val="20"/>
          <w:color w:val="auto"/>
        </w:rPr>
      </w:pPr>
      <w:r>
        <w:rPr>
          <w:rFonts w:ascii="Times New Roman" w:cs="Times New Roman" w:eastAsia="Times New Roman" w:hAnsi="Times New Roman"/>
          <w:sz w:val="14"/>
          <w:szCs w:val="14"/>
          <w:u w:val="single" w:color="auto"/>
          <w:color w:val="0000FF"/>
        </w:rPr>
        <w:t>2024 through December 31, 2024 (Successor), January 1, 2024 through October 1, 2024 (Predecessor) and the year ended December 31, 2023 (Predecessor)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8" w:lineRule="exact"/>
        <w:rPr>
          <w:sz w:val="20"/>
          <w:szCs w:val="20"/>
          <w:color w:val="auto"/>
        </w:rPr>
      </w:pPr>
    </w:p>
    <w:p>
      <w:pPr>
        <w:ind w:left="1320" w:hanging="128"/>
        <w:spacing w:after="0" w:line="244" w:lineRule="auto"/>
        <w:rPr>
          <w:sz w:val="20"/>
          <w:szCs w:val="20"/>
          <w:color w:val="auto"/>
        </w:rPr>
      </w:pPr>
      <w:r>
        <w:rPr>
          <w:rFonts w:ascii="Times New Roman" w:cs="Times New Roman" w:eastAsia="Times New Roman" w:hAnsi="Times New Roman"/>
          <w:sz w:val="14"/>
          <w:szCs w:val="14"/>
          <w:u w:val="single" w:color="auto"/>
          <w:color w:val="0000FF"/>
        </w:rPr>
        <w:t>Consolidated Statement of Changes in Mezzanine Capital for the period January 1, 2024 through October 1, 2024 (Predecessor) and the year ended December 31, 2023 (Predecessor).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6" w:lineRule="exact"/>
        <w:rPr>
          <w:sz w:val="20"/>
          <w:szCs w:val="20"/>
          <w:color w:val="auto"/>
        </w:rPr>
      </w:pPr>
    </w:p>
    <w:p>
      <w:pPr>
        <w:ind w:left="1320" w:hanging="128"/>
        <w:spacing w:after="0" w:line="228" w:lineRule="auto"/>
        <w:rPr>
          <w:sz w:val="20"/>
          <w:szCs w:val="20"/>
          <w:color w:val="auto"/>
        </w:rPr>
      </w:pPr>
      <w:r>
        <w:rPr>
          <w:rFonts w:ascii="Times New Roman" w:cs="Times New Roman" w:eastAsia="Times New Roman" w:hAnsi="Times New Roman"/>
          <w:sz w:val="14"/>
          <w:szCs w:val="14"/>
          <w:u w:val="single" w:color="auto"/>
          <w:color w:val="0000FF"/>
        </w:rPr>
        <w:t>Consolidated Statement of Changes in Stockholders’ Equity for the period October 2, 2024 through December 31, 2024 (Successor), January 1, 2024 through October 1, 2024 (Predecessor) and the year</w:t>
      </w:r>
    </w:p>
    <w:p>
      <w:pPr>
        <w:ind w:left="1320"/>
        <w:spacing w:after="0"/>
        <w:rPr>
          <w:sz w:val="20"/>
          <w:szCs w:val="20"/>
          <w:color w:val="auto"/>
        </w:rPr>
      </w:pPr>
      <w:r>
        <w:rPr>
          <w:rFonts w:ascii="Times New Roman" w:cs="Times New Roman" w:eastAsia="Times New Roman" w:hAnsi="Times New Roman"/>
          <w:sz w:val="14"/>
          <w:szCs w:val="14"/>
          <w:u w:val="single" w:color="auto"/>
          <w:color w:val="0000FF"/>
        </w:rPr>
        <w:t>ended December 31, 2023 (Predecessor)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16" w:lineRule="exact"/>
        <w:rPr>
          <w:sz w:val="20"/>
          <w:szCs w:val="20"/>
          <w:color w:val="auto"/>
        </w:rPr>
      </w:pPr>
    </w:p>
    <w:p>
      <w:pPr>
        <w:ind w:left="1320" w:right="160" w:hanging="128"/>
        <w:spacing w:after="0" w:line="228" w:lineRule="auto"/>
        <w:rPr>
          <w:sz w:val="20"/>
          <w:szCs w:val="20"/>
          <w:color w:val="auto"/>
        </w:rPr>
      </w:pPr>
      <w:r>
        <w:rPr>
          <w:rFonts w:ascii="Times New Roman" w:cs="Times New Roman" w:eastAsia="Times New Roman" w:hAnsi="Times New Roman"/>
          <w:sz w:val="14"/>
          <w:szCs w:val="14"/>
          <w:u w:val="single" w:color="auto"/>
          <w:color w:val="0000FF"/>
        </w:rPr>
        <w:t>Consolidated Statements of Cash Flows for the period October 2, 2024 through December 31, 2024 (Successor), January 1, 2024 through October 1, 2024 (Predecessor) and the year ended December</w:t>
      </w:r>
    </w:p>
    <w:p>
      <w:pPr>
        <w:ind w:left="1320"/>
        <w:spacing w:after="0"/>
        <w:rPr>
          <w:sz w:val="20"/>
          <w:szCs w:val="20"/>
          <w:color w:val="auto"/>
        </w:rPr>
      </w:pPr>
      <w:r>
        <w:rPr>
          <w:rFonts w:ascii="Times New Roman" w:cs="Times New Roman" w:eastAsia="Times New Roman" w:hAnsi="Times New Roman"/>
          <w:sz w:val="14"/>
          <w:szCs w:val="14"/>
          <w:u w:val="single" w:color="auto"/>
          <w:color w:val="0000FF"/>
        </w:rPr>
        <w:t>31, 2023 (Predecessor)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1"/>
          <w:szCs w:val="11"/>
          <w:b w:val="1"/>
          <w:bCs w:val="1"/>
          <w:color w:val="auto"/>
        </w:rPr>
        <w:t>Page No.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0000FF"/>
        </w:rPr>
        <w:t>F-2</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0000FF"/>
        </w:rPr>
        <w:t>F-4</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0000FF"/>
        </w:rPr>
        <w:t>F-6</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0000FF"/>
        </w:rPr>
        <w:t>F-7</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0000FF"/>
        </w:rPr>
        <w:t>F-8</w:t>
      </w:r>
    </w:p>
    <w:p>
      <w:pPr>
        <w:spacing w:after="0" w:line="3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F-10</w:t>
      </w:r>
    </w:p>
    <w:p>
      <w:pPr>
        <w:spacing w:after="0" w:line="1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0000FF"/>
        </w:rPr>
        <w:t>F-12</w:t>
      </w:r>
    </w:p>
    <w:p>
      <w:pPr>
        <w:sectPr>
          <w:pgSz w:w="11900" w:h="16838" w:orient="portrait"/>
          <w:cols w:equalWidth="0" w:num="2">
            <w:col w:w="7120" w:space="200"/>
            <w:col w:w="1699"/>
          </w:cols>
          <w:pgMar w:left="1440" w:top="307" w:right="1440" w:bottom="0" w:gutter="0" w:footer="0" w:header="0"/>
          <w:type w:val="continuous"/>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1">
            <w:col w:w="9019"/>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Stockholders and Board of Directors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Innventure, Inc.</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Orlando, FL</w:t>
      </w:r>
    </w:p>
    <w:p>
      <w:pPr>
        <w:spacing w:after="0" w:line="1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42"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Innventure, Inc. and Subsidiaries (the “Company”) as of December 31, 2024, (“Successor”) and Innventure, LLC and Subsidiaries as of December 31, 2023 (“Predecessor”),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year ended December 31, 2023, and the related notes (collectively referred to as the “consolidated financial statements”). In our opinion, the consolidated financial statements present fairly, in all material respects, the financial position of the Company at December 31, 2024 (“Successor”) and 2023 (“Predecessor”), and the results of its operations and its cash flows for the period from October 2, 2024 through December 31, 2024 (Successor), the period from January 1 2024 through October 1, 2024 (“Predecessor”) and the year ended December 31, 2023 (“Predecessor”), in conformity with accounting principles generally accepted in the United States of America.</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Going Concern Uncertainty</w:t>
      </w:r>
    </w:p>
    <w:p>
      <w:pPr>
        <w:spacing w:after="0" w:line="142"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42" w:lineRule="exact"/>
        <w:rPr>
          <w:sz w:val="20"/>
          <w:szCs w:val="20"/>
          <w:color w:val="auto"/>
        </w:rPr>
      </w:pPr>
    </w:p>
    <w:p>
      <w:pPr>
        <w:ind w:left="1160" w:right="1279" w:firstLine="258"/>
        <w:spacing w:after="0" w:line="264"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74"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w:t>
      </w:r>
    </w:p>
    <w:p>
      <w:pPr>
        <w:sectPr>
          <w:pgSz w:w="11900" w:h="16838" w:orient="portrait"/>
          <w:cols w:equalWidth="0" w:num="1">
            <w:col w:w="9019"/>
          </w:cols>
          <w:pgMar w:left="1440" w:top="1440" w:right="1440" w:bottom="0" w:gutter="0" w:footer="0" w:header="0"/>
          <w:type w:val="continuous"/>
        </w:sectPr>
      </w:pPr>
    </w:p>
    <w:bookmarkStart w:id="76" w:name="page77"/>
    <w:bookmarkEnd w:id="76"/>
    <w:p>
      <w:pPr>
        <w:ind w:left="1160" w:right="1379"/>
        <w:spacing w:after="0" w:line="201" w:lineRule="auto"/>
        <w:rPr>
          <w:sz w:val="20"/>
          <w:szCs w:val="20"/>
          <w:color w:val="auto"/>
        </w:rPr>
      </w:pPr>
      <w:r>
        <w:rPr>
          <w:rFonts w:ascii="Times New Roman" w:cs="Times New Roman" w:eastAsia="Times New Roman" w:hAnsi="Times New Roman"/>
          <w:sz w:val="14"/>
          <w:szCs w:val="14"/>
          <w:color w:val="auto"/>
        </w:rPr>
        <w:t>financial statements. Our audits also included evaluating the accounting principles used and significant estimates made by management, as well as evaluating the overall presentation of the consolidated financial statements.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-141605</wp:posOffset>
            </wp:positionV>
            <wp:extent cx="716026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 BDO USA, P.C.</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Raleigh, North Carolina</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April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78" w:lineRule="exact"/>
        <w:rPr>
          <w:sz w:val="20"/>
          <w:szCs w:val="20"/>
          <w:color w:val="auto"/>
        </w:rPr>
      </w:pPr>
    </w:p>
    <w:tbl>
      <w:tblPr>
        <w:tblLayout w:type="fixed"/>
        <w:tblInd w:w="1200"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140"/>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0"/>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20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4"/>
        </w:trPr>
        <w:tc>
          <w:tcPr>
            <w:tcW w:w="4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Cash, cash equivalents and restricted cash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11,119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204"/>
        </w:trPr>
        <w:tc>
          <w:tcPr>
            <w:tcW w:w="4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283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Due from related parties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4,536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w:t>
            </w:r>
          </w:p>
        </w:tc>
      </w:tr>
      <w:tr>
        <w:trPr>
          <w:trHeight w:val="204"/>
        </w:trPr>
        <w:tc>
          <w:tcPr>
            <w:tcW w:w="4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Inventories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5,178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Prepaid expenses and other current assets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3,170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r>
    </w:tbl>
    <w:p>
      <w:pPr>
        <w:sectPr>
          <w:pgSz w:w="11900" w:h="16838" w:orient="portrait"/>
          <w:cols w:equalWidth="0" w:num="1">
            <w:col w:w="9019"/>
          </w:cols>
          <w:pgMar w:left="1440" w:top="94" w:right="1440" w:bottom="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0" w:type="dxa"/>
        <w:tblCellMar>
          <w:top w:w="0" w:type="dxa"/>
          <w:left w:w="0" w:type="dxa"/>
          <w:bottom w:w="0" w:type="dxa"/>
          <w:right w:w="0" w:type="dxa"/>
        </w:tblCellMar>
      </w:tblPr>
      <w:tr>
        <w:trPr>
          <w:trHeight w:val="161"/>
        </w:trPr>
        <w:tc>
          <w:tcPr>
            <w:tcW w:w="1060" w:type="dxa"/>
            <w:vAlign w:val="bottom"/>
            <w:tcBorders>
              <w:left w:val="single" w:sz="8" w:color="CCCCCC"/>
            </w:tcBorders>
          </w:tcPr>
          <w:p>
            <w:pPr>
              <w:spacing w:after="0"/>
              <w:rPr>
                <w:sz w:val="13"/>
                <w:szCs w:val="13"/>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Current Assets  </w:t>
            </w:r>
            <w:r>
              <w:rPr>
                <w:rFonts w:ascii="Times New Roman" w:cs="Times New Roman" w:eastAsia="Times New Roman" w:hAnsi="Times New Roman"/>
                <w:sz w:val="14"/>
                <w:szCs w:val="14"/>
                <w:b w:val="1"/>
                <w:bCs w:val="1"/>
                <w:color w:val="B4B4B4"/>
              </w:rPr>
              <w:t>............................................................................................</w:t>
            </w:r>
          </w:p>
        </w:tc>
        <w:tc>
          <w:tcPr>
            <w:tcW w:w="120" w:type="dxa"/>
            <w:vAlign w:val="bottom"/>
          </w:tcPr>
          <w:p>
            <w:pPr>
              <w:spacing w:after="0"/>
              <w:rPr>
                <w:sz w:val="13"/>
                <w:szCs w:val="13"/>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24,286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5,664</w:t>
            </w:r>
          </w:p>
        </w:tc>
        <w:tc>
          <w:tcPr>
            <w:tcW w:w="10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1060" w:type="dxa"/>
            <w:vAlign w:val="bottom"/>
            <w:tcBorders>
              <w:left w:val="single" w:sz="8" w:color="CCCCCC"/>
            </w:tcBorders>
          </w:tcPr>
          <w:p>
            <w:pPr>
              <w:spacing w:after="0"/>
              <w:rPr>
                <w:sz w:val="2"/>
                <w:szCs w:val="2"/>
                <w:color w:val="auto"/>
              </w:rPr>
            </w:pPr>
          </w:p>
        </w:tc>
        <w:tc>
          <w:tcPr>
            <w:tcW w:w="4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right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060" w:type="dxa"/>
            <w:vAlign w:val="bottom"/>
            <w:tcBorders>
              <w:left w:val="single" w:sz="8" w:color="CCCCCC"/>
            </w:tcBorders>
          </w:tcPr>
          <w:p>
            <w:pPr>
              <w:spacing w:after="0"/>
              <w:rPr>
                <w:sz w:val="13"/>
                <w:szCs w:val="13"/>
                <w:color w:val="auto"/>
              </w:rPr>
            </w:pPr>
          </w:p>
        </w:tc>
        <w:tc>
          <w:tcPr>
            <w:tcW w:w="4860" w:type="dxa"/>
            <w:vAlign w:val="bottom"/>
            <w:gridSpan w:val="3"/>
            <w:vMerge w:val="continue"/>
          </w:tcPr>
          <w:p>
            <w:pPr>
              <w:jc w:val="right"/>
              <w:ind w:right="88"/>
              <w:spacing w:after="0" w:line="99" w:lineRule="exact"/>
              <w:rPr>
                <w:sz w:val="20"/>
                <w:szCs w:val="20"/>
                <w:color w:val="auto"/>
              </w:rPr>
            </w:pPr>
            <w:r>
              <w:rPr>
                <w:rFonts w:ascii="Times New Roman" w:cs="Times New Roman" w:eastAsia="Times New Roman" w:hAnsi="Times New Roman"/>
                <w:sz w:val="11"/>
                <w:szCs w:val="11"/>
                <w:color w:val="B4B4B4"/>
              </w:rPr>
              <w:t>..........................................................................................................</w:t>
            </w:r>
          </w:p>
        </w:tc>
        <w:tc>
          <w:tcPr>
            <w:tcW w:w="880" w:type="dxa"/>
            <w:vAlign w:val="bottom"/>
            <w:tcBorders>
              <w:right w:val="single" w:sz="8" w:color="auto"/>
            </w:tcBorders>
          </w:tcPr>
          <w:p>
            <w:pPr>
              <w:jc w:val="right"/>
              <w:ind w:right="49"/>
              <w:spacing w:after="0" w:line="159" w:lineRule="exact"/>
              <w:rPr>
                <w:sz w:val="20"/>
                <w:szCs w:val="20"/>
                <w:color w:val="auto"/>
              </w:rPr>
            </w:pPr>
            <w:r>
              <w:rPr>
                <w:rFonts w:ascii="Times New Roman" w:cs="Times New Roman" w:eastAsia="Times New Roman" w:hAnsi="Times New Roman"/>
                <w:sz w:val="14"/>
                <w:szCs w:val="14"/>
                <w:color w:val="auto"/>
              </w:rPr>
              <w:t>28,734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14,167</w:t>
            </w:r>
          </w:p>
        </w:tc>
        <w:tc>
          <w:tcPr>
            <w:tcW w:w="10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60" w:type="dxa"/>
            <w:vAlign w:val="bottom"/>
            <w:tcBorders>
              <w:left w:val="single" w:sz="8" w:color="CCCCCC"/>
            </w:tcBorders>
          </w:tcPr>
          <w:p>
            <w:pPr>
              <w:spacing w:after="0"/>
              <w:rPr>
                <w:sz w:val="16"/>
                <w:szCs w:val="16"/>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Property, plant and equipment, net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Intangible assets, net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182,153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Goodwill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667,936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766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Assets  </w:t>
            </w:r>
            <w:r>
              <w:rPr>
                <w:rFonts w:ascii="Times New Roman" w:cs="Times New Roman" w:eastAsia="Times New Roman" w:hAnsi="Times New Roman"/>
                <w:sz w:val="14"/>
                <w:szCs w:val="14"/>
                <w:b w:val="1"/>
                <w:bCs w:val="1"/>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905,289</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21,564</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Accounts payable</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3,248</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Accrued employee benefits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9,273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Accrued expenses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2,478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Related party payables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Related party notes payable - current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Notes payable - current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Patent installment payable - current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Obligation to issue equity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4,158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Warrant liability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Other current liabilities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Current Liabilities </w:t>
            </w:r>
            <w:r>
              <w:rPr>
                <w:rFonts w:ascii="Times New Roman" w:cs="Times New Roman" w:eastAsia="Times New Roman" w:hAnsi="Times New Roman"/>
                <w:sz w:val="14"/>
                <w:szCs w:val="14"/>
                <w:b w:val="1"/>
                <w:bCs w:val="1"/>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69,347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8,168</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Notes payable, net of current portion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13,654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Convertible promissory note, net</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Convertible promissory note due to related party, net</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Embedded derivative liability</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Earnout liability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14,752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Stock-based compensation liability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Patent installment payable, net of current</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12,375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Deferred income taxes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27,353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Liabilities </w:t>
            </w:r>
            <w:r>
              <w:rPr>
                <w:rFonts w:ascii="Times New Roman" w:cs="Times New Roman" w:eastAsia="Times New Roman" w:hAnsi="Times New Roman"/>
                <w:sz w:val="14"/>
                <w:szCs w:val="14"/>
                <w:b w:val="1"/>
                <w:bCs w:val="1"/>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138,996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29,420</w:t>
            </w: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19)</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Mezzanine Capital</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60" w:type="dxa"/>
            <w:vAlign w:val="bottom"/>
            <w:tcBorders>
              <w:left w:val="single" w:sz="8" w:color="CCCCCC"/>
            </w:tcBorders>
          </w:tcPr>
          <w:p>
            <w:pPr>
              <w:spacing w:after="0"/>
              <w:rPr>
                <w:sz w:val="13"/>
                <w:szCs w:val="13"/>
                <w:color w:val="auto"/>
              </w:rPr>
            </w:pPr>
          </w:p>
        </w:tc>
        <w:tc>
          <w:tcPr>
            <w:tcW w:w="474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color w:val="auto"/>
              </w:rPr>
              <w:t>Redeemable Class I Units, no par value, 1,000,000 units authorized, issued</w:t>
            </w:r>
          </w:p>
        </w:tc>
        <w:tc>
          <w:tcPr>
            <w:tcW w:w="120" w:type="dxa"/>
            <w:vAlign w:val="bottom"/>
          </w:tcPr>
          <w:p>
            <w:pPr>
              <w:spacing w:after="0"/>
              <w:rPr>
                <w:sz w:val="13"/>
                <w:szCs w:val="13"/>
                <w:color w:val="auto"/>
              </w:rPr>
            </w:pPr>
          </w:p>
        </w:tc>
        <w:tc>
          <w:tcPr>
            <w:tcW w:w="88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 w:type="dxa"/>
            <w:vAlign w:val="bottom"/>
            <w:tcBorders>
              <w:left w:val="single" w:sz="8" w:color="CCCCCC"/>
            </w:tcBorders>
          </w:tcPr>
          <w:p>
            <w:pPr>
              <w:spacing w:after="0"/>
              <w:rPr>
                <w:sz w:val="15"/>
                <w:szCs w:val="15"/>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and outstanding as of December 31, 2023 </w:t>
            </w:r>
            <w:r>
              <w:rPr>
                <w:rFonts w:ascii="Times New Roman" w:cs="Times New Roman" w:eastAsia="Times New Roman" w:hAnsi="Times New Roman"/>
                <w:sz w:val="14"/>
                <w:szCs w:val="14"/>
                <w:color w:val="B4B4B4"/>
              </w:rPr>
              <w:t>.......................................................</w:t>
            </w:r>
          </w:p>
        </w:tc>
        <w:tc>
          <w:tcPr>
            <w:tcW w:w="120" w:type="dxa"/>
            <w:vAlign w:val="bottom"/>
          </w:tcPr>
          <w:p>
            <w:pPr>
              <w:spacing w:after="0"/>
              <w:rPr>
                <w:sz w:val="15"/>
                <w:szCs w:val="15"/>
                <w:color w:val="auto"/>
              </w:rPr>
            </w:pPr>
          </w:p>
        </w:tc>
        <w:tc>
          <w:tcPr>
            <w:tcW w:w="8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40" w:type="dxa"/>
            <w:vAlign w:val="bottom"/>
            <w:tcBorders>
              <w:right w:val="single" w:sz="8" w:color="CCCCCC"/>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60" w:type="dxa"/>
            <w:vAlign w:val="bottom"/>
            <w:tcBorders>
              <w:left w:val="single" w:sz="8" w:color="CCCCCC"/>
            </w:tcBorders>
          </w:tcPr>
          <w:p>
            <w:pPr>
              <w:spacing w:after="0"/>
              <w:rPr>
                <w:sz w:val="13"/>
                <w:szCs w:val="13"/>
                <w:color w:val="auto"/>
              </w:rPr>
            </w:pPr>
          </w:p>
        </w:tc>
        <w:tc>
          <w:tcPr>
            <w:tcW w:w="474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color w:val="auto"/>
              </w:rPr>
              <w:t>Redeemable Class PCTA Units, no par value, 3,982,675 units authorized,</w:t>
            </w:r>
          </w:p>
        </w:tc>
        <w:tc>
          <w:tcPr>
            <w:tcW w:w="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060" w:type="dxa"/>
            <w:vAlign w:val="bottom"/>
            <w:tcBorders>
              <w:left w:val="single" w:sz="8" w:color="CCCCCC"/>
            </w:tcBorders>
          </w:tcPr>
          <w:p>
            <w:pPr>
              <w:spacing w:after="0"/>
              <w:rPr>
                <w:sz w:val="16"/>
                <w:szCs w:val="16"/>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issuedandoutstandingasofDecember31,2023</w:t>
            </w:r>
          </w:p>
        </w:tc>
        <w:tc>
          <w:tcPr>
            <w:tcW w:w="120" w:type="dxa"/>
            <w:vAlign w:val="bottom"/>
          </w:tcPr>
          <w:p>
            <w:pPr>
              <w:spacing w:after="0"/>
              <w:rPr>
                <w:sz w:val="16"/>
                <w:szCs w:val="16"/>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10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60" w:type="dxa"/>
            <w:vAlign w:val="bottom"/>
            <w:tcBorders>
              <w:left w:val="single" w:sz="8" w:color="CCCCCC"/>
            </w:tcBorders>
          </w:tcPr>
          <w:p>
            <w:pPr>
              <w:spacing w:after="0"/>
              <w:rPr>
                <w:sz w:val="17"/>
                <w:szCs w:val="17"/>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 Equity / Unitholders' Deficit</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60" w:type="dxa"/>
            <w:vAlign w:val="bottom"/>
            <w:tcBorders>
              <w:left w:val="single" w:sz="8" w:color="CCCCCC"/>
            </w:tcBorders>
          </w:tcPr>
          <w:p>
            <w:pPr>
              <w:spacing w:after="0"/>
              <w:rPr>
                <w:sz w:val="13"/>
                <w:szCs w:val="13"/>
                <w:color w:val="auto"/>
              </w:rPr>
            </w:pPr>
          </w:p>
        </w:tc>
        <w:tc>
          <w:tcPr>
            <w:tcW w:w="474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color w:val="auto"/>
              </w:rPr>
              <w:t>Class B Preferred Units, no par value, 4,639,557 units authorized, and</w:t>
            </w:r>
          </w:p>
        </w:tc>
        <w:tc>
          <w:tcPr>
            <w:tcW w:w="120" w:type="dxa"/>
            <w:vAlign w:val="bottom"/>
          </w:tcPr>
          <w:p>
            <w:pPr>
              <w:spacing w:after="0"/>
              <w:rPr>
                <w:sz w:val="13"/>
                <w:szCs w:val="13"/>
                <w:color w:val="auto"/>
              </w:rPr>
            </w:pPr>
          </w:p>
        </w:tc>
        <w:tc>
          <w:tcPr>
            <w:tcW w:w="88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38,122</w:t>
            </w:r>
          </w:p>
        </w:tc>
        <w:tc>
          <w:tcPr>
            <w:tcW w:w="1040" w:type="dxa"/>
            <w:vAlign w:val="bottom"/>
            <w:tcBorders>
              <w:right w:val="single" w:sz="8" w:color="CCCC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60" w:type="dxa"/>
            <w:vAlign w:val="bottom"/>
            <w:tcBorders>
              <w:left w:val="single" w:sz="8" w:color="CCCCCC"/>
            </w:tcBorders>
          </w:tcPr>
          <w:p>
            <w:pPr>
              <w:spacing w:after="0"/>
              <w:rPr>
                <w:sz w:val="11"/>
                <w:szCs w:val="11"/>
                <w:color w:val="auto"/>
              </w:rPr>
            </w:pPr>
          </w:p>
        </w:tc>
        <w:tc>
          <w:tcPr>
            <w:tcW w:w="47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 xml:space="preserve">4,109,961 units issued and outstanding as of December 31, 2023 </w:t>
            </w:r>
            <w:r>
              <w:rPr>
                <w:rFonts w:ascii="Times New Roman" w:cs="Times New Roman" w:eastAsia="Times New Roman" w:hAnsi="Times New Roman"/>
                <w:sz w:val="12"/>
                <w:szCs w:val="12"/>
                <w:color w:val="B4B4B4"/>
              </w:rPr>
              <w:t>..................</w:t>
            </w:r>
          </w:p>
        </w:tc>
        <w:tc>
          <w:tcPr>
            <w:tcW w:w="12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4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060" w:type="dxa"/>
            <w:vAlign w:val="bottom"/>
            <w:tcBorders>
              <w:left w:val="single" w:sz="8" w:color="CCCCCC"/>
            </w:tcBorders>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4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10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740" w:type="dxa"/>
            <w:vAlign w:val="bottom"/>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rPr>
              <w:t>F-4</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1060" w:type="dxa"/>
            <w:vAlign w:val="bottom"/>
            <w:tcBorders>
              <w:left w:val="single" w:sz="8" w:color="CCCCCC"/>
            </w:tcBorders>
          </w:tcPr>
          <w:p>
            <w:pPr>
              <w:spacing w:after="0"/>
              <w:rPr>
                <w:sz w:val="24"/>
                <w:szCs w:val="24"/>
                <w:color w:val="auto"/>
              </w:rPr>
            </w:pPr>
          </w:p>
        </w:tc>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CCCCCC"/>
              <w:bottom w:val="single" w:sz="8" w:color="CCCCCC"/>
            </w:tcBorders>
          </w:tcPr>
          <w:p>
            <w:pPr>
              <w:spacing w:after="0"/>
              <w:rPr>
                <w:sz w:val="18"/>
                <w:szCs w:val="18"/>
                <w:color w:val="auto"/>
              </w:rPr>
            </w:pPr>
          </w:p>
        </w:tc>
        <w:tc>
          <w:tcPr>
            <w:tcW w:w="1000" w:type="dxa"/>
            <w:vAlign w:val="bottom"/>
            <w:tcBorders>
              <w:bottom w:val="single" w:sz="8" w:color="CCCCCC"/>
            </w:tcBorders>
            <w:shd w:val="clear" w:color="auto" w:fill="CCEEFF"/>
          </w:tcPr>
          <w:p>
            <w:pPr>
              <w:spacing w:after="0"/>
              <w:rPr>
                <w:sz w:val="18"/>
                <w:szCs w:val="18"/>
                <w:color w:val="auto"/>
              </w:rPr>
            </w:pPr>
          </w:p>
        </w:tc>
        <w:tc>
          <w:tcPr>
            <w:tcW w:w="3740" w:type="dxa"/>
            <w:vAlign w:val="bottom"/>
            <w:tcBorders>
              <w:bottom w:val="single" w:sz="8" w:color="CCCCCC"/>
            </w:tcBorders>
            <w:shd w:val="clear" w:color="auto" w:fill="CCEEFF"/>
          </w:tcPr>
          <w:p>
            <w:pPr>
              <w:spacing w:after="0"/>
              <w:rPr>
                <w:sz w:val="18"/>
                <w:szCs w:val="18"/>
                <w:color w:val="auto"/>
              </w:rPr>
            </w:pPr>
          </w:p>
        </w:tc>
        <w:tc>
          <w:tcPr>
            <w:tcW w:w="120" w:type="dxa"/>
            <w:vAlign w:val="bottom"/>
            <w:tcBorders>
              <w:bottom w:val="single" w:sz="8" w:color="CCCCCC"/>
            </w:tcBorders>
            <w:shd w:val="clear" w:color="auto" w:fill="CCEEFF"/>
          </w:tcPr>
          <w:p>
            <w:pPr>
              <w:spacing w:after="0"/>
              <w:rPr>
                <w:sz w:val="18"/>
                <w:szCs w:val="18"/>
                <w:color w:val="auto"/>
              </w:rPr>
            </w:pPr>
          </w:p>
        </w:tc>
        <w:tc>
          <w:tcPr>
            <w:tcW w:w="880" w:type="dxa"/>
            <w:vAlign w:val="bottom"/>
            <w:tcBorders>
              <w:bottom w:val="single" w:sz="8" w:color="CCCCCC"/>
              <w:right w:val="single" w:sz="8" w:color="auto"/>
            </w:tcBorders>
            <w:shd w:val="clear" w:color="auto" w:fill="CCEEFF"/>
          </w:tcPr>
          <w:p>
            <w:pPr>
              <w:spacing w:after="0"/>
              <w:rPr>
                <w:sz w:val="18"/>
                <w:szCs w:val="18"/>
                <w:color w:val="auto"/>
              </w:rPr>
            </w:pPr>
          </w:p>
        </w:tc>
        <w:tc>
          <w:tcPr>
            <w:tcW w:w="20" w:type="dxa"/>
            <w:vAlign w:val="bottom"/>
            <w:tcBorders>
              <w:bottom w:val="single" w:sz="8" w:color="CCCCCC"/>
            </w:tcBorders>
            <w:shd w:val="clear" w:color="auto" w:fill="CCEEFF"/>
          </w:tcPr>
          <w:p>
            <w:pPr>
              <w:spacing w:after="0"/>
              <w:rPr>
                <w:sz w:val="18"/>
                <w:szCs w:val="18"/>
                <w:color w:val="auto"/>
              </w:rPr>
            </w:pPr>
          </w:p>
        </w:tc>
        <w:tc>
          <w:tcPr>
            <w:tcW w:w="120" w:type="dxa"/>
            <w:vAlign w:val="bottom"/>
            <w:tcBorders>
              <w:bottom w:val="single" w:sz="8" w:color="CCCCCC"/>
            </w:tcBorders>
            <w:shd w:val="clear" w:color="auto" w:fill="CCEEFF"/>
          </w:tcPr>
          <w:p>
            <w:pPr>
              <w:spacing w:after="0"/>
              <w:rPr>
                <w:sz w:val="18"/>
                <w:szCs w:val="18"/>
                <w:color w:val="auto"/>
              </w:rPr>
            </w:pPr>
          </w:p>
        </w:tc>
        <w:tc>
          <w:tcPr>
            <w:tcW w:w="820" w:type="dxa"/>
            <w:vAlign w:val="bottom"/>
            <w:tcBorders>
              <w:bottom w:val="single" w:sz="8" w:color="CCCCCC"/>
            </w:tcBorders>
            <w:shd w:val="clear" w:color="auto" w:fill="CCEEFF"/>
          </w:tcPr>
          <w:p>
            <w:pPr>
              <w:spacing w:after="0"/>
              <w:rPr>
                <w:sz w:val="18"/>
                <w:szCs w:val="18"/>
                <w:color w:val="auto"/>
              </w:rPr>
            </w:pPr>
          </w:p>
        </w:tc>
        <w:tc>
          <w:tcPr>
            <w:tcW w:w="1040" w:type="dxa"/>
            <w:vAlign w:val="bottom"/>
            <w:tcBorders>
              <w:bottom w:val="single" w:sz="8" w:color="CCCCCC"/>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06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374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80" w:type="dxa"/>
            <w:vAlign w:val="bottom"/>
            <w:tcBorders>
              <w:bottom w:val="single" w:sz="8" w:color="CCCCCC"/>
            </w:tcBorders>
          </w:tcPr>
          <w:p>
            <w:pPr>
              <w:spacing w:after="0"/>
              <w:rPr>
                <w:sz w:val="8"/>
                <w:szCs w:val="8"/>
                <w:color w:val="auto"/>
              </w:rPr>
            </w:pPr>
          </w:p>
        </w:tc>
        <w:tc>
          <w:tcPr>
            <w:tcW w:w="20" w:type="dxa"/>
            <w:vAlign w:val="bottom"/>
            <w:tcBorders>
              <w:bottom w:val="single" w:sz="8" w:color="CCCCCC"/>
            </w:tcBorders>
          </w:tcPr>
          <w:p>
            <w:pPr>
              <w:spacing w:after="0"/>
              <w:rPr>
                <w:sz w:val="8"/>
                <w:szCs w:val="8"/>
                <w:color w:val="auto"/>
              </w:rPr>
            </w:pPr>
          </w:p>
        </w:tc>
        <w:tc>
          <w:tcPr>
            <w:tcW w:w="120" w:type="dxa"/>
            <w:vAlign w:val="bottom"/>
            <w:tcBorders>
              <w:bottom w:val="single" w:sz="8" w:color="CCCCCC"/>
            </w:tcBorders>
          </w:tcPr>
          <w:p>
            <w:pPr>
              <w:spacing w:after="0"/>
              <w:rPr>
                <w:sz w:val="8"/>
                <w:szCs w:val="8"/>
                <w:color w:val="auto"/>
              </w:rPr>
            </w:pPr>
          </w:p>
        </w:tc>
        <w:tc>
          <w:tcPr>
            <w:tcW w:w="820" w:type="dxa"/>
            <w:vAlign w:val="bottom"/>
            <w:tcBorders>
              <w:bottom w:val="single" w:sz="8" w:color="CCCCCC"/>
            </w:tcBorders>
          </w:tcPr>
          <w:p>
            <w:pPr>
              <w:spacing w:after="0"/>
              <w:rPr>
                <w:sz w:val="8"/>
                <w:szCs w:val="8"/>
                <w:color w:val="auto"/>
              </w:rPr>
            </w:pPr>
          </w:p>
        </w:tc>
        <w:tc>
          <w:tcPr>
            <w:tcW w:w="1040" w:type="dxa"/>
            <w:vAlign w:val="bottom"/>
            <w:tcBorders>
              <w:bottom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0000F9"/>
              </w:rPr>
              <w:t>Table of Contents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1000" w:type="dxa"/>
            <w:vAlign w:val="bottom"/>
            <w:tcBorders>
              <w:top w:val="single" w:sz="8" w:color="0000F9"/>
            </w:tcBorders>
          </w:tcPr>
          <w:p>
            <w:pPr>
              <w:spacing w:after="0"/>
              <w:rPr>
                <w:sz w:val="24"/>
                <w:szCs w:val="24"/>
                <w:color w:val="auto"/>
              </w:rPr>
            </w:pPr>
          </w:p>
        </w:tc>
        <w:tc>
          <w:tcPr>
            <w:tcW w:w="374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4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7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09"/>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2"/>
          </w:tcPr>
          <w:p>
            <w:pPr>
              <w:jc w:val="center"/>
              <w:ind w:right="116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0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1"/>
                <w:szCs w:val="11"/>
                <w:color w:val="auto"/>
              </w:rPr>
            </w:pPr>
          </w:p>
        </w:tc>
        <w:tc>
          <w:tcPr>
            <w:tcW w:w="47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color w:val="auto"/>
              </w:rPr>
              <w:t>Class B-1 Preferred Units, no par value, 2,600,000 units authorized, and</w:t>
            </w:r>
          </w:p>
        </w:tc>
        <w:tc>
          <w:tcPr>
            <w:tcW w:w="120" w:type="dxa"/>
            <w:vAlign w:val="bottom"/>
          </w:tcPr>
          <w:p>
            <w:pPr>
              <w:spacing w:after="0"/>
              <w:rPr>
                <w:sz w:val="11"/>
                <w:szCs w:val="11"/>
                <w:color w:val="auto"/>
              </w:rPr>
            </w:pPr>
          </w:p>
        </w:tc>
        <w:tc>
          <w:tcPr>
            <w:tcW w:w="88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342,608 units issued and outstanding as of December 31, 2023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4740" w:type="dxa"/>
            <w:vAlign w:val="bottom"/>
            <w:gridSpan w:val="2"/>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Class A Units, no par value, 10,975,000 units authorized, and 10,875,000</w:t>
            </w:r>
          </w:p>
        </w:tc>
        <w:tc>
          <w:tcPr>
            <w:tcW w:w="12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60" w:type="dxa"/>
            <w:vAlign w:val="bottom"/>
          </w:tcPr>
          <w:p>
            <w:pPr>
              <w:spacing w:after="0"/>
              <w:rPr>
                <w:sz w:val="16"/>
                <w:szCs w:val="16"/>
                <w:color w:val="auto"/>
              </w:rPr>
            </w:pPr>
          </w:p>
        </w:tc>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units issued and outstanding as of December 31, 2023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60" w:type="dxa"/>
            <w:vAlign w:val="bottom"/>
          </w:tcPr>
          <w:p>
            <w:pPr>
              <w:spacing w:after="0"/>
              <w:rPr>
                <w:sz w:val="12"/>
                <w:szCs w:val="12"/>
                <w:color w:val="auto"/>
              </w:rPr>
            </w:pPr>
          </w:p>
        </w:tc>
        <w:tc>
          <w:tcPr>
            <w:tcW w:w="474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4"/>
                <w:szCs w:val="14"/>
                <w:color w:val="auto"/>
              </w:rPr>
              <w:t>Class C Units, no par value, 1,585,125 units authorized, and 1,570,125 units</w:t>
            </w:r>
          </w:p>
        </w:tc>
        <w:tc>
          <w:tcPr>
            <w:tcW w:w="12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issued and outstanding as of December 31, 2023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4740" w:type="dxa"/>
            <w:vAlign w:val="bottom"/>
            <w:gridSpan w:val="2"/>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Preferred Stock, $0.0001 par value, 25,000,000 shares authorized, and</w:t>
            </w:r>
          </w:p>
        </w:tc>
        <w:tc>
          <w:tcPr>
            <w:tcW w:w="12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60" w:type="dxa"/>
            <w:vAlign w:val="bottom"/>
          </w:tcPr>
          <w:p>
            <w:pPr>
              <w:spacing w:after="0"/>
              <w:rPr>
                <w:sz w:val="16"/>
                <w:szCs w:val="16"/>
                <w:color w:val="auto"/>
              </w:rPr>
            </w:pPr>
          </w:p>
        </w:tc>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1,102,000 shares issued and outstanding as of December 31, 2024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60" w:type="dxa"/>
            <w:vAlign w:val="bottom"/>
          </w:tcPr>
          <w:p>
            <w:pPr>
              <w:spacing w:after="0"/>
              <w:rPr>
                <w:sz w:val="12"/>
                <w:szCs w:val="12"/>
                <w:color w:val="auto"/>
              </w:rPr>
            </w:pPr>
          </w:p>
        </w:tc>
        <w:tc>
          <w:tcPr>
            <w:tcW w:w="474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4"/>
                <w:szCs w:val="14"/>
                <w:color w:val="auto"/>
              </w:rPr>
              <w:t>Common Stock, $0.0001 par value, 250,000,000 shares authorized, and</w:t>
            </w:r>
          </w:p>
        </w:tc>
        <w:tc>
          <w:tcPr>
            <w:tcW w:w="12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44,597,154 shares issued and outstanding as of December 31, 2024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Additional paid-in capital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502,865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47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gain (loss)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deficit</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(78,262)</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474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Total Innventure, Inc., Stockholders’ Equity/ Innventure LLC Unitholders'</w:t>
            </w:r>
          </w:p>
        </w:tc>
        <w:tc>
          <w:tcPr>
            <w:tcW w:w="120" w:type="dxa"/>
            <w:vAlign w:val="bottom"/>
          </w:tcPr>
          <w:p>
            <w:pPr>
              <w:spacing w:after="0"/>
              <w:rPr>
                <w:sz w:val="10"/>
                <w:szCs w:val="10"/>
                <w:color w:val="auto"/>
              </w:rPr>
            </w:pPr>
          </w:p>
        </w:tc>
        <w:tc>
          <w:tcPr>
            <w:tcW w:w="880" w:type="dxa"/>
            <w:vAlign w:val="bottom"/>
            <w:tcBorders>
              <w:right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425,516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(20,045)</w:t>
            </w: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48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xml:space="preserve">Deficit </w:t>
            </w:r>
            <w:r>
              <w:rPr>
                <w:rFonts w:ascii="Times New Roman" w:cs="Times New Roman" w:eastAsia="Times New Roman" w:hAnsi="Times New Roman"/>
                <w:sz w:val="14"/>
                <w:szCs w:val="14"/>
                <w:b w:val="1"/>
                <w:bCs w:val="1"/>
                <w:color w:val="B4B4B4"/>
              </w:rPr>
              <w:t>...................................................................................................................</w:t>
            </w:r>
          </w:p>
        </w:tc>
        <w:tc>
          <w:tcPr>
            <w:tcW w:w="8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60" w:type="dxa"/>
            <w:vAlign w:val="bottom"/>
          </w:tcPr>
          <w:p>
            <w:pPr>
              <w:spacing w:after="0"/>
              <w:rPr>
                <w:sz w:val="17"/>
                <w:szCs w:val="17"/>
                <w:color w:val="auto"/>
              </w:rPr>
            </w:pPr>
          </w:p>
        </w:tc>
        <w:tc>
          <w:tcPr>
            <w:tcW w:w="4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Non-controlling interest</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340,777</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TotalStockholders'Equity/Unitholders'Deficit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4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TotalLiabilities,MezzanineCapitalandEquity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905,289</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9019"/>
          </w:cols>
          <w:pgMar w:left="1440" w:top="125" w:right="1440"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9019"/>
          </w:cols>
          <w:pgMar w:left="1440" w:top="125" w:right="1440" w:bottom="1440" w:gutter="0" w:footer="0" w:header="0"/>
          <w:type w:val="continuous"/>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(Loss)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6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1"/>
        </w:trPr>
        <w:tc>
          <w:tcPr>
            <w:tcW w:w="36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right w:val="single" w:sz="8" w:color="auto"/>
            </w:tcBorders>
          </w:tcPr>
          <w:p>
            <w:pPr>
              <w:jc w:val="center"/>
              <w:ind w:right="110"/>
              <w:spacing w:after="0" w:line="101"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8"/>
                <w:szCs w:val="8"/>
                <w:color w:val="auto"/>
              </w:rPr>
            </w:pPr>
          </w:p>
        </w:tc>
        <w:tc>
          <w:tcPr>
            <w:tcW w:w="980" w:type="dxa"/>
            <w:vAlign w:val="bottom"/>
            <w:tcBorders>
              <w:top w:val="single" w:sz="8" w:color="auto"/>
            </w:tcBorders>
            <w:gridSpan w:val="3"/>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7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1120" w:type="dxa"/>
            <w:vAlign w:val="bottom"/>
            <w:tcBorders>
              <w:right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through December</w:t>
            </w:r>
          </w:p>
        </w:tc>
        <w:tc>
          <w:tcPr>
            <w:tcW w:w="20" w:type="dxa"/>
            <w:vAlign w:val="bottom"/>
          </w:tcPr>
          <w:p>
            <w:pPr>
              <w:spacing w:after="0"/>
              <w:rPr>
                <w:sz w:val="10"/>
                <w:szCs w:val="10"/>
                <w:color w:val="auto"/>
              </w:rPr>
            </w:pPr>
          </w:p>
        </w:tc>
        <w:tc>
          <w:tcPr>
            <w:tcW w:w="98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6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456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1,117</w:t>
            </w:r>
          </w:p>
        </w:tc>
        <w:tc>
          <w:tcPr>
            <w:tcW w:w="0" w:type="dxa"/>
            <w:vAlign w:val="bottom"/>
          </w:tcPr>
          <w:p>
            <w:pPr>
              <w:spacing w:after="0"/>
              <w:rPr>
                <w:sz w:val="1"/>
                <w:szCs w:val="1"/>
                <w:color w:val="auto"/>
              </w:rPr>
            </w:pPr>
          </w:p>
        </w:tc>
      </w:tr>
      <w:tr>
        <w:trPr>
          <w:trHeight w:val="172"/>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Cost of sales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3,752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29,652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17,589</w:t>
            </w: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2,009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5,340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0" w:type="dxa"/>
            <w:vAlign w:val="bottom"/>
          </w:tcPr>
          <w:p>
            <w:pPr>
              <w:spacing w:after="0"/>
              <w:rPr>
                <w:sz w:val="1"/>
                <w:szCs w:val="1"/>
                <w:color w:val="auto"/>
              </w:rPr>
            </w:pPr>
          </w:p>
        </w:tc>
      </w:tr>
      <w:tr>
        <w:trPr>
          <w:trHeight w:val="181"/>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TotalOperatingExpenses</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40,753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37,541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24,795</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Loss from Operations </w:t>
            </w:r>
            <w:r>
              <w:rPr>
                <w:rFonts w:ascii="Times New Roman" w:cs="Times New Roman" w:eastAsia="Times New Roman" w:hAnsi="Times New Roman"/>
                <w:sz w:val="14"/>
                <w:szCs w:val="14"/>
                <w:b w:val="1"/>
                <w:bCs w:val="1"/>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(40,297)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(23,678)</w:t>
            </w:r>
          </w:p>
        </w:tc>
        <w:tc>
          <w:tcPr>
            <w:tcW w:w="0" w:type="dxa"/>
            <w:vAlign w:val="bottom"/>
          </w:tcPr>
          <w:p>
            <w:pPr>
              <w:spacing w:after="0"/>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Non-operating (Expense) and Income</w:t>
            </w:r>
          </w:p>
        </w:tc>
        <w:tc>
          <w:tcPr>
            <w:tcW w:w="1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Interest expense, net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Net gain (loss) from investments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Net (loss) gain on investments - due to related parties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Change in fair value of financial liabilities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(20,946)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Equity method investment (loss) income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Loss on conversion of promissory notes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Write-off of loan commitment fee asset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Miscellaneous other expense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TotalNon-operating(Expense)Income</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(33,078)</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9,011</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(7,306)</w:t>
            </w:r>
          </w:p>
        </w:tc>
        <w:tc>
          <w:tcPr>
            <w:tcW w:w="0" w:type="dxa"/>
            <w:vAlign w:val="bottom"/>
          </w:tcPr>
          <w:p>
            <w:pPr>
              <w:spacing w:after="0"/>
              <w:rPr>
                <w:sz w:val="1"/>
                <w:szCs w:val="1"/>
                <w:color w:val="auto"/>
              </w:rPr>
            </w:pPr>
          </w:p>
        </w:tc>
      </w:tr>
      <w:tr>
        <w:trPr>
          <w:trHeight w:val="181"/>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LossbeforeIncomeTaxes</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(73,375)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(27,766)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Income tax expense (benefit)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(3,282)</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NetLoss</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(70,093)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(28,198)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net loss attributable to</w:t>
            </w:r>
          </w:p>
        </w:tc>
        <w:tc>
          <w:tcPr>
            <w:tcW w:w="12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Non-redeemable non-controlling interest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(8,339)</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25"/>
        </w:trPr>
        <w:tc>
          <w:tcPr>
            <w:tcW w:w="364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Net Loss Attributable to Innventure, Inc. Stockholders /</w:t>
            </w:r>
          </w:p>
        </w:tc>
        <w:tc>
          <w:tcPr>
            <w:tcW w:w="120" w:type="dxa"/>
            <w:vAlign w:val="bottom"/>
            <w:shd w:val="clear" w:color="auto" w:fill="CCEEFF"/>
          </w:tcPr>
          <w:p>
            <w:pPr>
              <w:spacing w:after="0"/>
              <w:rPr>
                <w:sz w:val="10"/>
                <w:szCs w:val="10"/>
                <w:color w:val="auto"/>
              </w:rPr>
            </w:pPr>
          </w:p>
        </w:tc>
        <w:tc>
          <w:tcPr>
            <w:tcW w:w="100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(61,754)</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(16,436)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(30,845)</w:t>
            </w:r>
          </w:p>
        </w:tc>
        <w:tc>
          <w:tcPr>
            <w:tcW w:w="0" w:type="dxa"/>
            <w:vAlign w:val="bottom"/>
          </w:tcPr>
          <w:p>
            <w:pPr>
              <w:spacing w:after="0"/>
              <w:rPr>
                <w:sz w:val="1"/>
                <w:szCs w:val="1"/>
                <w:color w:val="auto"/>
              </w:rPr>
            </w:pPr>
          </w:p>
        </w:tc>
      </w:tr>
      <w:tr>
        <w:trPr>
          <w:trHeight w:val="190"/>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Innventure LLC Unitholders </w:t>
            </w:r>
            <w:r>
              <w:rPr>
                <w:rFonts w:ascii="Times New Roman" w:cs="Times New Roman" w:eastAsia="Times New Roman" w:hAnsi="Times New Roman"/>
                <w:sz w:val="14"/>
                <w:szCs w:val="14"/>
                <w:b w:val="1"/>
                <w:bCs w:val="1"/>
                <w:color w:val="B4B4B4"/>
              </w:rPr>
              <w:t>.............................................</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Basic and diluted loss per share </w:t>
            </w:r>
            <w:r>
              <w:rPr>
                <w:rFonts w:ascii="Times New Roman" w:cs="Times New Roman" w:eastAsia="Times New Roman" w:hAnsi="Times New Roman"/>
                <w:sz w:val="14"/>
                <w:szCs w:val="14"/>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Basic and diluted weighted average common shares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43,951,279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taxes:</w:t>
            </w:r>
          </w:p>
        </w:tc>
        <w:tc>
          <w:tcPr>
            <w:tcW w:w="1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64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4"/>
                <w:szCs w:val="14"/>
                <w:color w:val="auto"/>
              </w:rPr>
              <w:t>Unrealized gain on available-for-sale debt securities -</w:t>
            </w:r>
          </w:p>
        </w:tc>
        <w:tc>
          <w:tcPr>
            <w:tcW w:w="120" w:type="dxa"/>
            <w:vAlign w:val="bottom"/>
            <w:shd w:val="clear" w:color="auto" w:fill="CCEEFF"/>
          </w:tcPr>
          <w:p>
            <w:pPr>
              <w:spacing w:after="0"/>
              <w:rPr>
                <w:sz w:val="12"/>
                <w:szCs w:val="12"/>
                <w:color w:val="auto"/>
              </w:rPr>
            </w:pPr>
          </w:p>
        </w:tc>
        <w:tc>
          <w:tcPr>
            <w:tcW w:w="1000" w:type="dxa"/>
            <w:vAlign w:val="bottom"/>
            <w:tcBorders>
              <w:right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909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related party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Totalothercomprehensiveloss,netoftaxes</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909</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Totalcomprehensiveloss,netoftaxes</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(69,184)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(28,136)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Less: comprehensive income attributable to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Non-redeemable non-controlling interest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(8,339)</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25"/>
        </w:trPr>
        <w:tc>
          <w:tcPr>
            <w:tcW w:w="3640" w:type="dxa"/>
            <w:vAlign w:val="bottom"/>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Net Comprehensive Loss Attributable to Innventure, Inc.</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(60,845)</w:t>
            </w:r>
          </w:p>
        </w:tc>
        <w:tc>
          <w:tcPr>
            <w:tcW w:w="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(16,374)</w:t>
            </w:r>
          </w:p>
        </w:tc>
        <w:tc>
          <w:tcPr>
            <w:tcW w:w="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(30,845)</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Stockholders / Innventure LLC Unitholders </w:t>
            </w:r>
            <w:r>
              <w:rPr>
                <w:rFonts w:ascii="Times New Roman" w:cs="Times New Roman" w:eastAsia="Times New Roman" w:hAnsi="Times New Roman"/>
                <w:sz w:val="14"/>
                <w:szCs w:val="14"/>
                <w:b w:val="1"/>
                <w:bCs w:val="1"/>
                <w:color w:val="B4B4B4"/>
              </w:rPr>
              <w:t>.....................</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Mezzanine Capital (Predecessor)</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70" w:lineRule="exact"/>
        <w:rPr>
          <w:sz w:val="20"/>
          <w:szCs w:val="20"/>
          <w:color w:val="auto"/>
        </w:rPr>
      </w:pPr>
    </w:p>
    <w:tbl>
      <w:tblPr>
        <w:tblLayout w:type="fixed"/>
        <w:tblInd w:w="5060" w:type="dxa"/>
        <w:tblCellMar>
          <w:top w:w="0" w:type="dxa"/>
          <w:left w:w="0" w:type="dxa"/>
          <w:bottom w:w="0" w:type="dxa"/>
          <w:right w:w="0" w:type="dxa"/>
        </w:tblCellMar>
      </w:tblPr>
      <w:tr>
        <w:trPr>
          <w:trHeight w:val="126"/>
        </w:trPr>
        <w:tc>
          <w:tcPr>
            <w:tcW w:w="9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I Amount</w:t>
            </w:r>
          </w:p>
        </w:tc>
        <w:tc>
          <w:tcPr>
            <w:tcW w:w="102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Class PCTA</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50"/>
        </w:trPr>
        <w:tc>
          <w:tcPr>
            <w:tcW w:w="900" w:type="dxa"/>
            <w:vAlign w:val="bottom"/>
            <w:vMerge w:val="continue"/>
          </w:tcPr>
          <w:p>
            <w:pPr>
              <w:spacing w:after="0"/>
              <w:rPr>
                <w:sz w:val="13"/>
                <w:szCs w:val="13"/>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83" w:orient="portrait"/>
          <w:cols w:equalWidth="0" w:num="1">
            <w:col w:w="9019"/>
          </w:cols>
          <w:pgMar w:left="1440" w:top="1440" w:right="1440" w:bottom="0" w:gutter="0" w:footer="0" w:header="0"/>
        </w:sectPr>
      </w:pPr>
    </w:p>
    <w:p>
      <w:pPr>
        <w:ind w:left="1200"/>
        <w:spacing w:after="0"/>
        <w:tabs>
          <w:tab w:leader="none" w:pos="5500" w:val="left"/>
          <w:tab w:leader="none" w:pos="5960" w:val="left"/>
          <w:tab w:leader="none" w:pos="6400" w:val="left"/>
          <w:tab w:leader="none" w:pos="6940" w:val="left"/>
          <w:tab w:leader="none" w:pos="7380" w:val="left"/>
        </w:tabs>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auto"/>
        </w:rPr>
        <w:t xml:space="preserve"> $</w:t>
      </w:r>
      <w:r>
        <w:rPr>
          <w:sz w:val="20"/>
          <w:szCs w:val="20"/>
          <w:color w:val="auto"/>
        </w:rPr>
        <w:tab/>
      </w:r>
      <w:r>
        <w:rPr>
          <w:rFonts w:ascii="Times New Roman" w:cs="Times New Roman" w:eastAsia="Times New Roman" w:hAnsi="Times New Roman"/>
          <w:sz w:val="14"/>
          <w:szCs w:val="14"/>
          <w:b w:val="1"/>
          <w:bCs w:val="1"/>
          <w:color w:val="auto"/>
        </w:rPr>
        <w:t>2,984</w:t>
        <w:tab/>
        <w:t>$</w:t>
      </w:r>
      <w:r>
        <w:rPr>
          <w:sz w:val="20"/>
          <w:szCs w:val="20"/>
          <w:color w:val="auto"/>
        </w:rPr>
        <w:tab/>
      </w:r>
      <w:r>
        <w:rPr>
          <w:rFonts w:ascii="Times New Roman" w:cs="Times New Roman" w:eastAsia="Times New Roman" w:hAnsi="Times New Roman"/>
          <w:sz w:val="14"/>
          <w:szCs w:val="14"/>
          <w:b w:val="1"/>
          <w:bCs w:val="1"/>
          <w:color w:val="auto"/>
        </w:rPr>
        <w:t>12,882</w:t>
        <w:tab/>
        <w:t>$</w:t>
      </w:r>
      <w:r>
        <w:rPr>
          <w:sz w:val="20"/>
          <w:szCs w:val="20"/>
          <w:color w:val="auto"/>
        </w:rPr>
        <w:tab/>
      </w:r>
      <w:r>
        <w:rPr>
          <w:rFonts w:ascii="Times New Roman" w:cs="Times New Roman" w:eastAsia="Times New Roman" w:hAnsi="Times New Roman"/>
          <w:sz w:val="14"/>
          <w:szCs w:val="14"/>
          <w:b w:val="1"/>
          <w:bCs w:val="1"/>
          <w:color w:val="auto"/>
        </w:rPr>
        <w:t>15,866</w:t>
      </w:r>
    </w:p>
    <w:p>
      <w:pPr>
        <w:sectPr>
          <w:pgSz w:w="11900" w:h="16883" w:orient="portrait"/>
          <w:cols w:equalWidth="0" w:num="1">
            <w:col w:w="9019"/>
          </w:cols>
          <w:pgMar w:left="1440" w:top="1440" w:right="1440" w:bottom="0" w:gutter="0" w:footer="0" w:header="0"/>
          <w:type w:val="continuous"/>
        </w:sectPr>
      </w:pPr>
    </w:p>
    <w:bookmarkStart w:id="79" w:name="page80"/>
    <w:bookmarkEnd w:id="79"/>
    <w:tbl>
      <w:tblPr>
        <w:tblLayout w:type="fixed"/>
        <w:tblInd w:w="1260" w:type="dxa"/>
        <w:tblCellMar>
          <w:top w:w="0" w:type="dxa"/>
          <w:left w:w="0" w:type="dxa"/>
          <w:bottom w:w="0" w:type="dxa"/>
          <w:right w:w="0" w:type="dxa"/>
        </w:tblCellMar>
      </w:tblPr>
      <w:tr>
        <w:trPr>
          <w:trHeight w:val="186"/>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Proceeds from capital calls to unitholders </w:t>
            </w:r>
            <w:r>
              <w:rPr>
                <w:rFonts w:ascii="Times New Roman" w:cs="Times New Roman" w:eastAsia="Times New Roman" w:hAnsi="Times New Roman"/>
                <w:sz w:val="14"/>
                <w:szCs w:val="14"/>
                <w:color w:val="B4B4B4"/>
              </w:rPr>
              <w:t>.................................</w:t>
            </w:r>
          </w:p>
        </w:tc>
        <w:tc>
          <w:tcPr>
            <w:tcW w:w="3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Accretionofredeemableunitstoredemptionvalue</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December31,2023</w:t>
            </w:r>
          </w:p>
        </w:tc>
        <w:tc>
          <w:tcPr>
            <w:tcW w:w="3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2,912</w:t>
            </w:r>
          </w:p>
        </w:tc>
        <w:tc>
          <w:tcPr>
            <w:tcW w:w="3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7,718</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10,630</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Accretionofredeemableunitstoredemptionvalue</w:t>
            </w:r>
          </w:p>
        </w:tc>
        <w:tc>
          <w:tcPr>
            <w:tcW w:w="3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1,565</w:t>
            </w:r>
          </w:p>
        </w:tc>
        <w:tc>
          <w:tcPr>
            <w:tcW w:w="32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10,385</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11,950</w:t>
            </w:r>
          </w:p>
        </w:tc>
      </w:tr>
      <w:tr>
        <w:trPr>
          <w:trHeight w:val="204"/>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October1,2024</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4,477</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18,103</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22,580</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F-7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4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Class B-1</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0"/>
                <w:szCs w:val="10"/>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4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2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120" w:type="dxa"/>
            <w:vAlign w:val="bottom"/>
          </w:tcPr>
          <w:p>
            <w:pPr>
              <w:spacing w:after="0"/>
              <w:rPr>
                <w:sz w:val="10"/>
                <w:szCs w:val="10"/>
                <w:color w:val="auto"/>
              </w:rPr>
            </w:pPr>
          </w:p>
        </w:tc>
        <w:tc>
          <w:tcPr>
            <w:tcW w:w="760" w:type="dxa"/>
            <w:vAlign w:val="bottom"/>
          </w:tcPr>
          <w:p>
            <w:pPr>
              <w:jc w:val="center"/>
              <w:ind w:right="51"/>
              <w:spacing w:after="0" w:line="119" w:lineRule="exact"/>
              <w:rPr>
                <w:sz w:val="20"/>
                <w:szCs w:val="20"/>
                <w:color w:val="auto"/>
              </w:rPr>
            </w:pPr>
            <w:r>
              <w:rPr>
                <w:rFonts w:ascii="Times New Roman" w:cs="Times New Roman" w:eastAsia="Times New Roman" w:hAnsi="Times New Roman"/>
                <w:sz w:val="11"/>
                <w:szCs w:val="11"/>
                <w:b w:val="1"/>
                <w:bCs w:val="1"/>
                <w:color w:val="auto"/>
              </w:rPr>
              <w:t>Unitholders'</w:t>
            </w:r>
          </w:p>
        </w:tc>
        <w:tc>
          <w:tcPr>
            <w:tcW w:w="0" w:type="dxa"/>
            <w:vAlign w:val="bottom"/>
          </w:tcPr>
          <w:p>
            <w:pPr>
              <w:spacing w:after="0"/>
              <w:rPr>
                <w:sz w:val="1"/>
                <w:szCs w:val="1"/>
                <w:color w:val="auto"/>
              </w:rPr>
            </w:pPr>
          </w:p>
        </w:tc>
      </w:tr>
      <w:tr>
        <w:trPr>
          <w:trHeight w:val="154"/>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4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OCI</w:t>
            </w:r>
          </w:p>
        </w:tc>
        <w:tc>
          <w:tcPr>
            <w:tcW w:w="16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3"/>
                <w:szCs w:val="13"/>
                <w:color w:val="auto"/>
              </w:rPr>
            </w:pPr>
          </w:p>
        </w:tc>
        <w:tc>
          <w:tcPr>
            <w:tcW w:w="760" w:type="dxa"/>
            <w:vAlign w:val="bottom"/>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89"/>
        </w:trPr>
        <w:tc>
          <w:tcPr>
            <w:tcW w:w="2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December31,2022(Predecessor)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20,803</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(38,564)</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(11,193)</w:t>
            </w:r>
          </w:p>
        </w:tc>
        <w:tc>
          <w:tcPr>
            <w:tcW w:w="0" w:type="dxa"/>
            <w:vAlign w:val="bottom"/>
          </w:tcPr>
          <w:p>
            <w:pPr>
              <w:spacing w:after="0"/>
              <w:rPr>
                <w:sz w:val="1"/>
                <w:szCs w:val="1"/>
                <w:color w:val="auto"/>
              </w:rPr>
            </w:pPr>
          </w:p>
        </w:tc>
      </w:tr>
      <w:tr>
        <w:trPr>
          <w:trHeight w:val="198"/>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Net loss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Non-controlling interest acquired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98"/>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Issuance of units, net of issuance costs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Unit-based compensation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8"/>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Distributions to unitholders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Accretion of redeemable units to</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redemption value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December31,2023(Predecessor)</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w:t>
            </w: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Net loss</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w:t>
            </w:r>
          </w:p>
        </w:tc>
        <w:tc>
          <w:tcPr>
            <w:tcW w:w="0" w:type="dxa"/>
            <w:vAlign w:val="bottom"/>
          </w:tcPr>
          <w:p>
            <w:pPr>
              <w:spacing w:after="0"/>
              <w:rPr>
                <w:sz w:val="1"/>
                <w:szCs w:val="1"/>
                <w:color w:val="auto"/>
              </w:rPr>
            </w:pPr>
          </w:p>
        </w:tc>
      </w:tr>
      <w:tr>
        <w:trPr>
          <w:trHeight w:val="198"/>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 comprehensive loss, net of taxes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Units issued to non-controlling interest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c>
          <w:tcPr>
            <w:tcW w:w="0" w:type="dxa"/>
            <w:vAlign w:val="bottom"/>
          </w:tcPr>
          <w:p>
            <w:pPr>
              <w:spacing w:after="0"/>
              <w:rPr>
                <w:sz w:val="1"/>
                <w:szCs w:val="1"/>
                <w:color w:val="auto"/>
              </w:rPr>
            </w:pPr>
          </w:p>
        </w:tc>
      </w:tr>
      <w:tr>
        <w:trPr>
          <w:trHeight w:val="198"/>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Issuance of units, net of issuance costs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13,561</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Unit-based compensation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146"/>
        </w:trPr>
        <w:tc>
          <w:tcPr>
            <w:tcW w:w="2620" w:type="dxa"/>
            <w:vAlign w:val="bottom"/>
          </w:tcPr>
          <w:p>
            <w:pPr>
              <w:ind w:left="220"/>
              <w:spacing w:after="0" w:line="147" w:lineRule="exact"/>
              <w:rPr>
                <w:sz w:val="20"/>
                <w:szCs w:val="20"/>
                <w:color w:val="auto"/>
              </w:rPr>
            </w:pPr>
            <w:r>
              <w:rPr>
                <w:rFonts w:ascii="Times New Roman" w:cs="Times New Roman" w:eastAsia="Times New Roman" w:hAnsi="Times New Roman"/>
                <w:sz w:val="14"/>
                <w:szCs w:val="14"/>
                <w:color w:val="auto"/>
              </w:rPr>
              <w:t>Issuance of units to non-controlling</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Pr>
          <w:p>
            <w:pPr>
              <w:jc w:val="right"/>
              <w:ind w:right="228"/>
              <w:spacing w:after="0" w:line="144" w:lineRule="exact"/>
              <w:rPr>
                <w:sz w:val="20"/>
                <w:szCs w:val="20"/>
                <w:color w:val="auto"/>
              </w:rPr>
            </w:pPr>
            <w:r>
              <w:rPr>
                <w:rFonts w:ascii="Times New Roman" w:cs="Times New Roman" w:eastAsia="Times New Roman" w:hAnsi="Times New Roman"/>
                <w:sz w:val="14"/>
                <w:szCs w:val="14"/>
                <w:color w:val="auto"/>
              </w:rPr>
              <w:t>interest in exchange of convertible</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0" w:type="dxa"/>
            <w:vAlign w:val="bottom"/>
          </w:tcPr>
          <w:p>
            <w:pPr>
              <w:spacing w:after="0"/>
              <w:rPr>
                <w:sz w:val="1"/>
                <w:szCs w:val="1"/>
                <w:color w:val="auto"/>
              </w:rPr>
            </w:pPr>
          </w:p>
        </w:tc>
      </w:tr>
      <w:tr>
        <w:trPr>
          <w:trHeight w:val="189"/>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promissory notes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auto"/>
              </w:rPr>
              <w:t>Accretion of redeemable units to</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0" w:type="dxa"/>
            <w:vAlign w:val="bottom"/>
          </w:tcPr>
          <w:p>
            <w:pPr>
              <w:spacing w:after="0"/>
              <w:rPr>
                <w:sz w:val="1"/>
                <w:szCs w:val="1"/>
                <w:color w:val="auto"/>
              </w:rPr>
            </w:pPr>
          </w:p>
        </w:tc>
      </w:tr>
      <w:tr>
        <w:trPr>
          <w:trHeight w:val="193"/>
        </w:trPr>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redemption value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October1,2024(Predecessor)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51,683</w:t>
            </w: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981</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(92,670)</w:t>
            </w: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62</w:t>
            </w: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13,080</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(21,591)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9280"/>
          </w:cols>
          <w:pgMar w:left="1340" w:top="157" w:right="1279" w:bottom="633"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9280"/>
          </w:cols>
          <w:pgMar w:left="1340" w:top="157" w:right="1279" w:bottom="633" w:gutter="0" w:footer="0" w:header="0"/>
          <w:type w:val="continuous"/>
        </w:sectPr>
      </w:pPr>
    </w:p>
    <w:bookmarkStart w:id="80" w:name="page81"/>
    <w:bookmarkEnd w:id="80"/>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21296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965"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4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Series B Preferred Stock</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72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Non-</w:t>
            </w:r>
          </w:p>
        </w:tc>
        <w:tc>
          <w:tcPr>
            <w:tcW w:w="200" w:type="dxa"/>
            <w:vAlign w:val="bottom"/>
          </w:tcPr>
          <w:p>
            <w:pPr>
              <w:spacing w:after="0"/>
              <w:rPr>
                <w:sz w:val="9"/>
                <w:szCs w:val="9"/>
                <w:color w:val="auto"/>
              </w:rPr>
            </w:pPr>
          </w:p>
        </w:tc>
        <w:tc>
          <w:tcPr>
            <w:tcW w:w="660" w:type="dxa"/>
            <w:vAlign w:val="bottom"/>
          </w:tcPr>
          <w:p>
            <w:pPr>
              <w:jc w:val="center"/>
              <w:ind w:right="130"/>
              <w:spacing w:after="0" w:line="11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7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Paid-In</w:t>
            </w:r>
          </w:p>
        </w:tc>
        <w:tc>
          <w:tcPr>
            <w:tcW w:w="900" w:type="dxa"/>
            <w:vAlign w:val="bottom"/>
            <w:gridSpan w:val="3"/>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Controlling</w:t>
            </w:r>
          </w:p>
        </w:tc>
        <w:tc>
          <w:tcPr>
            <w:tcW w:w="8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2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80" w:type="dxa"/>
            <w:vAlign w:val="bottom"/>
          </w:tcPr>
          <w:p>
            <w:pPr>
              <w:spacing w:after="0"/>
              <w:rPr>
                <w:sz w:val="13"/>
                <w:szCs w:val="13"/>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OCI</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3"/>
                <w:szCs w:val="13"/>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October2,2024(Successor)</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11,342</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(15,845)</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(4,503)</w:t>
            </w:r>
          </w:p>
        </w:tc>
        <w:tc>
          <w:tcPr>
            <w:tcW w:w="0" w:type="dxa"/>
            <w:vAlign w:val="bottom"/>
          </w:tcPr>
          <w:p>
            <w:pPr>
              <w:spacing w:after="0"/>
              <w:rPr>
                <w:sz w:val="1"/>
                <w:szCs w:val="1"/>
                <w:color w:val="auto"/>
              </w:rPr>
            </w:pPr>
          </w:p>
        </w:tc>
      </w:tr>
      <w:tr>
        <w:trPr>
          <w:trHeight w:val="140"/>
        </w:trPr>
        <w:tc>
          <w:tcPr>
            <w:tcW w:w="2160" w:type="dxa"/>
            <w:vAlign w:val="bottom"/>
          </w:tcPr>
          <w:p>
            <w:pPr>
              <w:ind w:left="220"/>
              <w:spacing w:after="0" w:line="140" w:lineRule="exact"/>
              <w:rPr>
                <w:sz w:val="20"/>
                <w:szCs w:val="20"/>
                <w:color w:val="auto"/>
              </w:rPr>
            </w:pPr>
            <w:r>
              <w:rPr>
                <w:rFonts w:ascii="Times New Roman" w:cs="Times New Roman" w:eastAsia="Times New Roman" w:hAnsi="Times New Roman"/>
                <w:sz w:val="14"/>
                <w:szCs w:val="14"/>
                <w:color w:val="auto"/>
              </w:rPr>
              <w:t>Effect of acquisition of</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43,589,850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461,064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343,030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804,098</w:t>
            </w:r>
          </w:p>
        </w:tc>
        <w:tc>
          <w:tcPr>
            <w:tcW w:w="0" w:type="dxa"/>
            <w:vAlign w:val="bottom"/>
          </w:tcPr>
          <w:p>
            <w:pPr>
              <w:spacing w:after="0"/>
              <w:rPr>
                <w:sz w:val="1"/>
                <w:szCs w:val="1"/>
                <w:color w:val="auto"/>
              </w:rPr>
            </w:pPr>
          </w:p>
        </w:tc>
      </w:tr>
      <w:tr>
        <w:trPr>
          <w:trHeight w:val="189"/>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Innventure LLC </w:t>
            </w:r>
            <w:r>
              <w:rPr>
                <w:rFonts w:ascii="Times New Roman" w:cs="Times New Roman" w:eastAsia="Times New Roman" w:hAnsi="Times New Roman"/>
                <w:sz w:val="14"/>
                <w:szCs w:val="14"/>
                <w:color w:val="B4B4B4"/>
              </w:rPr>
              <w:t>.......................</w:t>
            </w: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Reclassification of warrants from</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93"/>
        </w:trPr>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liability to equity </w:t>
            </w:r>
            <w:r>
              <w:rPr>
                <w:rFonts w:ascii="Times New Roman" w:cs="Times New Roman" w:eastAsia="Times New Roman" w:hAnsi="Times New Roman"/>
                <w:sz w:val="14"/>
                <w:szCs w:val="14"/>
                <w:color w:val="B4B4B4"/>
              </w:rPr>
              <w:t>......................</w:t>
            </w:r>
          </w:p>
        </w:tc>
        <w:tc>
          <w:tcPr>
            <w:tcW w:w="8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ind w:left="220"/>
              <w:spacing w:after="0" w:line="140" w:lineRule="exact"/>
              <w:rPr>
                <w:sz w:val="20"/>
                <w:szCs w:val="20"/>
                <w:color w:val="auto"/>
              </w:rPr>
            </w:pPr>
            <w:r>
              <w:rPr>
                <w:rFonts w:ascii="Times New Roman" w:cs="Times New Roman" w:eastAsia="Times New Roman" w:hAnsi="Times New Roman"/>
                <w:sz w:val="14"/>
                <w:szCs w:val="14"/>
                <w:color w:val="auto"/>
              </w:rPr>
              <w:t>Issuance of common shares, net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189"/>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of issuance costs </w:t>
            </w:r>
            <w:r>
              <w:rPr>
                <w:rFonts w:ascii="Times New Roman" w:cs="Times New Roman" w:eastAsia="Times New Roman" w:hAnsi="Times New Roman"/>
                <w:sz w:val="14"/>
                <w:szCs w:val="14"/>
                <w:color w:val="B4B4B4"/>
              </w:rPr>
              <w:t>......................</w:t>
            </w: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CEEFF"/>
          </w:tcPr>
          <w:p>
            <w:pPr>
              <w:ind w:left="220"/>
              <w:spacing w:after="0" w:line="143" w:lineRule="exact"/>
              <w:rPr>
                <w:sz w:val="20"/>
                <w:szCs w:val="20"/>
                <w:color w:val="auto"/>
              </w:rPr>
            </w:pPr>
            <w:r>
              <w:rPr>
                <w:rFonts w:ascii="Times New Roman" w:cs="Times New Roman" w:eastAsia="Times New Roman" w:hAnsi="Times New Roman"/>
                <w:sz w:val="14"/>
                <w:szCs w:val="14"/>
                <w:color w:val="auto"/>
              </w:rPr>
              <w:t>Issuance of preferred shares, net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0" w:type="dxa"/>
            <w:vAlign w:val="bottom"/>
          </w:tcPr>
          <w:p>
            <w:pPr>
              <w:spacing w:after="0"/>
              <w:rPr>
                <w:sz w:val="1"/>
                <w:szCs w:val="1"/>
                <w:color w:val="auto"/>
              </w:rPr>
            </w:pPr>
          </w:p>
        </w:tc>
      </w:tr>
      <w:tr>
        <w:trPr>
          <w:trHeight w:val="193"/>
        </w:trPr>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of issuance costs </w:t>
            </w:r>
            <w:r>
              <w:rPr>
                <w:rFonts w:ascii="Times New Roman" w:cs="Times New Roman" w:eastAsia="Times New Roman" w:hAnsi="Times New Roman"/>
                <w:sz w:val="14"/>
                <w:szCs w:val="14"/>
                <w:color w:val="B4B4B4"/>
              </w:rPr>
              <w:t>......................</w:t>
            </w: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Issuance of common shares from</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259,309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189"/>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warrant exercises </w:t>
            </w:r>
            <w:r>
              <w:rPr>
                <w:rFonts w:ascii="Times New Roman" w:cs="Times New Roman" w:eastAsia="Times New Roman" w:hAnsi="Times New Roman"/>
                <w:sz w:val="14"/>
                <w:szCs w:val="14"/>
                <w:color w:val="B4B4B4"/>
              </w:rPr>
              <w:t>.....................</w:t>
            </w: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4"/>
                <w:szCs w:val="14"/>
                <w:color w:val="B4B4B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(70,093)</w:t>
            </w:r>
          </w:p>
        </w:tc>
        <w:tc>
          <w:tcPr>
            <w:tcW w:w="0" w:type="dxa"/>
            <w:vAlign w:val="bottom"/>
          </w:tcPr>
          <w:p>
            <w:pPr>
              <w:spacing w:after="0"/>
              <w:rPr>
                <w:sz w:val="1"/>
                <w:szCs w:val="1"/>
                <w:color w:val="auto"/>
              </w:rPr>
            </w:pPr>
          </w:p>
        </w:tc>
      </w:tr>
      <w:tr>
        <w:trPr>
          <w:trHeight w:val="140"/>
        </w:trPr>
        <w:tc>
          <w:tcPr>
            <w:tcW w:w="21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Other comprehensive gain, net of</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89"/>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taxes </w:t>
            </w:r>
            <w:r>
              <w:rPr>
                <w:rFonts w:ascii="Times New Roman" w:cs="Times New Roman" w:eastAsia="Times New Roman" w:hAnsi="Times New Roman"/>
                <w:sz w:val="14"/>
                <w:szCs w:val="14"/>
                <w:color w:val="B4B4B4"/>
              </w:rPr>
              <w:t>.........................................</w:t>
            </w: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0" w:type="dxa"/>
            <w:vAlign w:val="bottom"/>
          </w:tcPr>
          <w:p>
            <w:pPr>
              <w:spacing w:after="0"/>
              <w:rPr>
                <w:sz w:val="1"/>
                <w:szCs w:val="1"/>
                <w:color w:val="auto"/>
              </w:rPr>
            </w:pPr>
          </w:p>
        </w:tc>
      </w:tr>
      <w:tr>
        <w:trPr>
          <w:trHeight w:val="198"/>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4"/>
                <w:szCs w:val="14"/>
                <w:color w:val="B4B4B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Vesting of contingent at risk</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587,995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sponsor shares </w:t>
            </w:r>
            <w:r>
              <w:rPr>
                <w:rFonts w:ascii="Times New Roman" w:cs="Times New Roman" w:eastAsia="Times New Roman" w:hAnsi="Times New Roman"/>
                <w:sz w:val="14"/>
                <w:szCs w:val="14"/>
                <w:color w:val="B4B4B4"/>
              </w:rPr>
              <w:t>..........................</w:t>
            </w:r>
          </w:p>
        </w:tc>
        <w:tc>
          <w:tcPr>
            <w:tcW w:w="8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color w:val="B4B4B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16,338</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Accrued preferred dividends </w:t>
            </w:r>
            <w:r>
              <w:rPr>
                <w:rFonts w:ascii="Times New Roman" w:cs="Times New Roman" w:eastAsia="Times New Roman" w:hAnsi="Times New Roman"/>
                <w:sz w:val="14"/>
                <w:szCs w:val="14"/>
                <w:color w:val="B4B4B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63"/>
        </w:trPr>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December31,2024(Successor)</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40" w:type="dxa"/>
            <w:vAlign w:val="bottom"/>
          </w:tcPr>
          <w:p>
            <w:pPr>
              <w:spacing w:after="0"/>
              <w:rPr>
                <w:sz w:val="14"/>
                <w:szCs w:val="14"/>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60" w:type="dxa"/>
            <w:vAlign w:val="bottom"/>
          </w:tcPr>
          <w:p>
            <w:pPr>
              <w:spacing w:after="0"/>
              <w:rPr>
                <w:sz w:val="14"/>
                <w:szCs w:val="14"/>
                <w:color w:val="auto"/>
              </w:rPr>
            </w:pPr>
          </w:p>
        </w:tc>
        <w:tc>
          <w:tcPr>
            <w:tcW w:w="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(78,262)</w:t>
            </w: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43" w:lineRule="exact"/>
        <w:rPr>
          <w:sz w:val="20"/>
          <w:szCs w:val="20"/>
          <w:color w:val="auto"/>
        </w:rPr>
      </w:pPr>
    </w:p>
    <w:tbl>
      <w:tblPr>
        <w:tblLayout w:type="fixed"/>
        <w:tblInd w:w="1300"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20" w:type="dxa"/>
            <w:vAlign w:val="bottom"/>
          </w:tcPr>
          <w:p>
            <w:pPr>
              <w:spacing w:after="0"/>
              <w:rPr>
                <w:sz w:val="13"/>
                <w:szCs w:val="13"/>
                <w:color w:val="auto"/>
              </w:rPr>
            </w:pPr>
          </w:p>
        </w:tc>
        <w:tc>
          <w:tcPr>
            <w:tcW w:w="1700" w:type="dxa"/>
            <w:vAlign w:val="bottom"/>
            <w:gridSpan w:val="3"/>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October 2, 2024</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00" w:type="dxa"/>
            <w:vAlign w:val="bottom"/>
          </w:tcPr>
          <w:p>
            <w:pPr>
              <w:spacing w:after="0"/>
              <w:rPr>
                <w:sz w:val="11"/>
                <w:szCs w:val="11"/>
                <w:color w:val="auto"/>
              </w:rPr>
            </w:pPr>
          </w:p>
        </w:tc>
        <w:tc>
          <w:tcPr>
            <w:tcW w:w="820" w:type="dxa"/>
            <w:vAlign w:val="bottom"/>
            <w:vMerge w:val="restart"/>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ind w:right="94"/>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94"/>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00" w:type="dxa"/>
            <w:vAlign w:val="bottom"/>
          </w:tcPr>
          <w:p>
            <w:pPr>
              <w:spacing w:after="0"/>
              <w:rPr>
                <w:sz w:val="10"/>
                <w:szCs w:val="10"/>
                <w:color w:val="auto"/>
              </w:rPr>
            </w:pPr>
          </w:p>
        </w:tc>
        <w:tc>
          <w:tcPr>
            <w:tcW w:w="820" w:type="dxa"/>
            <w:vAlign w:val="bottom"/>
          </w:tcPr>
          <w:p>
            <w:pPr>
              <w:jc w:val="center"/>
              <w:ind w:right="35"/>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Pr>
          <w:p>
            <w:pPr>
              <w:spacing w:after="0"/>
              <w:rPr>
                <w:sz w:val="13"/>
                <w:szCs w:val="13"/>
                <w:color w:val="auto"/>
              </w:rPr>
            </w:pPr>
          </w:p>
        </w:tc>
        <w:tc>
          <w:tcPr>
            <w:tcW w:w="78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100" w:type="dxa"/>
            <w:vAlign w:val="bottom"/>
          </w:tcPr>
          <w:p>
            <w:pPr>
              <w:spacing w:after="0"/>
              <w:rPr>
                <w:sz w:val="13"/>
                <w:szCs w:val="13"/>
                <w:color w:val="auto"/>
              </w:rPr>
            </w:pPr>
          </w:p>
        </w:tc>
        <w:tc>
          <w:tcPr>
            <w:tcW w:w="82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32"/>
        </w:trPr>
        <w:tc>
          <w:tcPr>
            <w:tcW w:w="3720" w:type="dxa"/>
            <w:vAlign w:val="bottom"/>
          </w:tcPr>
          <w:p>
            <w:pPr>
              <w:jc w:val="right"/>
              <w:ind w:right="2197"/>
              <w:spacing w:after="0"/>
              <w:rPr>
                <w:sz w:val="20"/>
                <w:szCs w:val="20"/>
                <w:color w:val="auto"/>
              </w:rPr>
            </w:pPr>
            <w:r>
              <w:rPr>
                <w:rFonts w:ascii="Times New Roman" w:cs="Times New Roman" w:eastAsia="Times New Roman" w:hAnsi="Times New Roman"/>
                <w:sz w:val="9"/>
                <w:szCs w:val="9"/>
                <w:b w:val="1"/>
                <w:bCs w:val="1"/>
                <w:color w:val="auto"/>
                <w:w w:val="94"/>
              </w:rPr>
              <w:t>Cash Flows Used in Operating Activities</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Net loss</w:t>
            </w:r>
            <w:r>
              <w:rPr>
                <w:rFonts w:ascii="Times New Roman" w:cs="Times New Roman" w:eastAsia="Times New Roman" w:hAnsi="Times New Roman"/>
                <w:sz w:val="9"/>
                <w:szCs w:val="9"/>
                <w:color w:val="B4B4B4"/>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(70,093)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9"/>
                <w:szCs w:val="9"/>
                <w:color w:val="auto"/>
              </w:rPr>
              <w:t>$</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(28,198)</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(30,984)</w:t>
            </w:r>
          </w:p>
        </w:tc>
        <w:tc>
          <w:tcPr>
            <w:tcW w:w="0" w:type="dxa"/>
            <w:vAlign w:val="bottom"/>
          </w:tcPr>
          <w:p>
            <w:pPr>
              <w:spacing w:after="0"/>
              <w:rPr>
                <w:sz w:val="1"/>
                <w:szCs w:val="1"/>
                <w:color w:val="auto"/>
              </w:rPr>
            </w:pPr>
          </w:p>
        </w:tc>
      </w:tr>
      <w:tr>
        <w:trPr>
          <w:trHeight w:val="140"/>
        </w:trPr>
        <w:tc>
          <w:tcPr>
            <w:tcW w:w="3720" w:type="dxa"/>
            <w:vAlign w:val="bottom"/>
          </w:tcPr>
          <w:p>
            <w:pPr>
              <w:ind w:left="160"/>
              <w:spacing w:after="0"/>
              <w:rPr>
                <w:sz w:val="20"/>
                <w:szCs w:val="20"/>
                <w:color w:val="auto"/>
              </w:rPr>
            </w:pPr>
            <w:r>
              <w:rPr>
                <w:rFonts w:ascii="Times New Roman" w:cs="Times New Roman" w:eastAsia="Times New Roman" w:hAnsi="Times New Roman"/>
                <w:sz w:val="9"/>
                <w:szCs w:val="9"/>
                <w:i w:val="1"/>
                <w:iCs w:val="1"/>
                <w:color w:val="auto"/>
              </w:rPr>
              <w:t>Adjustments to reconcile net loss to net cash and cash equivalents used in operating activities: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Stock-based compensation</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16,338</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1,056</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910</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Interest income on debt securities - related party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(106)</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(110)</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Change in fair value of financial liabilities</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20,946</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478</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(766)</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Change in fair value of payables due to related parties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468</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(232)</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Write-off of loan commitment fee asset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10,041</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Non-cash interest expense on notes payable</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248</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351</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487</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Net (gain) loss on investments</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(11,547)</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6,448</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Equity method investment gain (loss)</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902</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(893)</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632</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Loss on conversion of promissory notes</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1,119</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Deferred income taxes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(3,301)</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432</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Depreciation and amortization</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5,455</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146</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Payment of patent installment</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(250)</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Non-cash rent costs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64</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185</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192</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Accrued unpaid interest on note payable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930</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ind w:left="160"/>
              <w:spacing w:after="0"/>
              <w:rPr>
                <w:sz w:val="20"/>
                <w:szCs w:val="20"/>
                <w:color w:val="auto"/>
              </w:rPr>
            </w:pPr>
            <w:r>
              <w:rPr>
                <w:rFonts w:ascii="Times New Roman" w:cs="Times New Roman" w:eastAsia="Times New Roman" w:hAnsi="Times New Roman"/>
                <w:sz w:val="9"/>
                <w:szCs w:val="9"/>
                <w:i w:val="1"/>
                <w:iCs w:val="1"/>
                <w:color w:val="auto"/>
              </w:rPr>
              <w:t>Changes in operating assets and liabilities: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Accounts receivable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(166)</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(117)</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Prepaid expenses and other current assets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(1,301)</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(1,353)</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(218)</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Inventory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(2,354)</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(2,824)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Accounts payable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(11,211)</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6,013</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Accrued employee benefits</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1,656</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3,838</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3,181</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Accrued expenses</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(484)</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674</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1,230</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Stock-based compensation liability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1,160</w:t>
            </w:r>
          </w:p>
        </w:tc>
        <w:tc>
          <w:tcPr>
            <w:tcW w:w="220" w:type="dxa"/>
            <w:vAlign w:val="bottom"/>
          </w:tcPr>
          <w:p>
            <w:pPr>
              <w:spacing w:after="0"/>
              <w:rPr>
                <w:sz w:val="12"/>
                <w:szCs w:val="12"/>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Other current liabilities </w:t>
            </w:r>
            <w:r>
              <w:rPr>
                <w:rFonts w:ascii="Times New Roman" w:cs="Times New Roman" w:eastAsia="Times New Roman" w:hAnsi="Times New Roman"/>
                <w:sz w:val="9"/>
                <w:szCs w:val="9"/>
                <w:color w:val="B4B4B4"/>
              </w:rPr>
              <w:t>......................................................................................................................</w:t>
            </w:r>
          </w:p>
        </w:tc>
        <w:tc>
          <w:tcPr>
            <w:tcW w:w="80" w:type="dxa"/>
            <w:vAlign w:val="bottom"/>
          </w:tcPr>
          <w:p>
            <w:pPr>
              <w:spacing w:after="0"/>
              <w:rPr>
                <w:sz w:val="12"/>
                <w:szCs w:val="12"/>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(77)</w:t>
            </w:r>
          </w:p>
        </w:tc>
        <w:tc>
          <w:tcPr>
            <w:tcW w:w="220" w:type="dxa"/>
            <w:vAlign w:val="bottom"/>
          </w:tcPr>
          <w:p>
            <w:pPr>
              <w:spacing w:after="0"/>
              <w:rPr>
                <w:sz w:val="12"/>
                <w:szCs w:val="12"/>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9"/>
                <w:szCs w:val="9"/>
                <w:color w:val="auto"/>
              </w:rPr>
              <w:t>(146)</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w:t>
            </w:r>
          </w:p>
        </w:tc>
        <w:tc>
          <w:tcPr>
            <w:tcW w:w="0" w:type="dxa"/>
            <w:vAlign w:val="bottom"/>
          </w:tcPr>
          <w:p>
            <w:pPr>
              <w:spacing w:after="0"/>
              <w:rPr>
                <w:sz w:val="1"/>
                <w:szCs w:val="1"/>
                <w:color w:val="auto"/>
              </w:rPr>
            </w:pPr>
          </w:p>
        </w:tc>
      </w:tr>
    </w:tbl>
    <w:p>
      <w:pPr>
        <w:sectPr>
          <w:pgSz w:w="11900" w:h="16840" w:orient="portrait"/>
          <w:cols w:equalWidth="0" w:num="1">
            <w:col w:w="9280"/>
          </w:cols>
          <w:pgMar w:left="1340" w:top="1440" w:right="1279" w:bottom="0" w:gutter="0" w:footer="0" w:header="0"/>
        </w:sectPr>
      </w:pPr>
    </w:p>
    <w:bookmarkStart w:id="81" w:name="page82"/>
    <w:bookmarkEnd w:id="81"/>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12"/>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Obligation to issue equity </w:t>
            </w:r>
            <w:r>
              <w:rPr>
                <w:rFonts w:ascii="Times New Roman" w:cs="Times New Roman" w:eastAsia="Times New Roman" w:hAnsi="Times New Roman"/>
                <w:sz w:val="9"/>
                <w:szCs w:val="9"/>
                <w:color w:val="B4B4B4"/>
              </w:rPr>
              <w:t>..................................................................................................................</w:t>
            </w:r>
          </w:p>
        </w:tc>
        <w:tc>
          <w:tcPr>
            <w:tcW w:w="3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3,000</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10,920</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18"/>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Other assets </w:t>
            </w:r>
            <w:r>
              <w:rPr>
                <w:rFonts w:ascii="Times New Roman" w:cs="Times New Roman" w:eastAsia="Times New Roman" w:hAnsi="Times New Roman"/>
                <w:sz w:val="9"/>
                <w:szCs w:val="9"/>
                <w:color w:val="B4B4B4"/>
              </w:rPr>
              <w:t>........................................................................................................................................</w:t>
            </w:r>
          </w:p>
        </w:tc>
        <w:tc>
          <w:tcPr>
            <w:tcW w:w="3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(218)</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 xml:space="preserve">Net Cash Used in Operating Activities </w:t>
            </w:r>
            <w:r>
              <w:rPr>
                <w:rFonts w:ascii="Times New Roman" w:cs="Times New Roman" w:eastAsia="Times New Roman" w:hAnsi="Times New Roman"/>
                <w:sz w:val="9"/>
                <w:szCs w:val="9"/>
                <w:b w:val="1"/>
                <w:bCs w:val="1"/>
                <w:color w:val="B4B4B4"/>
                <w:w w:val="95"/>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(29,214)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(18,848)</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(19,476)</w:t>
            </w:r>
          </w:p>
        </w:tc>
      </w:tr>
      <w:tr>
        <w:trPr>
          <w:trHeight w:val="339"/>
        </w:trPr>
        <w:tc>
          <w:tcPr>
            <w:tcW w:w="3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Cash Flows Provided by (Used in) Investing Activities</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2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Purchase of shares in equity method investee</w:t>
            </w:r>
            <w:r>
              <w:rPr>
                <w:rFonts w:ascii="Times New Roman" w:cs="Times New Roman" w:eastAsia="Times New Roman" w:hAnsi="Times New Roman"/>
                <w:sz w:val="9"/>
                <w:szCs w:val="9"/>
                <w:color w:val="B4B4B4"/>
              </w:rPr>
              <w:t>....................................................................................</w:t>
            </w:r>
          </w:p>
        </w:tc>
        <w:tc>
          <w:tcPr>
            <w:tcW w:w="3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(2,000)</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Contributions to equity method investee </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w:t>
            </w:r>
          </w:p>
        </w:tc>
      </w:tr>
      <w:tr>
        <w:trPr>
          <w:trHeight w:val="14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xml:space="preserve">Investment in debt securities - equity method investee </w:t>
            </w:r>
            <w:r>
              <w:rPr>
                <w:rFonts w:ascii="Times New Roman" w:cs="Times New Roman" w:eastAsia="Times New Roman" w:hAnsi="Times New Roman"/>
                <w:sz w:val="9"/>
                <w:szCs w:val="9"/>
                <w:color w:val="B4B4B4"/>
              </w:rPr>
              <w:t>.....................................................................</w:t>
            </w: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(7,400)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(2,600)</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Advances to equity method investee</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(4,240)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xml:space="preserve">Acquisition of property, plant and equipment </w:t>
            </w:r>
            <w:r>
              <w:rPr>
                <w:rFonts w:ascii="Times New Roman" w:cs="Times New Roman" w:eastAsia="Times New Roman" w:hAnsi="Times New Roman"/>
                <w:sz w:val="9"/>
                <w:szCs w:val="9"/>
                <w:color w:val="B4B4B4"/>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(736)</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(645)</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Acquisition of intangible assets </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xml:space="preserve">Acquisition of net assets, net of cash acquired, through business combination </w:t>
            </w:r>
            <w:r>
              <w:rPr>
                <w:rFonts w:ascii="Times New Roman" w:cs="Times New Roman" w:eastAsia="Times New Roman" w:hAnsi="Times New Roman"/>
                <w:sz w:val="9"/>
                <w:szCs w:val="9"/>
                <w:color w:val="B4B4B4"/>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Proceeds from sale of investments</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2,314</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708</w:t>
            </w:r>
          </w:p>
        </w:tc>
      </w:tr>
      <w:tr>
        <w:trPr>
          <w:trHeight w:val="14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Cash withdrawn from trust as a result of business combination</w:t>
            </w:r>
            <w:r>
              <w:rPr>
                <w:rFonts w:ascii="Times New Roman" w:cs="Times New Roman" w:eastAsia="Times New Roman" w:hAnsi="Times New Roman"/>
                <w:sz w:val="9"/>
                <w:szCs w:val="9"/>
                <w:color w:val="B4B4B4"/>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11,342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Net Cash Provided by (Used in) Investing Activities </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6,822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(5,957)</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(4,667)</w:t>
            </w:r>
          </w:p>
        </w:tc>
      </w:tr>
      <w:tr>
        <w:trPr>
          <w:trHeight w:val="140"/>
        </w:trPr>
        <w:tc>
          <w:tcPr>
            <w:tcW w:w="3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Cash Flows Provided by Financing Activities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Proceeds from issuance of equity, net of issuance costs</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15,383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13,122</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16,009</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Proceeds from the issuance of equity to non-controlling interest, net of issuance costs </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4,169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13,859</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337</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Proceeds from the issuance of convertible promissory note</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2,000</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Proceeds from issuance of debt securities, net of issuance costs</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19,455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Payment of debts</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(540)</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Receipt of Capital from Class I Unitholder </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Distributions to Stockholders</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(663)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(241)</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Proceeds from the issuance of promissory notes to related parties</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12,000</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1,004</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 xml:space="preserve">Repayment of promissory note </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(4,628)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5"/>
              </w:rPr>
              <w:t xml:space="preserve">Cash Flows Provided by Financing Activities </w:t>
            </w:r>
            <w:r>
              <w:rPr>
                <w:rFonts w:ascii="Times New Roman" w:cs="Times New Roman" w:eastAsia="Times New Roman" w:hAnsi="Times New Roman"/>
                <w:sz w:val="9"/>
                <w:szCs w:val="9"/>
                <w:color w:val="B4B4B4"/>
                <w:w w:val="95"/>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33,466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38,441</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19,174</w:t>
            </w:r>
          </w:p>
        </w:tc>
      </w:tr>
      <w:tr>
        <w:trPr>
          <w:trHeight w:val="221"/>
        </w:trPr>
        <w:tc>
          <w:tcPr>
            <w:tcW w:w="3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4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xml:space="preserve">Net Increase (Decrease) in Cash, Cash Equivalents and Restricted Cash </w:t>
            </w:r>
            <w:r>
              <w:rPr>
                <w:rFonts w:ascii="Times New Roman" w:cs="Times New Roman" w:eastAsia="Times New Roman" w:hAnsi="Times New Roman"/>
                <w:sz w:val="9"/>
                <w:szCs w:val="9"/>
                <w:color w:val="B4B4B4"/>
              </w:rPr>
              <w:t>.........................................</w:t>
            </w: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11,074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13,636</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(4,969)</w:t>
            </w:r>
          </w:p>
        </w:tc>
      </w:tr>
      <w:tr>
        <w:trPr>
          <w:trHeight w:val="140"/>
        </w:trPr>
        <w:tc>
          <w:tcPr>
            <w:tcW w:w="3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Cash, Cash Equivalents and Restricted Cash Beginning of period</w:t>
            </w:r>
            <w:r>
              <w:rPr>
                <w:rFonts w:ascii="Times New Roman" w:cs="Times New Roman" w:eastAsia="Times New Roman" w:hAnsi="Times New Roman"/>
                <w:sz w:val="9"/>
                <w:szCs w:val="9"/>
                <w:color w:val="B4B4B4"/>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2,575</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7,544</w:t>
            </w:r>
          </w:p>
        </w:tc>
      </w:tr>
      <w:tr>
        <w:trPr>
          <w:trHeight w:val="14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 xml:space="preserve">Cash, Cash Equivalents and Restricted Cash End of period </w:t>
            </w:r>
            <w:r>
              <w:rPr>
                <w:rFonts w:ascii="Times New Roman" w:cs="Times New Roman" w:eastAsia="Times New Roman" w:hAnsi="Times New Roman"/>
                <w:sz w:val="9"/>
                <w:szCs w:val="9"/>
                <w:color w:val="B4B4B4"/>
              </w:rPr>
              <w:t>............................................................</w:t>
            </w:r>
          </w:p>
        </w:tc>
        <w:tc>
          <w:tcPr>
            <w:tcW w:w="3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9"/>
                <w:szCs w:val="9"/>
                <w:b w:val="1"/>
                <w:bCs w:val="1"/>
                <w:color w:val="auto"/>
              </w:rPr>
              <w:t>11,119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16,211</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9"/>
                <w:szCs w:val="9"/>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2,575</w:t>
            </w:r>
          </w:p>
        </w:tc>
      </w:tr>
      <w:tr>
        <w:trPr>
          <w:trHeight w:val="140"/>
        </w:trPr>
        <w:tc>
          <w:tcPr>
            <w:tcW w:w="37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20"/>
        </w:trPr>
        <w:tc>
          <w:tcPr>
            <w:tcW w:w="376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r>
      <w:tr>
        <w:trPr>
          <w:trHeight w:val="206"/>
        </w:trPr>
        <w:tc>
          <w:tcPr>
            <w:tcW w:w="3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40"/>
        </w:trPr>
        <w:tc>
          <w:tcPr>
            <w:tcW w:w="3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-3238500</wp:posOffset>
            </wp:positionV>
            <wp:extent cx="716026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2" w:lineRule="exact"/>
        <w:rPr>
          <w:sz w:val="20"/>
          <w:szCs w:val="20"/>
          <w:color w:val="auto"/>
        </w:rPr>
      </w:pPr>
    </w:p>
    <w:p>
      <w:pPr>
        <w:jc w:val="center"/>
        <w:ind w:right="1959"/>
        <w:spacing w:after="0"/>
        <w:rPr>
          <w:sz w:val="20"/>
          <w:szCs w:val="20"/>
          <w:color w:val="auto"/>
        </w:rPr>
      </w:pPr>
      <w:r>
        <w:rPr>
          <w:rFonts w:ascii="Times New Roman" w:cs="Times New Roman" w:eastAsia="Times New Roman" w:hAnsi="Times New Roman"/>
          <w:sz w:val="14"/>
          <w:szCs w:val="14"/>
          <w:color w:val="auto"/>
        </w:rPr>
        <w:t>F-10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9"/>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tcPr>
          <w:p>
            <w:pPr>
              <w:jc w:val="center"/>
              <w:ind w:right="92"/>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00" w:type="dxa"/>
            <w:vAlign w:val="bottom"/>
          </w:tcPr>
          <w:p>
            <w:pPr>
              <w:spacing w:after="0"/>
              <w:rPr>
                <w:sz w:val="9"/>
                <w:szCs w:val="9"/>
                <w:color w:val="auto"/>
              </w:rPr>
            </w:pPr>
          </w:p>
        </w:tc>
        <w:tc>
          <w:tcPr>
            <w:tcW w:w="840" w:type="dxa"/>
            <w:vAlign w:val="bottom"/>
            <w:vMerge w:val="restart"/>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2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tcPr>
          <w:p>
            <w:pPr>
              <w:jc w:val="center"/>
              <w:ind w:right="92"/>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right w:val="single" w:sz="8" w:color="auto"/>
            </w:tcBorders>
          </w:tcPr>
          <w:p>
            <w:pPr>
              <w:jc w:val="center"/>
              <w:ind w:right="92"/>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00" w:type="dxa"/>
            <w:vAlign w:val="bottom"/>
          </w:tcPr>
          <w:p>
            <w:pPr>
              <w:spacing w:after="0"/>
              <w:rPr>
                <w:sz w:val="10"/>
                <w:szCs w:val="10"/>
                <w:color w:val="auto"/>
              </w:rPr>
            </w:pPr>
          </w:p>
        </w:tc>
        <w:tc>
          <w:tcPr>
            <w:tcW w:w="840" w:type="dxa"/>
            <w:vAlign w:val="bottom"/>
          </w:tcPr>
          <w:p>
            <w:pPr>
              <w:jc w:val="center"/>
              <w:ind w:right="53"/>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260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24"/>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b w:val="1"/>
                <w:bCs w:val="1"/>
                <w:color w:val="auto"/>
              </w:rPr>
              <w:t>Supplemental Cash Flow Information</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600" w:type="dxa"/>
            <w:vAlign w:val="bottom"/>
          </w:tcPr>
          <w:p>
            <w:pPr>
              <w:ind w:left="200"/>
              <w:spacing w:after="0"/>
              <w:rPr>
                <w:sz w:val="20"/>
                <w:szCs w:val="20"/>
                <w:color w:val="auto"/>
              </w:rPr>
            </w:pPr>
            <w:r>
              <w:rPr>
                <w:rFonts w:ascii="Times New Roman" w:cs="Times New Roman" w:eastAsia="Times New Roman" w:hAnsi="Times New Roman"/>
                <w:sz w:val="8"/>
                <w:szCs w:val="8"/>
                <w:color w:val="auto"/>
                <w:w w:val="72"/>
              </w:rPr>
              <w:t xml:space="preserve">Cash paid for interest </w:t>
            </w:r>
            <w:r>
              <w:rPr>
                <w:rFonts w:ascii="Times New Roman" w:cs="Times New Roman" w:eastAsia="Times New Roman" w:hAnsi="Times New Roman"/>
                <w:sz w:val="8"/>
                <w:szCs w:val="8"/>
                <w:color w:val="B4B4B4"/>
                <w:w w:val="72"/>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color w:val="auto"/>
              </w:rPr>
              <w:t>991</w:t>
            </w:r>
          </w:p>
        </w:tc>
        <w:tc>
          <w:tcPr>
            <w:tcW w:w="20" w:type="dxa"/>
            <w:vAlign w:val="bottom"/>
          </w:tcPr>
          <w:p>
            <w:pPr>
              <w:spacing w:after="0"/>
              <w:rPr>
                <w:sz w:val="11"/>
                <w:szCs w:val="11"/>
                <w:color w:val="auto"/>
              </w:rPr>
            </w:pP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1,070</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297</w:t>
            </w:r>
          </w:p>
        </w:tc>
        <w:tc>
          <w:tcPr>
            <w:tcW w:w="0" w:type="dxa"/>
            <w:vAlign w:val="bottom"/>
          </w:tcPr>
          <w:p>
            <w:pPr>
              <w:spacing w:after="0"/>
              <w:rPr>
                <w:sz w:val="1"/>
                <w:szCs w:val="1"/>
                <w:color w:val="auto"/>
              </w:rPr>
            </w:pPr>
          </w:p>
        </w:tc>
      </w:tr>
      <w:tr>
        <w:trPr>
          <w:trHeight w:val="148"/>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b w:val="1"/>
                <w:bCs w:val="1"/>
                <w:color w:val="auto"/>
              </w:rPr>
              <w:t>Supplemental Disclosure of Noncash Financing Information</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9"/>
                <w:szCs w:val="9"/>
                <w:color w:val="auto"/>
                <w:w w:val="95"/>
              </w:rPr>
              <w:t xml:space="preserve">Accretion of redeemable units to redemption value </w:t>
            </w:r>
            <w:r>
              <w:rPr>
                <w:rFonts w:ascii="Times New Roman" w:cs="Times New Roman" w:eastAsia="Times New Roman" w:hAnsi="Times New Roman"/>
                <w:sz w:val="9"/>
                <w:szCs w:val="9"/>
                <w:color w:val="B4B4B4"/>
                <w:w w:val="95"/>
              </w:rPr>
              <w:t>..................................................................................</w:t>
            </w:r>
          </w:p>
        </w:tc>
        <w:tc>
          <w:tcPr>
            <w:tcW w:w="80" w:type="dxa"/>
            <w:vAlign w:val="bottom"/>
          </w:tcPr>
          <w:p>
            <w:pPr>
              <w:spacing w:after="0"/>
              <w:rPr>
                <w:sz w:val="11"/>
                <w:szCs w:val="11"/>
                <w:color w:val="auto"/>
              </w:rPr>
            </w:pPr>
          </w:p>
        </w:tc>
        <w:tc>
          <w:tcPr>
            <w:tcW w:w="9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11,950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5,366</w:t>
            </w:r>
          </w:p>
        </w:tc>
        <w:tc>
          <w:tcPr>
            <w:tcW w:w="0" w:type="dxa"/>
            <w:vAlign w:val="bottom"/>
          </w:tcPr>
          <w:p>
            <w:pPr>
              <w:spacing w:after="0"/>
              <w:rPr>
                <w:sz w:val="1"/>
                <w:szCs w:val="1"/>
                <w:color w:val="auto"/>
              </w:rPr>
            </w:pPr>
          </w:p>
        </w:tc>
      </w:tr>
      <w:tr>
        <w:trPr>
          <w:trHeight w:val="148"/>
        </w:trPr>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w w:val="95"/>
              </w:rPr>
              <w:t xml:space="preserve">Debt discount and embedded derivative upon issuance </w:t>
            </w:r>
            <w:r>
              <w:rPr>
                <w:rFonts w:ascii="Times New Roman" w:cs="Times New Roman" w:eastAsia="Times New Roman" w:hAnsi="Times New Roman"/>
                <w:sz w:val="9"/>
                <w:szCs w:val="9"/>
                <w:color w:val="B4B4B4"/>
                <w:w w:val="95"/>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1,119</w:t>
            </w:r>
          </w:p>
        </w:tc>
        <w:tc>
          <w:tcPr>
            <w:tcW w:w="0" w:type="dxa"/>
            <w:vAlign w:val="bottom"/>
          </w:tcPr>
          <w:p>
            <w:pPr>
              <w:spacing w:after="0"/>
              <w:rPr>
                <w:sz w:val="1"/>
                <w:szCs w:val="1"/>
                <w:color w:val="auto"/>
              </w:rPr>
            </w:pPr>
          </w:p>
        </w:tc>
      </w:tr>
      <w:tr>
        <w:trPr>
          <w:trHeight w:val="131"/>
        </w:trPr>
        <w:tc>
          <w:tcPr>
            <w:tcW w:w="3840" w:type="dxa"/>
            <w:vAlign w:val="bottom"/>
            <w:gridSpan w:val="3"/>
          </w:tcPr>
          <w:p>
            <w:pPr>
              <w:ind w:left="200"/>
              <w:spacing w:after="0"/>
              <w:rPr>
                <w:sz w:val="20"/>
                <w:szCs w:val="20"/>
                <w:color w:val="auto"/>
              </w:rPr>
            </w:pPr>
            <w:r>
              <w:rPr>
                <w:rFonts w:ascii="Times New Roman" w:cs="Times New Roman" w:eastAsia="Times New Roman" w:hAnsi="Times New Roman"/>
                <w:sz w:val="9"/>
                <w:szCs w:val="9"/>
                <w:color w:val="auto"/>
                <w:w w:val="97"/>
              </w:rPr>
              <w:t xml:space="preserve">Issuance of units to non-controlling interest in exchange of convertible promissory notes </w:t>
            </w:r>
            <w:r>
              <w:rPr>
                <w:rFonts w:ascii="Times New Roman" w:cs="Times New Roman" w:eastAsia="Times New Roman" w:hAnsi="Times New Roman"/>
                <w:sz w:val="9"/>
                <w:szCs w:val="9"/>
                <w:color w:val="B4B4B4"/>
                <w:w w:val="97"/>
              </w:rPr>
              <w:t>......................</w:t>
            </w:r>
          </w:p>
        </w:tc>
        <w:tc>
          <w:tcPr>
            <w:tcW w:w="9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6"/>
        </w:trPr>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w w:val="96"/>
              </w:rPr>
              <w:t>Conversion of working capital loans to equity method investees into</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9"/>
                <w:szCs w:val="9"/>
                <w:color w:val="auto"/>
                <w:w w:val="93"/>
              </w:rPr>
              <w:t>investments in debt securities -</w:t>
            </w:r>
          </w:p>
        </w:tc>
        <w:tc>
          <w:tcPr>
            <w:tcW w:w="920" w:type="dxa"/>
            <w:vAlign w:val="bottom"/>
            <w:tcBorders>
              <w:right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2,600</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8"/>
        </w:trPr>
        <w:tc>
          <w:tcPr>
            <w:tcW w:w="3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9"/>
                <w:szCs w:val="9"/>
                <w:color w:val="auto"/>
                <w:w w:val="95"/>
              </w:rPr>
              <w:t xml:space="preserve">related party </w:t>
            </w:r>
            <w:r>
              <w:rPr>
                <w:rFonts w:ascii="Times New Roman" w:cs="Times New Roman" w:eastAsia="Times New Roman" w:hAnsi="Times New Roman"/>
                <w:sz w:val="9"/>
                <w:szCs w:val="9"/>
                <w:color w:val="B4B4B4"/>
                <w:w w:val="95"/>
              </w:rPr>
              <w:t>.........................................................................................................................................</w:t>
            </w:r>
          </w:p>
        </w:tc>
        <w:tc>
          <w:tcPr>
            <w:tcW w:w="80" w:type="dxa"/>
            <w:vAlign w:val="bottom"/>
            <w:shd w:val="clear" w:color="auto" w:fill="CCEEFF"/>
          </w:tcPr>
          <w:p>
            <w:pPr>
              <w:spacing w:after="0"/>
              <w:rPr>
                <w:sz w:val="11"/>
                <w:szCs w:val="11"/>
                <w:color w:val="auto"/>
              </w:rPr>
            </w:pPr>
          </w:p>
        </w:tc>
        <w:tc>
          <w:tcPr>
            <w:tcW w:w="920" w:type="dxa"/>
            <w:vAlign w:val="bottom"/>
            <w:tcBorders>
              <w:right w:val="single" w:sz="8" w:color="auto"/>
            </w:tcBorders>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40" w:type="dxa"/>
            <w:vAlign w:val="bottom"/>
            <w:gridSpan w:val="3"/>
          </w:tcPr>
          <w:p>
            <w:pPr>
              <w:ind w:left="200"/>
              <w:spacing w:after="0"/>
              <w:rPr>
                <w:sz w:val="20"/>
                <w:szCs w:val="20"/>
                <w:color w:val="auto"/>
              </w:rPr>
            </w:pPr>
            <w:r>
              <w:rPr>
                <w:rFonts w:ascii="Times New Roman" w:cs="Times New Roman" w:eastAsia="Times New Roman" w:hAnsi="Times New Roman"/>
                <w:sz w:val="9"/>
                <w:szCs w:val="9"/>
                <w:color w:val="auto"/>
                <w:w w:val="98"/>
              </w:rPr>
              <w:t>Transfer of liability warrants to equity warrants in the Business Combination</w:t>
            </w:r>
            <w:r>
              <w:rPr>
                <w:rFonts w:ascii="Times New Roman" w:cs="Times New Roman" w:eastAsia="Times New Roman" w:hAnsi="Times New Roman"/>
                <w:sz w:val="9"/>
                <w:szCs w:val="9"/>
                <w:color w:val="B4B4B4"/>
                <w:w w:val="98"/>
              </w:rPr>
              <w:t>.........................................</w:t>
            </w:r>
          </w:p>
        </w:tc>
        <w:tc>
          <w:tcPr>
            <w:tcW w:w="9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color w:val="auto"/>
              </w:rPr>
              <w:t>1,265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8"/>
        </w:trPr>
        <w:tc>
          <w:tcPr>
            <w:tcW w:w="37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w w:val="95"/>
              </w:rPr>
              <w:t>Initial recognition of loan commitment fee</w:t>
            </w:r>
            <w:r>
              <w:rPr>
                <w:rFonts w:ascii="Times New Roman" w:cs="Times New Roman" w:eastAsia="Times New Roman" w:hAnsi="Times New Roman"/>
                <w:sz w:val="9"/>
                <w:szCs w:val="9"/>
                <w:color w:val="B4B4B4"/>
                <w:w w:val="95"/>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9"/>
                <w:szCs w:val="9"/>
                <w:color w:val="auto"/>
              </w:rPr>
              <w:t>16,190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40"/>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9"/>
                <w:szCs w:val="9"/>
                <w:color w:val="auto"/>
                <w:w w:val="95"/>
              </w:rPr>
              <w:t xml:space="preserve">Transfer of loan commitment fee asset </w:t>
            </w:r>
            <w:r>
              <w:rPr>
                <w:rFonts w:ascii="Times New Roman" w:cs="Times New Roman" w:eastAsia="Times New Roman" w:hAnsi="Times New Roman"/>
                <w:sz w:val="9"/>
                <w:szCs w:val="9"/>
                <w:color w:val="B4B4B4"/>
                <w:w w:val="95"/>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color w:val="auto"/>
              </w:rPr>
              <w:t>6,694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9019"/>
          </w:cols>
          <w:pgMar w:left="1440" w:top="118" w:right="1440" w:bottom="1440" w:gutter="0" w:footer="0" w:header="0"/>
        </w:sectPr>
      </w:pPr>
    </w:p>
    <w:bookmarkStart w:id="82" w:name="page83"/>
    <w:bookmarkEnd w:id="8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 Nature of Business</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w:t>
      </w:r>
    </w:p>
    <w:p>
      <w:pPr>
        <w:spacing w:after="0" w:line="97"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14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w:t>
      </w:r>
    </w:p>
    <w:p>
      <w:pPr>
        <w:spacing w:after="0" w:line="101" w:lineRule="exact"/>
        <w:rPr>
          <w:sz w:val="20"/>
          <w:szCs w:val="20"/>
          <w:color w:val="auto"/>
        </w:rPr>
      </w:pPr>
    </w:p>
    <w:p>
      <w:pPr>
        <w:ind w:left="1160" w:right="1319" w:firstLine="258"/>
        <w:spacing w:after="0" w:line="265" w:lineRule="auto"/>
        <w:rPr>
          <w:sz w:val="20"/>
          <w:szCs w:val="20"/>
          <w:color w:val="auto"/>
        </w:rPr>
      </w:pPr>
      <w:r>
        <w:rPr>
          <w:rFonts w:ascii="Times New Roman" w:cs="Times New Roman" w:eastAsia="Times New Roman" w:hAnsi="Times New Roman"/>
          <w:sz w:val="14"/>
          <w:szCs w:val="14"/>
          <w:color w:val="auto"/>
        </w:rPr>
        <w:t>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w:t>
      </w:r>
    </w:p>
    <w:p>
      <w:pPr>
        <w:spacing w:after="0" w:line="99"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prospectus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 Accounting Policies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The Predecessor consolidated financial statements include all amounts of Innventure LLC and its consolidated subsidiaries. All intercompany transactions and balances have been eliminated in consolidation.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44"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Certain amounts reported previously have been reclassified to conform to the current year presentation with no effect on total stockholders' deficit, or net income as previously reported.</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As of December 31, 2024, the Company had cash balance of $11,119, accumulated deficit of $78,262 and a working capital deficit of $45,061. During the year ended December 31, 2024, the Company incurred a net loss of $70,093 for the Successor period from October 2, 2024 through December 31, 2024 and $28,198 for Predecessor period from January 1, 2024 through October 1, 2024.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w:t>
      </w:r>
    </w:p>
    <w:p>
      <w:pPr>
        <w:spacing w:after="0" w:line="101"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Subsequent to December 31, 2024, the Company secured additional gross proceeds of $925 through Common Stock issuances as part of the Company’s Standby Equity Purchase Agreement. The Company entered into preferred stock purchase agreements (each, a “Series C Purchase Agreement”, and collectively, the “Series C Purchase Agreements”) on March 24, 2025 to receive gross proceeds of $2,750. Additionally, the Company converted Related</w:t>
      </w:r>
    </w:p>
    <w:p>
      <w:pPr>
        <w:sectPr>
          <w:pgSz w:w="11900" w:h="16885" w:orient="portrait"/>
          <w:cols w:equalWidth="0" w:num="1">
            <w:col w:w="9019"/>
          </w:cols>
          <w:pgMar w:left="1440" w:top="221" w:right="1440" w:bottom="0" w:gutter="0" w:footer="0" w:header="0"/>
        </w:sectPr>
      </w:pPr>
    </w:p>
    <w:bookmarkStart w:id="83" w:name="page84"/>
    <w:bookmarkEnd w:id="83"/>
    <w:p>
      <w:pPr>
        <w:ind w:left="1160" w:right="1459"/>
        <w:spacing w:after="0" w:line="262" w:lineRule="auto"/>
        <w:rPr>
          <w:sz w:val="20"/>
          <w:szCs w:val="20"/>
          <w:color w:val="auto"/>
        </w:rPr>
      </w:pPr>
      <w:r>
        <w:rPr>
          <w:rFonts w:ascii="Times New Roman" w:cs="Times New Roman" w:eastAsia="Times New Roman" w:hAnsi="Times New Roman"/>
          <w:sz w:val="14"/>
          <w:szCs w:val="14"/>
          <w:color w:val="auto"/>
        </w:rPr>
        <w:t>party notes into Series C equity, with aggregate principal of $14,000, as discussed in Note 5. Borrowings. The conversion was not determined to be a trouble debt restructuring. Further, the Company entered into a financing agreement on March 25, 2025 to receive up to $30,000 in exchange for convertible debentures, contingent upon certain reporting requirements. For further details on these events, refer to Note 21.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-416560</wp:posOffset>
            </wp:positionV>
            <wp:extent cx="716026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1"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w:t>
      </w:r>
    </w:p>
    <w:p>
      <w:pPr>
        <w:spacing w:after="0" w:line="99"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4"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44"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1" w:lineRule="exact"/>
        <w:rPr>
          <w:sz w:val="20"/>
          <w:szCs w:val="20"/>
          <w:color w:val="auto"/>
        </w:rPr>
      </w:pPr>
    </w:p>
    <w:p>
      <w:pPr>
        <w:ind w:left="1160" w:right="1199" w:firstLine="258"/>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 Observable inputs other than quoted prices in Level 1, such as quoted prices for similar assets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liabilities in active markets; quoted prices in markets that are not active; or other inputs that are observable or can be corroborated by observable market data.</w:t>
      </w:r>
    </w:p>
    <w:p>
      <w:pPr>
        <w:spacing w:after="0" w:line="91" w:lineRule="exact"/>
        <w:rPr>
          <w:sz w:val="20"/>
          <w:szCs w:val="20"/>
          <w:color w:val="auto"/>
        </w:rPr>
      </w:pPr>
    </w:p>
    <w:p>
      <w:pPr>
        <w:ind w:left="1160" w:right="1299" w:firstLine="258"/>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 Unobservable inputs that are supported by little or no market activity and reflect management’s best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estimate of what market participants would use in pricing the asset or liability. Consideration is given to the risk inherent in the valuation technique and the risk inherent in the inputs to the model.</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Equity Method Investments</w:t>
      </w:r>
    </w:p>
    <w:p>
      <w:pPr>
        <w:spacing w:after="0" w:line="142"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Equity method investments are investments where the Company does not consolidate the investee, but can exert significant influence over the financial and operating policies of the investee.</w:t>
      </w:r>
    </w:p>
    <w:p>
      <w:pPr>
        <w:spacing w:after="0" w:line="81"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w:t>
      </w:r>
    </w:p>
    <w:p>
      <w:pPr>
        <w:spacing w:after="0" w:line="10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Exchange-traded Investments</w:t>
      </w:r>
    </w:p>
    <w:p>
      <w:pPr>
        <w:spacing w:after="0" w:line="142" w:lineRule="exact"/>
        <w:rPr>
          <w:sz w:val="20"/>
          <w:szCs w:val="20"/>
          <w:color w:val="auto"/>
        </w:rPr>
      </w:pPr>
    </w:p>
    <w:p>
      <w:pPr>
        <w:ind w:left="1160" w:right="1299" w:firstLine="258"/>
        <w:spacing w:after="0" w:line="292" w:lineRule="auto"/>
        <w:rPr>
          <w:sz w:val="20"/>
          <w:szCs w:val="20"/>
          <w:color w:val="auto"/>
        </w:rPr>
      </w:pPr>
      <w:r>
        <w:rPr>
          <w:rFonts w:ascii="Times New Roman" w:cs="Times New Roman" w:eastAsia="Times New Roman" w:hAnsi="Times New Roman"/>
          <w:sz w:val="14"/>
          <w:szCs w:val="14"/>
          <w:color w:val="auto"/>
        </w:rPr>
        <w:t>Exchange-traded equity investments are generally carried at fair value on the consolidated balance sheets with changes in the fair value recorded through net income (“FVTNI”) within non-operating income (expense).</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Variable Interest and Voting Interest Entities</w:t>
      </w:r>
    </w:p>
    <w:p>
      <w:pPr>
        <w:spacing w:after="0" w:line="142" w:lineRule="exact"/>
        <w:rPr>
          <w:sz w:val="20"/>
          <w:szCs w:val="20"/>
          <w:color w:val="auto"/>
        </w:rPr>
      </w:pPr>
    </w:p>
    <w:p>
      <w:pPr>
        <w:ind w:left="1160" w:right="1219" w:firstLine="258"/>
        <w:spacing w:after="0" w:line="261" w:lineRule="auto"/>
        <w:rPr>
          <w:sz w:val="20"/>
          <w:szCs w:val="20"/>
          <w:color w:val="auto"/>
        </w:rPr>
      </w:pPr>
      <w:r>
        <w:rPr>
          <w:rFonts w:ascii="Times New Roman" w:cs="Times New Roman" w:eastAsia="Times New Roman" w:hAnsi="Times New Roman"/>
          <w:sz w:val="14"/>
          <w:szCs w:val="14"/>
          <w:color w:val="auto"/>
        </w:rPr>
        <w:t>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w:t>
      </w:r>
    </w:p>
    <w:p>
      <w:pPr>
        <w:spacing w:after="0" w:line="275"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w:t>
      </w:r>
    </w:p>
    <w:p>
      <w:pPr>
        <w:sectPr>
          <w:pgSz w:w="11900" w:h="16838" w:orient="portrait"/>
          <w:cols w:equalWidth="0" w:num="1">
            <w:col w:w="9019"/>
          </w:cols>
          <w:pgMar w:left="1440" w:top="94" w:right="1440" w:bottom="0" w:gutter="0" w:footer="0" w:header="0"/>
        </w:sectPr>
      </w:pP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Impairments of Investments</w:t>
      </w:r>
    </w:p>
    <w:p>
      <w:pPr>
        <w:sectPr>
          <w:pgSz w:w="11900" w:h="16838" w:orient="portrait"/>
          <w:cols w:equalWidth="0" w:num="1">
            <w:col w:w="9019"/>
          </w:cols>
          <w:pgMar w:left="1440" w:top="94" w:right="1440" w:bottom="0" w:gutter="0" w:footer="0" w:header="0"/>
          <w:type w:val="continuous"/>
        </w:sectPr>
      </w:pPr>
    </w:p>
    <w:bookmarkStart w:id="84" w:name="page85"/>
    <w:bookmarkEnd w:id="84"/>
    <w:p>
      <w:pPr>
        <w:ind w:left="1160" w:right="1219" w:firstLine="258"/>
        <w:spacing w:after="0" w:line="273" w:lineRule="auto"/>
        <w:rPr>
          <w:sz w:val="20"/>
          <w:szCs w:val="20"/>
          <w:color w:val="auto"/>
        </w:rPr>
      </w:pPr>
      <w:r>
        <w:rPr>
          <w:rFonts w:ascii="Times New Roman" w:cs="Times New Roman" w:eastAsia="Times New Roman" w:hAnsi="Times New Roman"/>
          <w:sz w:val="14"/>
          <w:szCs w:val="14"/>
          <w:color w:val="auto"/>
        </w:rPr>
        <w:t>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-318770</wp:posOffset>
            </wp:positionV>
            <wp:extent cx="716026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4" w:lineRule="exact"/>
        <w:rPr>
          <w:sz w:val="20"/>
          <w:szCs w:val="20"/>
          <w:color w:val="auto"/>
        </w:rPr>
      </w:pPr>
    </w:p>
    <w:p>
      <w:pPr>
        <w:ind w:left="1160" w:right="1559" w:firstLine="258"/>
        <w:spacing w:after="0" w:line="292" w:lineRule="auto"/>
        <w:rPr>
          <w:sz w:val="20"/>
          <w:szCs w:val="20"/>
          <w:color w:val="auto"/>
        </w:rPr>
      </w:pPr>
      <w:r>
        <w:rPr>
          <w:rFonts w:ascii="Times New Roman" w:cs="Times New Roman" w:eastAsia="Times New Roman" w:hAnsi="Times New Roman"/>
          <w:sz w:val="14"/>
          <w:szCs w:val="14"/>
          <w:color w:val="auto"/>
        </w:rPr>
        <w:t>Impairment evaluation considers qualitative factors, including the financial conditions and specific events related to an investee, that may indicate the fair value of the investment is less than its carrying value.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Available-for-Sale Investments</w:t>
      </w:r>
    </w:p>
    <w:p>
      <w:pPr>
        <w:spacing w:after="0" w:line="142"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Available-for-sale (“AFS”) debt securities are generally reported at estimated fair value, with unrealized gains and losses recorded in accumulated other comprehensive loss which is included within stockholders’ deficit. AFS debt securities with an amortized cost basis in excess of estimated fair value are assessed to determine what amount of that difference, if any, is caused by expected credit losses. Allowance for credit losses on AFS debt securities are recognized as a charge in other loss on our consolidated statements of income, and any remaining unrealized losses, net of taxes, are included in accumulated other comprehensive income (loss) in stockholders' equity.</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44"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w:t>
      </w:r>
    </w:p>
    <w:p>
      <w:pPr>
        <w:spacing w:after="0" w:line="99"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2024 and 2023, the Company had restricted cash related to the capital raise of $— and $100, respectively.</w:t>
      </w:r>
    </w:p>
    <w:p>
      <w:pPr>
        <w:spacing w:after="0" w:line="97" w:lineRule="exact"/>
        <w:rPr>
          <w:sz w:val="20"/>
          <w:szCs w:val="20"/>
          <w:color w:val="auto"/>
        </w:rPr>
      </w:pPr>
    </w:p>
    <w:p>
      <w:pPr>
        <w:jc w:val="both"/>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Additionally, the Company maintains certain compensating balances that may be withdrawn, but the availability of short-term lines of credit is dependent upon the maintenance of such compensating balances. As of December 31, 2024 and 2023, the Company had compensating balances of $100 and $300, respectively.</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44" w:lineRule="exact"/>
        <w:rPr>
          <w:sz w:val="20"/>
          <w:szCs w:val="20"/>
          <w:color w:val="auto"/>
        </w:rPr>
      </w:pPr>
    </w:p>
    <w:p>
      <w:pPr>
        <w:ind w:left="1160" w:right="1579" w:firstLine="258"/>
        <w:spacing w:after="0" w:line="292"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Cost is determined principally under the average cost method.</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44"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lease terms for Leasehold improvements. The Company expenses normal maintenance and repair costs as incurred.</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 depreciated over the revised useful life. Assets to be disposed of are reported at the lower of the carrying value of estimated fair value less estimated costs to sell.</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44"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Intangible assets with finite lives are amortized over their estimated useful lives and reviewed for impairment whenever events or other changes in circumstances indicate that the carrying amount may not be recoverable.</w:t>
      </w:r>
    </w:p>
    <w:p>
      <w:pPr>
        <w:spacing w:after="0" w:line="81"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19"/>
        <w:spacing w:after="0" w:line="292" w:lineRule="auto"/>
        <w:rPr>
          <w:sz w:val="20"/>
          <w:szCs w:val="20"/>
          <w:color w:val="auto"/>
        </w:rPr>
      </w:pPr>
      <w:r>
        <w:rPr>
          <w:rFonts w:ascii="Times New Roman" w:cs="Times New Roman" w:eastAsia="Times New Roman" w:hAnsi="Times New Roman"/>
          <w:sz w:val="14"/>
          <w:szCs w:val="14"/>
          <w:color w:val="auto"/>
        </w:rPr>
        <w:t>the carrying value of the assets exceeds their estimated fair value determined by either a quoted market price, if any, or a value determined by utilizing a discounted cash flow technique.</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44" w:lineRule="exact"/>
        <w:rPr>
          <w:sz w:val="20"/>
          <w:szCs w:val="20"/>
          <w:color w:val="auto"/>
        </w:rPr>
      </w:pPr>
    </w:p>
    <w:p>
      <w:pPr>
        <w:ind w:left="1160" w:right="1179" w:firstLine="258"/>
        <w:spacing w:after="0" w:line="292" w:lineRule="auto"/>
        <w:rPr>
          <w:sz w:val="20"/>
          <w:szCs w:val="20"/>
          <w:color w:val="auto"/>
        </w:rPr>
      </w:pPr>
      <w:r>
        <w:rPr>
          <w:rFonts w:ascii="Times New Roman" w:cs="Times New Roman" w:eastAsia="Times New Roman" w:hAnsi="Times New Roman"/>
          <w:sz w:val="14"/>
          <w:szCs w:val="14"/>
          <w:color w:val="auto"/>
        </w:rPr>
        <w:t>Goodwill reflects the excess purchase price over the fair value of net tangible and intangible assets acquired in a business combination.</w:t>
      </w:r>
    </w:p>
    <w:p>
      <w:pPr>
        <w:spacing w:after="0" w:line="81"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w:t>
      </w:r>
    </w:p>
    <w:p>
      <w:pPr>
        <w:sectPr>
          <w:pgSz w:w="11900" w:h="16838" w:orient="portrait"/>
          <w:cols w:equalWidth="0" w:num="1">
            <w:col w:w="9019"/>
          </w:cols>
          <w:pgMar w:left="1440" w:top="94" w:right="1440" w:bottom="0" w:gutter="0" w:footer="0" w:header="0"/>
        </w:sectPr>
      </w:pPr>
    </w:p>
    <w:bookmarkStart w:id="85" w:name="page86"/>
    <w:bookmarkEnd w:id="85"/>
    <w:p>
      <w:pPr>
        <w:ind w:left="1160" w:right="1559"/>
        <w:spacing w:after="0" w:line="209" w:lineRule="auto"/>
        <w:rPr>
          <w:sz w:val="20"/>
          <w:szCs w:val="20"/>
          <w:color w:val="auto"/>
        </w:rPr>
      </w:pPr>
      <w:r>
        <w:rPr>
          <w:rFonts w:ascii="Times New Roman" w:cs="Times New Roman" w:eastAsia="Times New Roman" w:hAnsi="Times New Roman"/>
          <w:sz w:val="14"/>
          <w:szCs w:val="14"/>
          <w:color w:val="auto"/>
        </w:rPr>
        <w:t>impairment loss equal to the difference. The Company operates in one operating segment which the Company considers to be its only reporting unit. There were no impairments of goodwill recognized 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-147955</wp:posOffset>
            </wp:positionV>
            <wp:extent cx="716026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December 31, 2024.</w:t>
      </w:r>
    </w:p>
    <w:p>
      <w:pPr>
        <w:spacing w:after="0" w:line="1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Stock and Warrants</w:t>
      </w:r>
    </w:p>
    <w:p>
      <w:pPr>
        <w:spacing w:after="0" w:line="144"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w:t>
      </w:r>
    </w:p>
    <w:p>
      <w:pPr>
        <w:spacing w:after="0" w:line="101" w:lineRule="exact"/>
        <w:rPr>
          <w:sz w:val="20"/>
          <w:szCs w:val="20"/>
          <w:color w:val="auto"/>
        </w:rPr>
      </w:pPr>
    </w:p>
    <w:p>
      <w:pPr>
        <w:ind w:left="1160" w:right="1279" w:firstLine="258"/>
        <w:spacing w:after="0" w:line="263" w:lineRule="auto"/>
        <w:rPr>
          <w:sz w:val="20"/>
          <w:szCs w:val="20"/>
          <w:color w:val="auto"/>
        </w:rPr>
      </w:pPr>
      <w:r>
        <w:rPr>
          <w:rFonts w:ascii="Times New Roman" w:cs="Times New Roman" w:eastAsia="Times New Roman" w:hAnsi="Times New Roman"/>
          <w:sz w:val="14"/>
          <w:szCs w:val="14"/>
          <w:color w:val="auto"/>
        </w:rPr>
        <w:t>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judgement and is conducted at the time of warrant issuance and as of each reconsideration and balance sheet date while the warrants are outstanding.</w:t>
      </w:r>
    </w:p>
    <w:p>
      <w:pPr>
        <w:spacing w:after="0" w:line="101"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4"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w:t>
      </w:r>
    </w:p>
    <w:p>
      <w:pPr>
        <w:spacing w:after="0" w:line="99"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ESG Fund I, L.P. (the “ESG Fund”), are recognized over time using the time-elapsed method, resulting in straight-line revenue recognition over the performance period. These fees are calculated and paid quarterly in advance based on the capital commitments at the start of each quarter.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639"/>
        <w:spacing w:after="0" w:line="292" w:lineRule="auto"/>
        <w:rPr>
          <w:sz w:val="20"/>
          <w:szCs w:val="20"/>
          <w:color w:val="auto"/>
        </w:rPr>
      </w:pPr>
      <w:r>
        <w:rPr>
          <w:rFonts w:ascii="Times New Roman" w:cs="Times New Roman" w:eastAsia="Times New Roman" w:hAnsi="Times New Roman"/>
          <w:sz w:val="14"/>
          <w:szCs w:val="14"/>
          <w:color w:val="auto"/>
        </w:rPr>
        <w:t>return levels, usually 8%. These allocations are considered variable consideration and are recognized when a significant reversal is no longer probable.</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participates in multiple stock-based compensation plans which are further discussed in Note 14.</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26" w:lineRule="exact"/>
        <w:rPr>
          <w:sz w:val="20"/>
          <w:szCs w:val="20"/>
          <w:color w:val="auto"/>
        </w:rPr>
      </w:pPr>
    </w:p>
    <w:p>
      <w:pPr>
        <w:ind w:left="1160" w:right="1199" w:firstLine="258"/>
        <w:spacing w:after="0" w:line="267" w:lineRule="auto"/>
        <w:rPr>
          <w:sz w:val="20"/>
          <w:szCs w:val="20"/>
          <w:color w:val="auto"/>
        </w:rPr>
      </w:pPr>
      <w:r>
        <w:rPr>
          <w:rFonts w:ascii="Times New Roman" w:cs="Times New Roman" w:eastAsia="Times New Roman" w:hAnsi="Times New Roman"/>
          <w:sz w:val="14"/>
          <w:szCs w:val="14"/>
          <w:color w:val="auto"/>
        </w:rPr>
        <w:t>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w:t>
      </w:r>
    </w:p>
    <w:p>
      <w:pPr>
        <w:spacing w:after="0" w:line="272"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Expense related to grants of stock-based awards is included in the respective expense category in which the employee serves in the consolidated statements of operations and comprehensive income (loss). The Company recognizes forfeitures as they occur.</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4"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There was no federal income tax recorded by Innventure LLC for the year ended December 31, 2023, but corporate income taxes were recorded for the period from January 1, 2024 through October 1, 2024.</w:t>
      </w:r>
    </w:p>
    <w:p>
      <w:pPr>
        <w:spacing w:after="0" w:line="101" w:lineRule="exact"/>
        <w:rPr>
          <w:sz w:val="20"/>
          <w:szCs w:val="20"/>
          <w:color w:val="auto"/>
        </w:rPr>
      </w:pPr>
    </w:p>
    <w:p>
      <w:pPr>
        <w:ind w:left="1160" w:right="1179" w:firstLine="258"/>
        <w:spacing w:after="0" w:line="259" w:lineRule="auto"/>
        <w:rPr>
          <w:sz w:val="20"/>
          <w:szCs w:val="20"/>
          <w:color w:val="auto"/>
        </w:rPr>
      </w:pPr>
      <w:r>
        <w:rPr>
          <w:rFonts w:ascii="Times New Roman" w:cs="Times New Roman" w:eastAsia="Times New Roman" w:hAnsi="Times New Roman"/>
          <w:sz w:val="14"/>
          <w:szCs w:val="14"/>
          <w:color w:val="auto"/>
        </w:rPr>
        <w:t>On October 2, 2024, the Business Combination occurred which merged Innventure LLC into Innventure Merger Sub, LLC, a wholly owned subsidiary of the Company. The Company became a publicly traded entity and is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ectPr>
          <w:pgSz w:w="11900" w:h="16838" w:orient="portrait"/>
          <w:cols w:equalWidth="0" w:num="1">
            <w:col w:w="9019"/>
          </w:cols>
          <w:pgMar w:left="1440" w:top="94" w:right="1440" w:bottom="0" w:gutter="0" w:footer="0" w:header="0"/>
        </w:sectPr>
      </w:pPr>
    </w:p>
    <w:bookmarkStart w:id="86" w:name="page87"/>
    <w:bookmarkEnd w:id="86"/>
    <w:p>
      <w:pPr>
        <w:ind w:left="1160" w:right="1299" w:firstLine="258"/>
        <w:spacing w:after="0" w:line="217" w:lineRule="auto"/>
        <w:rPr>
          <w:sz w:val="20"/>
          <w:szCs w:val="20"/>
          <w:color w:val="auto"/>
        </w:rPr>
      </w:pPr>
      <w:r>
        <w:rPr>
          <w:rFonts w:ascii="Times New Roman" w:cs="Times New Roman" w:eastAsia="Times New Roman" w:hAnsi="Times New Roman"/>
          <w:sz w:val="14"/>
          <w:szCs w:val="14"/>
          <w:color w:val="auto"/>
        </w:rPr>
        <w:t>The Company follows the provisions of ASC 740-10 related to the accounting for uncertainty in income taxes recognized in an enterprise’s financial statements. ASC 740-10 prescribes a comprehensive model for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-154940</wp:posOffset>
            </wp:positionV>
            <wp:extent cx="716026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179"/>
        <w:spacing w:after="0" w:line="257" w:lineRule="auto"/>
        <w:rPr>
          <w:sz w:val="20"/>
          <w:szCs w:val="20"/>
          <w:color w:val="auto"/>
        </w:rPr>
      </w:pPr>
      <w:r>
        <w:rPr>
          <w:rFonts w:ascii="Times New Roman" w:cs="Times New Roman" w:eastAsia="Times New Roman" w:hAnsi="Times New Roman"/>
          <w:sz w:val="14"/>
          <w:szCs w:val="14"/>
          <w:color w:val="auto"/>
        </w:rPr>
        <w:t>statement recognition, measurement, presentation and disclosure of uncertain tax positions taken or expected to be 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2024 and 2023, no liability for unrecognized tax benefits was required to be reported. The Company does not expect any significant changes in unrecognized tax benefits in the next year.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42" w:lineRule="exact"/>
        <w:rPr>
          <w:sz w:val="20"/>
          <w:szCs w:val="20"/>
          <w:color w:val="auto"/>
        </w:rPr>
      </w:pPr>
    </w:p>
    <w:p>
      <w:pPr>
        <w:ind w:left="1160" w:right="1279" w:firstLine="258"/>
        <w:spacing w:after="0" w:line="264" w:lineRule="auto"/>
        <w:rPr>
          <w:sz w:val="20"/>
          <w:szCs w:val="20"/>
          <w:color w:val="auto"/>
        </w:rPr>
      </w:pPr>
      <w:r>
        <w:rPr>
          <w:rFonts w:ascii="Times New Roman" w:cs="Times New Roman" w:eastAsia="Times New Roman" w:hAnsi="Times New Roman"/>
          <w:sz w:val="14"/>
          <w:szCs w:val="14"/>
          <w:color w:val="auto"/>
        </w:rPr>
        <w:t xml:space="preserve">In June 2022, the FASB issued ASU 2022-03, </w:t>
      </w:r>
      <w:r>
        <w:rPr>
          <w:rFonts w:ascii="Times New Roman" w:cs="Times New Roman" w:eastAsia="Times New Roman" w:hAnsi="Times New Roman"/>
          <w:sz w:val="14"/>
          <w:szCs w:val="14"/>
          <w:i w:val="1"/>
          <w:iCs w:val="1"/>
          <w:color w:val="auto"/>
        </w:rPr>
        <w:t>Fair Value Measurement (Topic 820): Fair Value Measurement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of Equity Securities Subject to Contractual Sale Restrictions </w:t>
      </w:r>
      <w:r>
        <w:rPr>
          <w:rFonts w:ascii="Times New Roman" w:cs="Times New Roman" w:eastAsia="Times New Roman" w:hAnsi="Times New Roman"/>
          <w:sz w:val="14"/>
          <w:szCs w:val="14"/>
          <w:color w:val="auto"/>
        </w:rPr>
        <w:t>("ASU 2022-03"). ASU 2022-03 clarifies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 sale restrictions should not be considered in measuring the fair value of equity securities. ASU 2022-03 is effective for fiscal years beginning after December 15, 2023, including interim periods therein, with early adoption permitted. The Company adopted this ASU on January 1, 2024, and the adoption did not have a material impact on the Company’s consolidated financial statements.</w:t>
      </w:r>
    </w:p>
    <w:p>
      <w:pPr>
        <w:spacing w:after="0" w:line="97" w:lineRule="exact"/>
        <w:rPr>
          <w:sz w:val="20"/>
          <w:szCs w:val="20"/>
          <w:color w:val="auto"/>
        </w:rPr>
      </w:pPr>
    </w:p>
    <w:p>
      <w:pPr>
        <w:ind w:left="1160" w:right="1219" w:firstLine="258"/>
        <w:spacing w:after="0" w:line="264"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Reportable Segment Disclosures </w:t>
      </w:r>
      <w:r>
        <w:rPr>
          <w:rFonts w:ascii="Times New Roman" w:cs="Times New Roman" w:eastAsia="Times New Roman" w:hAnsi="Times New Roman"/>
          <w:sz w:val="14"/>
          <w:szCs w:val="14"/>
          <w:color w:val="auto"/>
        </w:rPr>
        <w:t>("ASU 2023-07"), which enhances prior reportable segment disclosure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20. Business Segment Data.</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But Not Yet Adopted Accounting Standards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 xml:space="preserve">In October 2023, the FASB issued ASU 2023-06, </w:t>
      </w:r>
      <w:r>
        <w:rPr>
          <w:rFonts w:ascii="Times New Roman" w:cs="Times New Roman" w:eastAsia="Times New Roman" w:hAnsi="Times New Roman"/>
          <w:sz w:val="14"/>
          <w:szCs w:val="14"/>
          <w:i w:val="1"/>
          <w:iCs w:val="1"/>
          <w:color w:val="auto"/>
        </w:rPr>
        <w:t>Disclosure Improvements: Codification Amendments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Response to the SEC’s Disclosure Update and Simplification Initiative </w:t>
      </w:r>
      <w:r>
        <w:rPr>
          <w:rFonts w:ascii="Times New Roman" w:cs="Times New Roman" w:eastAsia="Times New Roman" w:hAnsi="Times New Roman"/>
          <w:sz w:val="14"/>
          <w:szCs w:val="14"/>
          <w:color w:val="auto"/>
        </w:rPr>
        <w:t>(“ASU 2023-06”). This standard modifies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103" w:lineRule="exact"/>
        <w:rPr>
          <w:sz w:val="20"/>
          <w:szCs w:val="20"/>
          <w:color w:val="auto"/>
        </w:rPr>
      </w:pPr>
    </w:p>
    <w:p>
      <w:pPr>
        <w:ind w:left="1160" w:right="1239" w:firstLine="258"/>
        <w:spacing w:after="0" w:line="264"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Disclosures </w:t>
      </w:r>
      <w:r>
        <w:rPr>
          <w:rFonts w:ascii="Times New Roman" w:cs="Times New Roman" w:eastAsia="Times New Roman" w:hAnsi="Times New Roman"/>
          <w:sz w:val="14"/>
          <w:szCs w:val="14"/>
          <w:color w:val="auto"/>
        </w:rPr>
        <w:t>("ASU 2023-09"), which requires disaggregated information about a reporting entity's effective tax 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spacing w:after="0" w:line="97" w:lineRule="exact"/>
        <w:rPr>
          <w:sz w:val="20"/>
          <w:szCs w:val="20"/>
          <w:color w:val="auto"/>
        </w:rPr>
      </w:pPr>
    </w:p>
    <w:p>
      <w:pPr>
        <w:ind w:left="1160" w:right="1419" w:firstLine="258"/>
        <w:spacing w:after="0" w:line="267"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 Disaggregation Disclosures (Subtopic 220-40): Disaggregation of Income Statement Expenses </w:t>
      </w:r>
      <w:r>
        <w:rPr>
          <w:rFonts w:ascii="Times New Roman" w:cs="Times New Roman" w:eastAsia="Times New Roman" w:hAnsi="Times New Roman"/>
          <w:sz w:val="14"/>
          <w:szCs w:val="14"/>
          <w:color w:val="auto"/>
        </w:rPr>
        <w:t>("ASU</w:t>
      </w:r>
    </w:p>
    <w:p>
      <w:pPr>
        <w:spacing w:after="0" w:line="1" w:lineRule="exact"/>
        <w:rPr>
          <w:sz w:val="20"/>
          <w:szCs w:val="20"/>
          <w:color w:val="auto"/>
        </w:rPr>
      </w:pPr>
    </w:p>
    <w:p>
      <w:pPr>
        <w:ind w:left="1160" w:right="1179"/>
        <w:spacing w:after="0" w:line="258" w:lineRule="auto"/>
        <w:rPr>
          <w:sz w:val="20"/>
          <w:szCs w:val="20"/>
          <w:color w:val="auto"/>
        </w:rPr>
      </w:pPr>
      <w:r>
        <w:rPr>
          <w:rFonts w:ascii="Times New Roman" w:cs="Times New Roman" w:eastAsia="Times New Roman" w:hAnsi="Times New Roman"/>
          <w:sz w:val="14"/>
          <w:szCs w:val="14"/>
          <w:color w:val="auto"/>
        </w:rPr>
        <w:t>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3. Investments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112"/>
        </w:trPr>
        <w:tc>
          <w:tcPr>
            <w:tcW w:w="3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5"/>
              <w:spacing w:after="0" w:line="11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55"/>
              <w:spacing w:after="0" w:line="112"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320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89"/>
        </w:trPr>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Equity-methodinvestments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17,547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r>
      <w:tr>
        <w:trPr>
          <w:trHeight w:val="198"/>
        </w:trPr>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Exchange-traded investments at fair value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r>
      <w:tr>
        <w:trPr>
          <w:trHeight w:val="210"/>
        </w:trPr>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Investment in debt securities - AFS</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11,187</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TotalInvestments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28,734</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14,167</w:t>
            </w:r>
          </w:p>
        </w:tc>
      </w:tr>
      <w:tr>
        <w:trPr>
          <w:trHeight w:val="691"/>
        </w:trPr>
        <w:tc>
          <w:tcPr>
            <w:tcW w:w="3200" w:type="dxa"/>
            <w:vAlign w:val="bottom"/>
          </w:tcPr>
          <w:p>
            <w:pPr>
              <w:spacing w:after="0"/>
              <w:rPr>
                <w:sz w:val="24"/>
                <w:szCs w:val="24"/>
                <w:color w:val="auto"/>
              </w:rPr>
            </w:pPr>
          </w:p>
        </w:tc>
        <w:tc>
          <w:tcPr>
            <w:tcW w:w="1660" w:type="dxa"/>
            <w:vAlign w:val="bottom"/>
            <w:gridSpan w:val="2"/>
          </w:tcPr>
          <w:p>
            <w:pPr>
              <w:jc w:val="right"/>
              <w:ind w:right="1308"/>
              <w:spacing w:after="0"/>
              <w:rPr>
                <w:sz w:val="20"/>
                <w:szCs w:val="20"/>
                <w:color w:val="auto"/>
              </w:rPr>
            </w:pPr>
            <w:r>
              <w:rPr>
                <w:rFonts w:ascii="Times New Roman" w:cs="Times New Roman" w:eastAsia="Times New Roman" w:hAnsi="Times New Roman"/>
                <w:sz w:val="14"/>
                <w:szCs w:val="14"/>
                <w:color w:val="auto"/>
                <w:w w:val="98"/>
              </w:rPr>
              <w:t>F-18</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Equity-method investments</w:t>
      </w:r>
    </w:p>
    <w:p>
      <w:pPr>
        <w:sectPr>
          <w:pgSz w:w="11900" w:h="16838" w:orient="portrait"/>
          <w:cols w:equalWidth="0" w:num="1">
            <w:col w:w="9019"/>
          </w:cols>
          <w:pgMar w:left="1440" w:top="94" w:right="1440" w:bottom="0" w:gutter="0" w:footer="0" w:header="0"/>
        </w:sectPr>
      </w:pP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ESG Fund</w:t>
      </w:r>
    </w:p>
    <w:p>
      <w:pPr>
        <w:sectPr>
          <w:pgSz w:w="11900" w:h="16838" w:orient="portrait"/>
          <w:cols w:equalWidth="0" w:num="1">
            <w:col w:w="9019"/>
          </w:cols>
          <w:pgMar w:left="1440" w:top="94" w:right="1440" w:bottom="0" w:gutter="0" w:footer="0" w:header="0"/>
          <w:type w:val="continuous"/>
        </w:sectPr>
      </w:pPr>
    </w:p>
    <w:bookmarkStart w:id="87" w:name="page88"/>
    <w:bookmarkEnd w:id="87"/>
    <w:p>
      <w:pPr>
        <w:spacing w:after="0" w:line="58" w:lineRule="exact"/>
        <w:rPr>
          <w:sz w:val="20"/>
          <w:szCs w:val="20"/>
          <w:color w:val="auto"/>
        </w:rPr>
      </w:pPr>
    </w:p>
    <w:p>
      <w:pPr>
        <w:ind w:left="1160" w:right="1279" w:firstLine="258"/>
        <w:spacing w:after="0" w:line="258" w:lineRule="auto"/>
        <w:rPr>
          <w:sz w:val="20"/>
          <w:szCs w:val="20"/>
          <w:color w:val="auto"/>
        </w:rPr>
      </w:pPr>
      <w:r>
        <w:rPr>
          <w:rFonts w:ascii="Times New Roman" w:cs="Times New Roman" w:eastAsia="Times New Roman" w:hAnsi="Times New Roman"/>
          <w:sz w:val="14"/>
          <w:szCs w:val="14"/>
          <w:color w:val="auto"/>
        </w:rPr>
        <w:t>During the Predecessor period, the Company’s equity-method investment in the ESG Fund reflects the Company’s general partner interest which represents approximately 5% of the ESG Fund’s total capital commitments and limited partner interests which were received in exchange for shares of Innventure LLC and Accelsius Holdings LLC prior to October 1, 2024. As of December 31, 2024, the Company’s equity-method investment in the ESG Fund solely reflects interests held by the Company as a limited partner due to the deconsolidation of certain SILOs as further discussed in Note 8. The Predecessor period general partner interest is not consolidated because the ESG Fund is not considered a VIE and the Company does not hold a controlling financial interest in the ESG Fund under the VOE model. The ESG Fund is an investment company that follows a specialized basis of accounting established by GAAP. The Company’s partnership interests in the ESG Fund are substantially illiquid. While the ESG Fund’s holdings are accounted for at fair value, the equity-method investment in the ESG Fund is adjusted to reflect the fair value of the underlying investments of the ESG Fund as of December 31, 2024 and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-1638300</wp:posOffset>
            </wp:positionV>
            <wp:extent cx="716026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AeroFlexx</w:t>
      </w:r>
    </w:p>
    <w:p>
      <w:pPr>
        <w:spacing w:after="0" w:line="142"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Company determined that AeroFlexx has insufficient equity at risk to fund its operations, as of December 31,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AeroFlexx under the equity method and held a 34% and 31% interest in AeroFlexx as of December 31, 2024 and 2023, respectively.</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Company’s carrying amounts and maximum exposure relating to AeroFlexx, were as follows:</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15"/>
        </w:trPr>
        <w:tc>
          <w:tcPr>
            <w:tcW w:w="2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Asset type</w:t>
            </w:r>
          </w:p>
        </w:tc>
        <w:tc>
          <w:tcPr>
            <w:tcW w:w="180" w:type="dxa"/>
            <w:vAlign w:val="bottom"/>
          </w:tcPr>
          <w:p>
            <w:pPr>
              <w:spacing w:after="0"/>
              <w:rPr>
                <w:sz w:val="10"/>
                <w:szCs w:val="10"/>
                <w:color w:val="auto"/>
              </w:rPr>
            </w:pPr>
          </w:p>
        </w:tc>
        <w:tc>
          <w:tcPr>
            <w:tcW w:w="8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980" w:type="dxa"/>
            <w:vAlign w:val="bottom"/>
            <w:gridSpan w:val="3"/>
          </w:tcPr>
          <w:p>
            <w:pPr>
              <w:ind w:left="220"/>
              <w:spacing w:after="0" w:line="116"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80" w:type="dxa"/>
            <w:vAlign w:val="bottom"/>
          </w:tcPr>
          <w:p>
            <w:pPr>
              <w:spacing w:after="0"/>
              <w:rPr>
                <w:sz w:val="10"/>
                <w:szCs w:val="10"/>
                <w:color w:val="auto"/>
              </w:rPr>
            </w:pPr>
          </w:p>
        </w:tc>
        <w:tc>
          <w:tcPr>
            <w:tcW w:w="80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940" w:type="dxa"/>
            <w:vAlign w:val="bottom"/>
            <w:gridSpan w:val="2"/>
          </w:tcPr>
          <w:p>
            <w:pPr>
              <w:jc w:val="right"/>
              <w:ind w:right="150"/>
              <w:spacing w:after="0" w:line="116" w:lineRule="exact"/>
              <w:rPr>
                <w:sz w:val="20"/>
                <w:szCs w:val="20"/>
                <w:color w:val="auto"/>
              </w:rPr>
            </w:pPr>
            <w:r>
              <w:rPr>
                <w:rFonts w:ascii="Times New Roman" w:cs="Times New Roman" w:eastAsia="Times New Roman" w:hAnsi="Times New Roman"/>
                <w:sz w:val="11"/>
                <w:szCs w:val="11"/>
                <w:b w:val="1"/>
                <w:bCs w:val="1"/>
                <w:color w:val="auto"/>
              </w:rPr>
              <w:t>Maximum</w:t>
            </w:r>
          </w:p>
        </w:tc>
        <w:tc>
          <w:tcPr>
            <w:tcW w:w="0" w:type="dxa"/>
            <w:vAlign w:val="bottom"/>
          </w:tcPr>
          <w:p>
            <w:pPr>
              <w:spacing w:after="0"/>
              <w:rPr>
                <w:sz w:val="1"/>
                <w:szCs w:val="1"/>
                <w:color w:val="auto"/>
              </w:rPr>
            </w:pPr>
          </w:p>
        </w:tc>
      </w:tr>
      <w:tr>
        <w:trPr>
          <w:trHeight w:val="154"/>
        </w:trPr>
        <w:tc>
          <w:tcPr>
            <w:tcW w:w="2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Exposure to Loss</w:t>
            </w:r>
          </w:p>
        </w:tc>
        <w:tc>
          <w:tcPr>
            <w:tcW w:w="1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Exposure to Loss</w:t>
            </w:r>
          </w:p>
        </w:tc>
        <w:tc>
          <w:tcPr>
            <w:tcW w:w="0" w:type="dxa"/>
            <w:vAlign w:val="bottom"/>
          </w:tcPr>
          <w:p>
            <w:pPr>
              <w:spacing w:after="0"/>
              <w:rPr>
                <w:sz w:val="1"/>
                <w:szCs w:val="1"/>
                <w:color w:val="auto"/>
              </w:rPr>
            </w:pPr>
          </w:p>
        </w:tc>
      </w:tr>
      <w:tr>
        <w:trPr>
          <w:trHeight w:val="189"/>
        </w:trPr>
        <w:tc>
          <w:tcPr>
            <w:tcW w:w="2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Equity method investment in AeroFlexx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198"/>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Investments in debt securities - AFS </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Due from related party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0" w:type="dxa"/>
            <w:vAlign w:val="bottom"/>
          </w:tcPr>
          <w:p>
            <w:pPr>
              <w:spacing w:after="0"/>
              <w:rPr>
                <w:sz w:val="1"/>
                <w:szCs w:val="1"/>
                <w:color w:val="auto"/>
              </w:rPr>
            </w:pPr>
          </w:p>
        </w:tc>
      </w:tr>
      <w:tr>
        <w:trPr>
          <w:trHeight w:val="163"/>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32,589</w:t>
            </w:r>
          </w:p>
        </w:tc>
        <w:tc>
          <w:tcPr>
            <w:tcW w:w="40" w:type="dxa"/>
            <w:vAlign w:val="bottom"/>
          </w:tcPr>
          <w:p>
            <w:pPr>
              <w:spacing w:after="0"/>
              <w:rPr>
                <w:sz w:val="14"/>
                <w:szCs w:val="14"/>
                <w:color w:val="auto"/>
              </w:rPr>
            </w:pPr>
          </w:p>
        </w:tc>
        <w:tc>
          <w:tcPr>
            <w:tcW w:w="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32,589</w:t>
            </w: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4,170</w:t>
            </w:r>
          </w:p>
        </w:tc>
        <w:tc>
          <w:tcPr>
            <w:tcW w:w="40" w:type="dxa"/>
            <w:vAlign w:val="bottom"/>
          </w:tcPr>
          <w:p>
            <w:pPr>
              <w:spacing w:after="0"/>
              <w:rPr>
                <w:sz w:val="14"/>
                <w:szCs w:val="1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4,170</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Summarized financial information:</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2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Balance sheets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rPr>
              <w:t>ESG Fund</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AeroFlexx</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0"/>
        </w:trPr>
        <w:tc>
          <w:tcPr>
            <w:tcW w:w="2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97,445</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58,022</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w:t>
            </w: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w:t>
            </w:r>
          </w:p>
        </w:tc>
        <w:tc>
          <w:tcPr>
            <w:tcW w:w="0" w:type="dxa"/>
            <w:vAlign w:val="bottom"/>
          </w:tcPr>
          <w:p>
            <w:pPr>
              <w:spacing w:after="0"/>
              <w:rPr>
                <w:sz w:val="1"/>
                <w:szCs w:val="1"/>
                <w:color w:val="auto"/>
              </w:rPr>
            </w:pPr>
          </w:p>
        </w:tc>
      </w:tr>
      <w:tr>
        <w:trPr>
          <w:trHeight w:val="198"/>
        </w:trPr>
        <w:tc>
          <w:tcPr>
            <w:tcW w:w="3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xml:space="preserve">Total Liabilities </w:t>
            </w:r>
            <w:r>
              <w:rPr>
                <w:rFonts w:ascii="Times New Roman" w:cs="Times New Roman" w:eastAsia="Times New Roman" w:hAnsi="Times New Roman"/>
                <w:sz w:val="14"/>
                <w:szCs w:val="14"/>
                <w:color w:val="B4B4B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27,861</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8,031</w:t>
            </w:r>
          </w:p>
        </w:tc>
        <w:tc>
          <w:tcPr>
            <w:tcW w:w="0" w:type="dxa"/>
            <w:vAlign w:val="bottom"/>
          </w:tcPr>
          <w:p>
            <w:pPr>
              <w:spacing w:after="0"/>
              <w:rPr>
                <w:sz w:val="1"/>
                <w:szCs w:val="1"/>
                <w:color w:val="auto"/>
              </w:rPr>
            </w:pPr>
          </w:p>
        </w:tc>
      </w:tr>
      <w:tr>
        <w:trPr>
          <w:trHeight w:val="193"/>
        </w:trPr>
        <w:tc>
          <w:tcPr>
            <w:tcW w:w="28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TotalEquity(Deficit)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57,915</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Statements of operation</w:t>
      </w:r>
    </w:p>
    <w:p>
      <w:pPr>
        <w:sectPr>
          <w:pgSz w:w="11900" w:h="16896" w:orient="portrait"/>
          <w:cols w:equalWidth="0" w:num="1">
            <w:col w:w="9019"/>
          </w:cols>
          <w:pgMar w:left="1440" w:top="125" w:right="1440" w:bottom="0" w:gutter="0" w:footer="0" w:header="0"/>
        </w:sectPr>
      </w:pPr>
    </w:p>
    <w:p>
      <w:pPr>
        <w:spacing w:after="0" w:line="201"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1"/>
          <w:szCs w:val="11"/>
          <w:b w:val="1"/>
          <w:bCs w:val="1"/>
          <w:color w:val="auto"/>
        </w:rPr>
        <w:t>ESG Fund</w:t>
      </w:r>
    </w:p>
    <w:p>
      <w:pPr>
        <w:spacing w:after="0" w:line="45"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45" w:lineRule="exact"/>
        <w:rPr>
          <w:sz w:val="20"/>
          <w:szCs w:val="20"/>
          <w:color w:val="auto"/>
        </w:rPr>
      </w:pPr>
    </w:p>
    <w:p>
      <w:pPr>
        <w:ind w:left="4340"/>
        <w:spacing w:after="0"/>
        <w:tabs>
          <w:tab w:leader="none" w:pos="530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459"/>
        <w:spacing w:after="0"/>
        <w:rPr>
          <w:sz w:val="20"/>
          <w:szCs w:val="20"/>
          <w:color w:val="auto"/>
        </w:rPr>
      </w:pPr>
      <w:r>
        <w:rPr>
          <w:rFonts w:ascii="Times New Roman" w:cs="Times New Roman" w:eastAsia="Times New Roman" w:hAnsi="Times New Roman"/>
          <w:sz w:val="11"/>
          <w:szCs w:val="11"/>
          <w:b w:val="1"/>
          <w:bCs w:val="1"/>
          <w:color w:val="auto"/>
        </w:rPr>
        <w:t>AeroFlexx</w:t>
      </w:r>
    </w:p>
    <w:p>
      <w:pPr>
        <w:spacing w:after="0" w:line="45" w:lineRule="exact"/>
        <w:rPr>
          <w:sz w:val="20"/>
          <w:szCs w:val="20"/>
          <w:color w:val="auto"/>
        </w:rPr>
      </w:pPr>
    </w:p>
    <w:p>
      <w:pPr>
        <w:jc w:val="center"/>
        <w:ind w:right="1479"/>
        <w:spacing w:after="0"/>
        <w:rPr>
          <w:sz w:val="20"/>
          <w:szCs w:val="20"/>
          <w:color w:val="auto"/>
        </w:rPr>
      </w:pPr>
      <w:r>
        <w:rPr>
          <w:rFonts w:ascii="Times New Roman" w:cs="Times New Roman" w:eastAsia="Times New Roman" w:hAnsi="Times New Roman"/>
          <w:sz w:val="11"/>
          <w:szCs w:val="11"/>
          <w:b w:val="1"/>
          <w:bCs w:val="1"/>
          <w:color w:val="auto"/>
        </w:rPr>
        <w:t>Years ended December 31,</w:t>
      </w:r>
    </w:p>
    <w:p>
      <w:pPr>
        <w:spacing w:after="0" w:line="4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1"/>
          <w:szCs w:val="11"/>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2023</w:t>
      </w:r>
    </w:p>
    <w:p>
      <w:pPr>
        <w:spacing w:after="0" w:line="24" w:lineRule="exact"/>
        <w:rPr>
          <w:sz w:val="20"/>
          <w:szCs w:val="20"/>
          <w:color w:val="auto"/>
        </w:rPr>
      </w:pPr>
    </w:p>
    <w:p>
      <w:pPr>
        <w:sectPr>
          <w:pgSz w:w="11900" w:h="16896" w:orient="portrait"/>
          <w:cols w:equalWidth="0" w:num="2">
            <w:col w:w="5580" w:space="660"/>
            <w:col w:w="2779"/>
          </w:cols>
          <w:pgMar w:left="1440" w:top="125" w:right="1440" w:bottom="0" w:gutter="0" w:footer="0" w:header="0"/>
          <w:type w:val="continuous"/>
        </w:sectPr>
      </w:pPr>
    </w:p>
    <w:tbl>
      <w:tblPr>
        <w:tblLayout w:type="fixed"/>
        <w:tblInd w:w="1160" w:type="dxa"/>
        <w:tblCellMar>
          <w:top w:w="0" w:type="dxa"/>
          <w:left w:w="0" w:type="dxa"/>
          <w:bottom w:w="0" w:type="dxa"/>
          <w:right w:w="0" w:type="dxa"/>
        </w:tblCellMar>
      </w:tblPr>
      <w:tr>
        <w:trPr>
          <w:trHeight w:val="193"/>
        </w:trPr>
        <w:tc>
          <w:tcPr>
            <w:tcW w:w="2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4"/>
                <w:szCs w:val="14"/>
                <w:color w:val="B4B4B4"/>
              </w:rPr>
              <w:t>...............................................................</w:t>
            </w:r>
          </w:p>
        </w:tc>
        <w:tc>
          <w:tcPr>
            <w:tcW w:w="3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Gross (Loss) Profit </w:t>
            </w:r>
            <w:r>
              <w:rPr>
                <w:rFonts w:ascii="Times New Roman" w:cs="Times New Roman" w:eastAsia="Times New Roman" w:hAnsi="Times New Roman"/>
                <w:sz w:val="14"/>
                <w:szCs w:val="14"/>
                <w:color w:val="B4B4B4"/>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r>
              <w:rPr>
                <w:rFonts w:ascii="Times New Roman" w:cs="Times New Roman" w:eastAsia="Times New Roman" w:hAnsi="Times New Roman"/>
                <w:sz w:val="14"/>
                <w:szCs w:val="14"/>
                <w:color w:val="B4B4B4"/>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(8,221)</w:t>
            </w: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Exchange-traded investments</w:t>
      </w:r>
    </w:p>
    <w:p>
      <w:pPr>
        <w:spacing w:after="0" w:line="144" w:lineRule="exact"/>
        <w:rPr>
          <w:sz w:val="20"/>
          <w:szCs w:val="20"/>
          <w:color w:val="auto"/>
        </w:rPr>
      </w:pPr>
    </w:p>
    <w:p>
      <w:pPr>
        <w:ind w:left="1160" w:right="1259" w:firstLine="258"/>
        <w:spacing w:after="0" w:line="262" w:lineRule="auto"/>
        <w:rPr>
          <w:sz w:val="20"/>
          <w:szCs w:val="20"/>
          <w:color w:val="auto"/>
        </w:rPr>
      </w:pPr>
      <w:r>
        <w:rPr>
          <w:rFonts w:ascii="Times New Roman" w:cs="Times New Roman" w:eastAsia="Times New Roman" w:hAnsi="Times New Roman"/>
          <w:sz w:val="14"/>
          <w:szCs w:val="14"/>
          <w:color w:val="auto"/>
        </w:rPr>
        <w:t>The Company previously invested in PureCycle Technologies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During the Predecessor period from January 1, 2024 through October 1, 2024, the Company sold 400,000 PCT shares for aggregate net proceeds of $2,302. The PCT shares were measured at their fair value immediately prior to the transactions. All remaining PCT shares were derecognized as a result of the Business Combination.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Investment in debt securities - AFS</w:t>
      </w:r>
    </w:p>
    <w:p>
      <w:pPr>
        <w:spacing w:after="0" w:line="144"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On July 1, 2024, the Company entered into a loan agreement with AeroFlexx under which the Company will lend up to $10,000 to AeroFlexx. As of July 1, 2024, the aggregate outstanding principal of working capital interest-free advances to AeroFlexx, amounting to $7,635 were included as outstanding term loans under this agreement. During the Predecessor period from January 1, 2024 through October 1, 2024, the Company lent AeroFlexx the remaining principal balance of $2,365 under this agreement.</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Company has an option to convert the outstanding principal amount of the term loans and any unpaid</w:t>
      </w:r>
    </w:p>
    <w:p>
      <w:pPr>
        <w:sectPr>
          <w:pgSz w:w="11900" w:h="16896" w:orient="portrait"/>
          <w:cols w:equalWidth="0" w:num="1">
            <w:col w:w="9019"/>
          </w:cols>
          <w:pgMar w:left="1440" w:top="125" w:right="1440" w:bottom="0" w:gutter="0" w:footer="0" w:header="0"/>
          <w:type w:val="continuous"/>
        </w:sectPr>
      </w:pPr>
    </w:p>
    <w:bookmarkStart w:id="88" w:name="page89"/>
    <w:bookmarkEnd w:id="88"/>
    <w:p>
      <w:pPr>
        <w:ind w:left="1160" w:right="1179"/>
        <w:spacing w:after="0" w:line="292" w:lineRule="auto"/>
        <w:rPr>
          <w:sz w:val="20"/>
          <w:szCs w:val="20"/>
          <w:color w:val="auto"/>
        </w:rPr>
      </w:pPr>
      <w:r>
        <w:rPr>
          <w:rFonts w:ascii="Times New Roman" w:cs="Times New Roman" w:eastAsia="Times New Roman" w:hAnsi="Times New Roman"/>
          <w:sz w:val="14"/>
          <w:szCs w:val="14"/>
          <w:color w:val="auto"/>
        </w:rPr>
        <w:t>accrued interest into shares or units in connection with the next issuance of equity securities by AeroFlexx, at a price equal to 100% of the price per share or unit and on the same terms and conditions as apply to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-245745</wp:posOffset>
            </wp:positionV>
            <wp:extent cx="716026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If, by January 1, 2025, AeroFlexx has not raised equity financing equal to or more than a target of $10,000, then on January 2, 2025, the outstanding principal and any unpaid accrued interest on the term loans will automatically convert into Class D preferred units of AeroFlexx at the same price per unit and on the same terms and conditions as the Class D preferred unit of AeroFlexx purchased by the Company prior to the date of this loan agreement, up to the amount necessary to reach the $10,000 target.</w:t>
      </w:r>
    </w:p>
    <w:p>
      <w:pPr>
        <w:spacing w:after="0" w:line="99"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97"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The amortized cost, gross unrealized gains and losses, and fair value of AFS debt securities as of December 31, 2024 is represented in the table below:</w:t>
      </w:r>
    </w:p>
    <w:p>
      <w:pPr>
        <w:spacing w:after="0" w:line="10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Investment in Debt Securities - AFS</w:t>
            </w:r>
          </w:p>
        </w:tc>
        <w:tc>
          <w:tcPr>
            <w:tcW w:w="1680" w:type="dxa"/>
            <w:vAlign w:val="bottom"/>
            <w:tcBorders>
              <w:top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B4B4B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0" w:type="dxa"/>
            <w:vAlign w:val="bottom"/>
          </w:tcPr>
          <w:p>
            <w:pPr>
              <w:spacing w:after="0"/>
              <w:rPr>
                <w:sz w:val="1"/>
                <w:szCs w:val="1"/>
                <w:color w:val="auto"/>
              </w:rPr>
            </w:pPr>
          </w:p>
        </w:tc>
      </w:tr>
      <w:tr>
        <w:trPr>
          <w:trHeight w:val="590"/>
        </w:trPr>
        <w:tc>
          <w:tcPr>
            <w:tcW w:w="2120" w:type="dxa"/>
            <w:vAlign w:val="bottom"/>
          </w:tcPr>
          <w:p>
            <w:pPr>
              <w:spacing w:after="0"/>
              <w:rPr>
                <w:sz w:val="24"/>
                <w:szCs w:val="24"/>
                <w:color w:val="auto"/>
              </w:rPr>
            </w:pPr>
          </w:p>
        </w:tc>
        <w:tc>
          <w:tcPr>
            <w:tcW w:w="18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color w:val="auto"/>
              </w:rPr>
              <w:t>F-20</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599" w:firstLine="258"/>
        <w:spacing w:after="0" w:line="292" w:lineRule="auto"/>
        <w:rPr>
          <w:sz w:val="20"/>
          <w:szCs w:val="20"/>
          <w:color w:val="auto"/>
        </w:rPr>
      </w:pPr>
      <w:r>
        <w:rPr>
          <w:rFonts w:ascii="Times New Roman" w:cs="Times New Roman" w:eastAsia="Times New Roman" w:hAnsi="Times New Roman"/>
          <w:sz w:val="14"/>
          <w:szCs w:val="14"/>
          <w:color w:val="auto"/>
        </w:rPr>
        <w:t>At December 31, 2024, there was no allowance for credit loss related to the available for sale securities portfolio. Accrued interest receivable on available for sale debt securities totaled $216 at December 31, 2024.</w:t>
      </w:r>
    </w:p>
    <w:p>
      <w:pPr>
        <w:spacing w:after="0" w:line="81"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amortized cost and fair value of debt securities, by contractual maturity, as of December 31, 2024 is shown below. Expected maturities can differ from contractual maturities.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4780" w:type="dxa"/>
            <w:vAlign w:val="bottom"/>
          </w:tcPr>
          <w:p>
            <w:pPr>
              <w:spacing w:after="0"/>
              <w:rPr>
                <w:sz w:val="13"/>
                <w:szCs w:val="13"/>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60" w:type="dxa"/>
            <w:vAlign w:val="bottom"/>
          </w:tcPr>
          <w:p>
            <w:pPr>
              <w:spacing w:after="0"/>
              <w:rPr>
                <w:sz w:val="13"/>
                <w:szCs w:val="13"/>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89"/>
        </w:trPr>
        <w:tc>
          <w:tcPr>
            <w:tcW w:w="4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Duewithinoneyear</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Due after one year through five years </w:t>
            </w:r>
            <w:r>
              <w:rPr>
                <w:rFonts w:ascii="Times New Roman" w:cs="Times New Roman" w:eastAsia="Times New Roman" w:hAnsi="Times New Roman"/>
                <w:sz w:val="14"/>
                <w:szCs w:val="14"/>
                <w:color w:val="B4B4B4"/>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r>
      <w:tr>
        <w:trPr>
          <w:trHeight w:val="204"/>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Due after five years</w:t>
            </w:r>
            <w:r>
              <w:rPr>
                <w:rFonts w:ascii="Times New Roman" w:cs="Times New Roman" w:eastAsia="Times New Roman" w:hAnsi="Times New Roman"/>
                <w:sz w:val="14"/>
                <w:szCs w:val="14"/>
                <w:color w:val="B4B4B4"/>
              </w:rPr>
              <w:t>....................................................................................................</w:t>
            </w: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7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10,278</w:t>
            </w: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11,187</w:t>
            </w: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As the contractual maturity of the loan is in 2026, it is included in the non-current line item Investments of the consolidated balance sheets. The change in fair value of this investment in debt securities of $909 for the Successor period from October 2, 2024 through December 31, 2024 is included as Unrealized gain on available-for-sale debt securities - related party in the consolidated statements of operations and comprehensive income (loss). As this investment was acquired at fair value as part of the Business Combination there is no activity for the Predecessor periods.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4. Fair Value</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Fair Value Hierarchy</w:t>
      </w:r>
    </w:p>
    <w:p>
      <w:pPr>
        <w:spacing w:after="0" w:line="144"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tables present the Company’s fair value hierarchy for assets and liabilities measured at fair value on a recurring basis as of December 31, 2024 (Successor) and December 31, 2023 (Predecessor):</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40"/>
              <w:spacing w:after="0" w:line="110" w:lineRule="exact"/>
              <w:rPr>
                <w:sz w:val="20"/>
                <w:szCs w:val="20"/>
                <w:color w:val="auto"/>
              </w:rPr>
            </w:pPr>
            <w:r>
              <w:rPr>
                <w:rFonts w:ascii="Times New Roman" w:cs="Times New Roman" w:eastAsia="Times New Roman" w:hAnsi="Times New Roman"/>
                <w:sz w:val="11"/>
                <w:szCs w:val="11"/>
                <w:b w:val="1"/>
                <w:bCs w:val="1"/>
                <w:color w:val="auto"/>
              </w:rPr>
              <w:t>in Active</w:t>
            </w: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60" w:type="dxa"/>
            <w:vAlign w:val="bottom"/>
          </w:tcPr>
          <w:p>
            <w:pPr>
              <w:spacing w:after="0"/>
              <w:rPr>
                <w:sz w:val="10"/>
                <w:szCs w:val="10"/>
                <w:color w:val="auto"/>
              </w:rPr>
            </w:pPr>
          </w:p>
        </w:tc>
        <w:tc>
          <w:tcPr>
            <w:tcW w:w="8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2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 (Successor)</w:t>
            </w:r>
          </w:p>
        </w:tc>
        <w:tc>
          <w:tcPr>
            <w:tcW w:w="980" w:type="dxa"/>
            <w:vAlign w:val="bottom"/>
            <w:gridSpan w:val="3"/>
          </w:tcPr>
          <w:p>
            <w:pPr>
              <w:jc w:val="center"/>
              <w:ind w:right="20"/>
              <w:spacing w:after="0" w:line="116"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16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Inputs</w:t>
            </w:r>
          </w:p>
        </w:tc>
        <w:tc>
          <w:tcPr>
            <w:tcW w:w="120" w:type="dxa"/>
            <w:vAlign w:val="bottom"/>
          </w:tcPr>
          <w:p>
            <w:pPr>
              <w:spacing w:after="0"/>
              <w:rPr>
                <w:sz w:val="10"/>
                <w:szCs w:val="10"/>
                <w:color w:val="auto"/>
              </w:rPr>
            </w:pPr>
          </w:p>
        </w:tc>
        <w:tc>
          <w:tcPr>
            <w:tcW w:w="8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220" w:type="dxa"/>
            <w:vAlign w:val="bottom"/>
          </w:tcPr>
          <w:p>
            <w:pPr>
              <w:spacing w:after="0"/>
              <w:rPr>
                <w:sz w:val="10"/>
                <w:szCs w:val="10"/>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debt security - AFS</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0" w:type="dxa"/>
            <w:vAlign w:val="bottom"/>
          </w:tcPr>
          <w:p>
            <w:pPr>
              <w:spacing w:after="0"/>
              <w:rPr>
                <w:sz w:val="1"/>
                <w:szCs w:val="1"/>
                <w:color w:val="auto"/>
              </w:rPr>
            </w:pPr>
          </w:p>
        </w:tc>
      </w:tr>
      <w:tr>
        <w:trPr>
          <w:trHeight w:val="231"/>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Earnout liability</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0" w:type="dxa"/>
            <w:vAlign w:val="bottom"/>
          </w:tcPr>
          <w:p>
            <w:pPr>
              <w:spacing w:after="0"/>
              <w:rPr>
                <w:sz w:val="1"/>
                <w:szCs w:val="1"/>
                <w:color w:val="auto"/>
              </w:rPr>
            </w:pP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WTI warrant liability</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Private placement warrant liability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0" w:type="dxa"/>
            <w:vAlign w:val="bottom"/>
          </w:tcPr>
          <w:p>
            <w:pPr>
              <w:spacing w:after="0"/>
              <w:rPr>
                <w:sz w:val="1"/>
                <w:szCs w:val="1"/>
                <w:color w:val="auto"/>
              </w:rPr>
            </w:pPr>
          </w:p>
        </w:tc>
      </w:tr>
      <w:tr>
        <w:trPr>
          <w:trHeight w:val="324"/>
        </w:trPr>
        <w:tc>
          <w:tcPr>
            <w:tcW w:w="282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Quoted Prices in</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120" w:type="dxa"/>
            <w:vAlign w:val="bottom"/>
          </w:tcPr>
          <w:p>
            <w:pPr>
              <w:spacing w:after="0"/>
              <w:rPr>
                <w:sz w:val="24"/>
                <w:szCs w:val="24"/>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980" w:type="dxa"/>
            <w:vAlign w:val="bottom"/>
            <w:gridSpan w:val="3"/>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Active Markets</w:t>
            </w: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for Identical</w:t>
            </w:r>
          </w:p>
        </w:tc>
        <w:tc>
          <w:tcPr>
            <w:tcW w:w="16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Observable</w:t>
            </w:r>
          </w:p>
        </w:tc>
        <w:tc>
          <w:tcPr>
            <w:tcW w:w="120" w:type="dxa"/>
            <w:vAlign w:val="bottom"/>
          </w:tcPr>
          <w:p>
            <w:pPr>
              <w:spacing w:after="0"/>
              <w:rPr>
                <w:sz w:val="10"/>
                <w:szCs w:val="10"/>
                <w:color w:val="auto"/>
              </w:rPr>
            </w:pPr>
          </w:p>
        </w:tc>
        <w:tc>
          <w:tcPr>
            <w:tcW w:w="8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 (Predecessor)</w:t>
            </w:r>
          </w:p>
        </w:tc>
        <w:tc>
          <w:tcPr>
            <w:tcW w:w="120" w:type="dxa"/>
            <w:vAlign w:val="bottom"/>
          </w:tcPr>
          <w:p>
            <w:pPr>
              <w:spacing w:after="0"/>
              <w:rPr>
                <w:sz w:val="9"/>
                <w:szCs w:val="9"/>
                <w:color w:val="auto"/>
              </w:rPr>
            </w:pPr>
          </w:p>
        </w:tc>
        <w:tc>
          <w:tcPr>
            <w:tcW w:w="86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tcPr>
          <w:p>
            <w:pPr>
              <w:spacing w:after="0"/>
              <w:rPr>
                <w:sz w:val="9"/>
                <w:szCs w:val="9"/>
                <w:color w:val="auto"/>
              </w:rPr>
            </w:pPr>
          </w:p>
        </w:tc>
        <w:tc>
          <w:tcPr>
            <w:tcW w:w="820" w:type="dxa"/>
            <w:vAlign w:val="bottom"/>
            <w:gridSpan w:val="2"/>
          </w:tcPr>
          <w:p>
            <w:pPr>
              <w:jc w:val="center"/>
              <w:ind w:right="180"/>
              <w:spacing w:after="0" w:line="110" w:lineRule="exact"/>
              <w:rPr>
                <w:sz w:val="20"/>
                <w:szCs w:val="20"/>
                <w:color w:val="auto"/>
              </w:rPr>
            </w:pPr>
            <w:r>
              <w:rPr>
                <w:rFonts w:ascii="Times New Roman" w:cs="Times New Roman" w:eastAsia="Times New Roman" w:hAnsi="Times New Roman"/>
                <w:sz w:val="11"/>
                <w:szCs w:val="11"/>
                <w:b w:val="1"/>
                <w:bCs w:val="1"/>
                <w:color w:val="auto"/>
              </w:rPr>
              <w:t>Inputs</w:t>
            </w:r>
          </w:p>
        </w:tc>
        <w:tc>
          <w:tcPr>
            <w:tcW w:w="120" w:type="dxa"/>
            <w:vAlign w:val="bottom"/>
          </w:tcPr>
          <w:p>
            <w:pPr>
              <w:spacing w:after="0"/>
              <w:rPr>
                <w:sz w:val="9"/>
                <w:szCs w:val="9"/>
                <w:color w:val="auto"/>
              </w:rPr>
            </w:pPr>
          </w:p>
        </w:tc>
        <w:tc>
          <w:tcPr>
            <w:tcW w:w="86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w w:val="99"/>
              </w:rPr>
              <w:t>Inputs(</w:t>
            </w:r>
          </w:p>
        </w:tc>
        <w:tc>
          <w:tcPr>
            <w:tcW w:w="220" w:type="dxa"/>
            <w:vAlign w:val="bottom"/>
          </w:tcPr>
          <w:p>
            <w:pPr>
              <w:spacing w:after="0"/>
              <w:rPr>
                <w:sz w:val="9"/>
                <w:szCs w:val="9"/>
                <w:color w:val="auto"/>
              </w:rPr>
            </w:pPr>
          </w:p>
        </w:tc>
        <w:tc>
          <w:tcPr>
            <w:tcW w:w="720" w:type="dxa"/>
            <w:vAlign w:val="bottom"/>
            <w:vMerge w:val="restart"/>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Exchange-traded investments at FVTNI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40" w:type="dxa"/>
            <w:vAlign w:val="bottom"/>
          </w:tcPr>
          <w:p>
            <w:pPr>
              <w:spacing w:after="0"/>
              <w:rPr>
                <w:sz w:val="17"/>
                <w:szCs w:val="17"/>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0" w:type="dxa"/>
            <w:vAlign w:val="bottom"/>
          </w:tcPr>
          <w:p>
            <w:pPr>
              <w:spacing w:after="0"/>
              <w:rPr>
                <w:sz w:val="1"/>
                <w:szCs w:val="1"/>
                <w:color w:val="auto"/>
              </w:rPr>
            </w:pPr>
          </w:p>
        </w:tc>
      </w:tr>
      <w:tr>
        <w:trPr>
          <w:trHeight w:val="231"/>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Embedded derivative liability </w:t>
            </w:r>
            <w:r>
              <w:rPr>
                <w:rFonts w:ascii="Times New Roman" w:cs="Times New Roman" w:eastAsia="Times New Roman" w:hAnsi="Times New Roman"/>
                <w:sz w:val="14"/>
                <w:szCs w:val="14"/>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0" w:type="dxa"/>
            <w:vAlign w:val="bottom"/>
          </w:tcPr>
          <w:p>
            <w:pPr>
              <w:spacing w:after="0"/>
              <w:rPr>
                <w:sz w:val="1"/>
                <w:szCs w:val="1"/>
                <w:color w:val="auto"/>
              </w:rPr>
            </w:pPr>
          </w:p>
        </w:tc>
      </w:tr>
      <w:tr>
        <w:trPr>
          <w:trHeight w:val="192"/>
        </w:trPr>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Related party payables </w:t>
            </w:r>
            <w:r>
              <w:rPr>
                <w:rFonts w:ascii="Times New Roman" w:cs="Times New Roman" w:eastAsia="Times New Roman" w:hAnsi="Times New Roman"/>
                <w:sz w:val="14"/>
                <w:szCs w:val="14"/>
                <w:color w:val="B4B4B4"/>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160" w:right="1239"/>
        <w:spacing w:after="0" w:line="292" w:lineRule="auto"/>
        <w:rPr>
          <w:sz w:val="20"/>
          <w:szCs w:val="20"/>
          <w:color w:val="auto"/>
        </w:rPr>
      </w:pPr>
      <w:r>
        <w:rPr>
          <w:rFonts w:ascii="Times New Roman" w:cs="Times New Roman" w:eastAsia="Times New Roman" w:hAnsi="Times New Roman"/>
          <w:sz w:val="14"/>
          <w:szCs w:val="14"/>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9019"/>
          </w:cols>
          <w:pgMar w:left="1440" w:top="13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135" w:right="144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Changes in the estimated fair value of Level 3 financial assets and liabilities that are measured on a recurring basis for the Successor period from October 2, 2024 through December 31, 2024, the Predecessor period from January 1, 2024 through October 1, 2024 and the Predecessor year ended December 31, 2023, respectively, are as follows:</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Forward</w:t>
            </w:r>
          </w:p>
        </w:tc>
        <w:tc>
          <w:tcPr>
            <w:tcW w:w="14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Embedded</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in</w:t>
            </w:r>
          </w:p>
        </w:tc>
        <w:tc>
          <w:tcPr>
            <w:tcW w:w="16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Earnout</w:t>
            </w:r>
          </w:p>
        </w:tc>
        <w:tc>
          <w:tcPr>
            <w:tcW w:w="8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WTI Warrant</w:t>
            </w: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Derivative</w:t>
            </w:r>
          </w:p>
        </w:tc>
        <w:tc>
          <w:tcPr>
            <w:tcW w:w="900" w:type="dxa"/>
            <w:vAlign w:val="bottom"/>
            <w:gridSpan w:val="3"/>
          </w:tcPr>
          <w:p>
            <w:pPr>
              <w:ind w:left="40"/>
              <w:spacing w:after="0" w:line="119" w:lineRule="exact"/>
              <w:rPr>
                <w:sz w:val="20"/>
                <w:szCs w:val="20"/>
                <w:color w:val="auto"/>
              </w:rPr>
            </w:pPr>
            <w:r>
              <w:rPr>
                <w:rFonts w:ascii="Times New Roman" w:cs="Times New Roman" w:eastAsia="Times New Roman" w:hAnsi="Times New Roman"/>
                <w:sz w:val="11"/>
                <w:szCs w:val="11"/>
                <w:b w:val="1"/>
                <w:bCs w:val="1"/>
                <w:color w:val="auto"/>
              </w:rPr>
              <w:t>debt securities -</w:t>
            </w:r>
          </w:p>
        </w:tc>
        <w:tc>
          <w:tcPr>
            <w:tcW w:w="1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Contract</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AFS</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0" w:type="dxa"/>
            <w:vAlign w:val="bottom"/>
          </w:tcPr>
          <w:p>
            <w:pPr>
              <w:spacing w:after="0"/>
              <w:rPr>
                <w:sz w:val="1"/>
                <w:szCs w:val="1"/>
                <w:color w:val="auto"/>
              </w:rPr>
            </w:pPr>
          </w:p>
        </w:tc>
      </w:tr>
      <w:tr>
        <w:trPr>
          <w:trHeight w:val="124"/>
        </w:trPr>
        <w:tc>
          <w:tcPr>
            <w:tcW w:w="2220" w:type="dxa"/>
            <w:vAlign w:val="bottom"/>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w:t>
            </w:r>
          </w:p>
        </w:tc>
        <w:tc>
          <w:tcPr>
            <w:tcW w:w="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(Predecessor) </w:t>
            </w:r>
            <w:r>
              <w:rPr>
                <w:rFonts w:ascii="Times New Roman" w:cs="Times New Roman" w:eastAsia="Times New Roman" w:hAnsi="Times New Roman"/>
                <w:sz w:val="14"/>
                <w:szCs w:val="14"/>
                <w:b w:val="1"/>
                <w:bCs w:val="1"/>
                <w:color w:val="B4B4B4"/>
              </w:rPr>
              <w:t>....................................</w:t>
            </w:r>
          </w:p>
        </w:tc>
        <w:tc>
          <w:tcPr>
            <w:tcW w:w="16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Additions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22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1,994</w:t>
            </w:r>
          </w:p>
        </w:tc>
        <w:tc>
          <w:tcPr>
            <w:tcW w:w="6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r>
              <w:rPr>
                <w:rFonts w:ascii="Times New Roman" w:cs="Times New Roman" w:eastAsia="Times New Roman" w:hAnsi="Times New Roman"/>
                <w:sz w:val="14"/>
                <w:szCs w:val="14"/>
                <w:b w:val="1"/>
                <w:bCs w:val="1"/>
                <w:color w:val="B4B4B4"/>
              </w:rPr>
              <w:t>.....................................</w:t>
            </w:r>
          </w:p>
        </w:tc>
        <w:tc>
          <w:tcPr>
            <w:tcW w:w="1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Additions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10,110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Settlement</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0"/>
        </w:trPr>
        <w:tc>
          <w:tcPr>
            <w:tcW w:w="22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 October 1, 2024</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r>
              <w:rPr>
                <w:rFonts w:ascii="Times New Roman" w:cs="Times New Roman" w:eastAsia="Times New Roman" w:hAnsi="Times New Roman"/>
                <w:sz w:val="14"/>
                <w:szCs w:val="14"/>
                <w:b w:val="1"/>
                <w:bCs w:val="1"/>
                <w:color w:val="B4B4B4"/>
              </w:rPr>
              <w:t>.....................................</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Balance as of October 2, 2024</w:t>
            </w:r>
          </w:p>
        </w:tc>
        <w:tc>
          <w:tcPr>
            <w:tcW w:w="16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11,352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b w:val="1"/>
                <w:bCs w:val="1"/>
                <w:color w:val="B4B4B4"/>
              </w:rPr>
              <w:t>........................................</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Additions </w:t>
            </w:r>
            <w:r>
              <w:rPr>
                <w:rFonts w:ascii="Times New Roman" w:cs="Times New Roman" w:eastAsia="Times New Roman" w:hAnsi="Times New Roman"/>
                <w:sz w:val="14"/>
                <w:szCs w:val="14"/>
                <w:color w:val="B4B4B4"/>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15,690</w:t>
            </w:r>
          </w:p>
        </w:tc>
        <w:tc>
          <w:tcPr>
            <w:tcW w:w="0" w:type="dxa"/>
            <w:vAlign w:val="bottom"/>
          </w:tcPr>
          <w:p>
            <w:pPr>
              <w:spacing w:after="0"/>
              <w:rPr>
                <w:sz w:val="1"/>
                <w:szCs w:val="1"/>
                <w:color w:val="auto"/>
              </w:rPr>
            </w:pPr>
          </w:p>
        </w:tc>
      </w:tr>
      <w:tr>
        <w:trPr>
          <w:trHeight w:val="198"/>
        </w:trPr>
        <w:tc>
          <w:tcPr>
            <w:tcW w:w="2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Settlement</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Change in fair value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120"/>
        </w:trPr>
        <w:tc>
          <w:tcPr>
            <w:tcW w:w="2220" w:type="dxa"/>
            <w:vAlign w:val="bottom"/>
          </w:tcPr>
          <w:p>
            <w:pPr>
              <w:ind w:left="40"/>
              <w:spacing w:after="0" w:line="120"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vMerge w:val="restart"/>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11,187</w:t>
            </w:r>
          </w:p>
        </w:tc>
        <w:tc>
          <w:tcPr>
            <w:tcW w:w="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14,752</w:t>
            </w:r>
          </w:p>
        </w:tc>
        <w:tc>
          <w:tcPr>
            <w:tcW w:w="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17,230</w:t>
            </w:r>
          </w:p>
        </w:tc>
        <w:tc>
          <w:tcPr>
            <w:tcW w:w="0" w:type="dxa"/>
            <w:vAlign w:val="bottom"/>
          </w:tcPr>
          <w:p>
            <w:pPr>
              <w:spacing w:after="0"/>
              <w:rPr>
                <w:sz w:val="1"/>
                <w:szCs w:val="1"/>
                <w:color w:val="auto"/>
              </w:rPr>
            </w:pPr>
          </w:p>
        </w:tc>
      </w:tr>
      <w:tr>
        <w:trPr>
          <w:trHeight w:val="190"/>
        </w:trPr>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4"/>
                <w:szCs w:val="14"/>
                <w:b w:val="1"/>
                <w:bCs w:val="1"/>
                <w:color w:val="B4B4B4"/>
              </w:rPr>
              <w:t>........................................</w:t>
            </w: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There were no transfers in or out of levels during the Successor period from October 2, 2024 through December 31, 2024, the Predecessor period from January 1, 2024 through October 1, 2024, or for the Predecessor year ended December 31, 2023.</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Standby Equity Purchase Agreement</w:t>
      </w:r>
    </w:p>
    <w:p>
      <w:pPr>
        <w:spacing w:after="0" w:line="144"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On October 24, 2023, the Company entered into the Standby Equity Purchase Agreement (“SEPA”) with Yorkville, as further described in Note 13. Stockholders' Equity with applicable terms defined. The SEPA became effective concurrently with the Business Combination. The SEPA includes two components subject to fair value measurement: the Purchased Put Option and Forward Contract. These are considered freestanding financial instruments not indexed to the Company’s stock.</w:t>
      </w:r>
    </w:p>
    <w:p>
      <w:pPr>
        <w:spacing w:after="0" w:line="99"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de minimis as of December 31, 2024.</w:t>
      </w:r>
    </w:p>
    <w:p>
      <w:pPr>
        <w:spacing w:after="0" w:line="99" w:lineRule="exact"/>
        <w:rPr>
          <w:sz w:val="20"/>
          <w:szCs w:val="20"/>
          <w:color w:val="auto"/>
        </w:rPr>
      </w:pPr>
    </w:p>
    <w:p>
      <w:pPr>
        <w:jc w:val="both"/>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Forward Contract is initially measured at fair value upon any Advance Notice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2024.</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Derivative Liabilities</w:t>
      </w:r>
    </w:p>
    <w:p>
      <w:pPr>
        <w:spacing w:after="0" w:line="144"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Embedded derivative liabilities contained within the 2025 Notes (as defined and further described in Note 5. Borrowings) are stated at fair value. Fair value is determined utilizing discounted cash flows, using unobservable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jc w:val="both"/>
        <w:ind w:left="1160" w:right="1199"/>
        <w:spacing w:after="0" w:line="268" w:lineRule="auto"/>
        <w:rPr>
          <w:sz w:val="20"/>
          <w:szCs w:val="20"/>
          <w:color w:val="auto"/>
        </w:rPr>
      </w:pPr>
      <w:r>
        <w:rPr>
          <w:rFonts w:ascii="Times New Roman" w:cs="Times New Roman" w:eastAsia="Times New Roman" w:hAnsi="Times New Roman"/>
          <w:sz w:val="14"/>
          <w:szCs w:val="14"/>
          <w:color w:val="auto"/>
        </w:rPr>
        <w:t>market data inputs, and an option pricing model based on a probability-weighted expected outcome with respect to a financing or a change of control. The derivatives associated with the 2025 Notes were settled in March 2024 due to conversion of the 2025 Notes in a qualified financing. A summary of the significant unobservable inputs utilized to estimate the fair value is as follows: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i w:val="1"/>
                <w:iCs w:val="1"/>
                <w:color w:val="auto"/>
              </w:rPr>
              <w:t>Embedded derivative within 2025 Note issued August 18, 2022 with a principal balance of $4,000</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Settlement</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78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89"/>
        </w:trPr>
        <w:tc>
          <w:tcPr>
            <w:tcW w:w="47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Discount Rate </w:t>
            </w:r>
            <w:r>
              <w:rPr>
                <w:rFonts w:ascii="Times New Roman" w:cs="Times New Roman" w:eastAsia="Times New Roman" w:hAnsi="Times New Roman"/>
                <w:sz w:val="14"/>
                <w:szCs w:val="14"/>
                <w:color w:val="B4B4B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- 36%</w:t>
            </w:r>
          </w:p>
        </w:tc>
        <w:tc>
          <w:tcPr>
            <w:tcW w:w="0" w:type="dxa"/>
            <w:vAlign w:val="bottom"/>
          </w:tcPr>
          <w:p>
            <w:pPr>
              <w:spacing w:after="0"/>
              <w:rPr>
                <w:sz w:val="1"/>
                <w:szCs w:val="1"/>
                <w:color w:val="auto"/>
              </w:rPr>
            </w:pPr>
          </w:p>
        </w:tc>
      </w:tr>
      <w:tr>
        <w:trPr>
          <w:trHeight w:val="198"/>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Probability of Expected Outcomes</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Financing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Change in control </w:t>
            </w:r>
            <w:r>
              <w:rPr>
                <w:rFonts w:ascii="Times New Roman" w:cs="Times New Roman" w:eastAsia="Times New Roman" w:hAnsi="Times New Roman"/>
                <w:sz w:val="14"/>
                <w:szCs w:val="14"/>
                <w:color w:val="B4B4B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226"/>
        </w:trPr>
        <w:tc>
          <w:tcPr>
            <w:tcW w:w="4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4780" w:type="dxa"/>
            <w:vAlign w:val="bottom"/>
            <w:shd w:val="clear" w:color="auto" w:fill="CCEEFF"/>
          </w:tcPr>
          <w:p>
            <w:pPr>
              <w:ind w:left="40"/>
              <w:spacing w:after="0" w:line="140" w:lineRule="exact"/>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w:t>
            </w: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780" w:type="dxa"/>
            <w:vAlign w:val="bottom"/>
            <w:tcBorders>
              <w:bottom w:val="single" w:sz="8" w:color="auto"/>
            </w:tcBorders>
            <w:shd w:val="clear" w:color="auto" w:fill="CCEEFF"/>
          </w:tcPr>
          <w:p>
            <w:pPr>
              <w:jc w:val="right"/>
              <w:ind w:right="2330"/>
              <w:spacing w:after="0"/>
              <w:rPr>
                <w:sz w:val="20"/>
                <w:szCs w:val="20"/>
                <w:color w:val="auto"/>
              </w:rPr>
            </w:pPr>
            <w:r>
              <w:rPr>
                <w:rFonts w:ascii="Times New Roman" w:cs="Times New Roman" w:eastAsia="Times New Roman" w:hAnsi="Times New Roman"/>
                <w:sz w:val="14"/>
                <w:szCs w:val="14"/>
                <w:b w:val="1"/>
                <w:bCs w:val="1"/>
                <w:i w:val="1"/>
                <w:iCs w:val="1"/>
                <w:color w:val="auto"/>
              </w:rPr>
              <w:t>aggregate principal balance of $2,000</w:t>
            </w: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Discount Rate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- 87%</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- 88%</w:t>
            </w:r>
          </w:p>
        </w:tc>
        <w:tc>
          <w:tcPr>
            <w:tcW w:w="0" w:type="dxa"/>
            <w:vAlign w:val="bottom"/>
          </w:tcPr>
          <w:p>
            <w:pPr>
              <w:spacing w:after="0"/>
              <w:rPr>
                <w:sz w:val="1"/>
                <w:szCs w:val="1"/>
                <w:color w:val="auto"/>
              </w:rPr>
            </w:pPr>
          </w:p>
        </w:tc>
      </w:tr>
      <w:tr>
        <w:trPr>
          <w:trHeight w:val="207"/>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Probability of Expected Outcomes</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Financing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Change in control </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2"/>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4"/>
                <w:szCs w:val="14"/>
                <w:color w:val="B4B4B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Significant increases or decreases to any of these inputs would result in a significantly higher or lower liability.</w:t>
      </w:r>
    </w:p>
    <w:p>
      <w:pPr>
        <w:sectPr>
          <w:pgSz w:w="11900" w:h="16838" w:orient="portrait"/>
          <w:cols w:equalWidth="0" w:num="1">
            <w:col w:w="9019"/>
          </w:cols>
          <w:pgMar w:left="1440" w:top="187" w:right="1440" w:bottom="0" w:gutter="0" w:footer="0" w:header="0"/>
        </w:sectPr>
      </w:pP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Investment in debt securities - AFS</w:t>
      </w:r>
    </w:p>
    <w:p>
      <w:pPr>
        <w:sectPr>
          <w:pgSz w:w="11900" w:h="16838" w:orient="portrait"/>
          <w:cols w:equalWidth="0" w:num="1">
            <w:col w:w="9019"/>
          </w:cols>
          <w:pgMar w:left="1440" w:top="187" w:right="1440" w:bottom="0" w:gutter="0" w:footer="0" w:header="0"/>
          <w:type w:val="continuous"/>
        </w:sectPr>
      </w:pPr>
    </w:p>
    <w:bookmarkStart w:id="90" w:name="page91"/>
    <w:bookmarkEnd w:id="90"/>
    <w:p>
      <w:pPr>
        <w:ind w:left="1160" w:right="1259" w:firstLine="258"/>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 xml:space="preserve">The investment in debt securities is stated at fair value as described in </w:t>
      </w:r>
      <w:r>
        <w:rPr>
          <w:rFonts w:ascii="Times New Roman" w:cs="Times New Roman" w:eastAsia="Times New Roman" w:hAnsi="Times New Roman"/>
          <w:sz w:val="14"/>
          <w:szCs w:val="14"/>
          <w:b w:val="1"/>
          <w:bCs w:val="1"/>
          <w:color w:val="auto"/>
        </w:rPr>
        <w:t>Note 3. Investments</w:t>
      </w:r>
      <w:r>
        <w:rPr>
          <w:rFonts w:ascii="Times New Roman" w:cs="Times New Roman" w:eastAsia="Times New Roman" w:hAnsi="Times New Roman"/>
          <w:sz w:val="14"/>
          <w:szCs w:val="14"/>
          <w:color w:val="auto"/>
        </w:rPr>
        <w:t>. The terms of the securities are such that they are highly likely to convert into Class D Units of AeroFlexx. The fair value of the debt securities is estimated on an as-converted basis using a Black-Scholes model incorporating breakpoints upon which each tranche of AeroFlexx equity participates in distributions.</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October 2, 2024</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60"/>
        </w:trPr>
        <w:tc>
          <w:tcPr>
            <w:tcW w:w="4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4"/>
        </w:trPr>
        <w:tc>
          <w:tcPr>
            <w:tcW w:w="48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Volatility </w:t>
            </w:r>
            <w:r>
              <w:rPr>
                <w:rFonts w:ascii="Times New Roman" w:cs="Times New Roman" w:eastAsia="Times New Roman" w:hAnsi="Times New Roman"/>
                <w:sz w:val="14"/>
                <w:szCs w:val="14"/>
                <w:color w:val="B4B4B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120.00 %</w:t>
            </w: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120.00 %</w:t>
            </w:r>
          </w:p>
        </w:tc>
        <w:tc>
          <w:tcPr>
            <w:tcW w:w="0" w:type="dxa"/>
            <w:vAlign w:val="bottom"/>
          </w:tcPr>
          <w:p>
            <w:pPr>
              <w:spacing w:after="0"/>
              <w:rPr>
                <w:sz w:val="1"/>
                <w:szCs w:val="1"/>
                <w:color w:val="auto"/>
              </w:rPr>
            </w:pPr>
          </w:p>
        </w:tc>
      </w:tr>
      <w:tr>
        <w:trPr>
          <w:trHeight w:val="209"/>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Time to liquidity </w:t>
            </w:r>
            <w:r>
              <w:rPr>
                <w:rFonts w:ascii="Times New Roman" w:cs="Times New Roman" w:eastAsia="Times New Roman" w:hAnsi="Times New Roman"/>
                <w:sz w:val="14"/>
                <w:szCs w:val="14"/>
                <w:color w:val="B4B4B4"/>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2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years</w:t>
            </w:r>
          </w:p>
        </w:tc>
        <w:tc>
          <w:tcPr>
            <w:tcW w:w="0" w:type="dxa"/>
            <w:vAlign w:val="bottom"/>
          </w:tcPr>
          <w:p>
            <w:pPr>
              <w:spacing w:after="0"/>
              <w:rPr>
                <w:sz w:val="1"/>
                <w:szCs w:val="1"/>
                <w:color w:val="auto"/>
              </w:rPr>
            </w:pPr>
          </w:p>
        </w:tc>
      </w:tr>
      <w:tr>
        <w:trPr>
          <w:trHeight w:val="221"/>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for lack of marketability</w:t>
            </w:r>
            <w:r>
              <w:rPr>
                <w:rFonts w:ascii="Times New Roman" w:cs="Times New Roman" w:eastAsia="Times New Roman" w:hAnsi="Times New Roman"/>
                <w:sz w:val="14"/>
                <w:szCs w:val="14"/>
                <w:color w:val="B4B4B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18.00 %</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31.00 %</w:t>
            </w:r>
          </w:p>
        </w:tc>
        <w:tc>
          <w:tcPr>
            <w:tcW w:w="0" w:type="dxa"/>
            <w:vAlign w:val="bottom"/>
          </w:tcPr>
          <w:p>
            <w:pPr>
              <w:spacing w:after="0"/>
              <w:rPr>
                <w:sz w:val="1"/>
                <w:szCs w:val="1"/>
                <w:color w:val="auto"/>
              </w:rPr>
            </w:pPr>
          </w:p>
        </w:tc>
      </w:tr>
      <w:tr>
        <w:trPr>
          <w:trHeight w:val="198"/>
        </w:trPr>
        <w:tc>
          <w:tcPr>
            <w:tcW w:w="4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cost of capital</w:t>
            </w:r>
            <w:r>
              <w:rPr>
                <w:rFonts w:ascii="Times New Roman" w:cs="Times New Roman" w:eastAsia="Times New Roman" w:hAnsi="Times New Roman"/>
                <w:sz w:val="14"/>
                <w:szCs w:val="14"/>
                <w:color w:val="B4B4B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Risk-free rate </w:t>
            </w:r>
            <w:r>
              <w:rPr>
                <w:rFonts w:ascii="Times New Roman" w:cs="Times New Roman" w:eastAsia="Times New Roman" w:hAnsi="Times New Roman"/>
                <w:sz w:val="14"/>
                <w:szCs w:val="14"/>
                <w:color w:val="B4B4B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4.23 %</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Earnout Shares</w:t>
      </w:r>
    </w:p>
    <w:p>
      <w:pPr>
        <w:spacing w:after="0" w:line="154"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revenue forecasts are earned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459"/>
        <w:spacing w:after="0" w:line="292" w:lineRule="auto"/>
        <w:rPr>
          <w:sz w:val="20"/>
          <w:szCs w:val="20"/>
          <w:color w:val="auto"/>
        </w:rPr>
      </w:pPr>
      <w:r>
        <w:rPr>
          <w:rFonts w:ascii="Times New Roman" w:cs="Times New Roman" w:eastAsia="Times New Roman" w:hAnsi="Times New Roman"/>
          <w:sz w:val="14"/>
          <w:szCs w:val="14"/>
          <w:color w:val="auto"/>
        </w:rPr>
        <w:t>on average at the mid-period of the forecast period. The value of the Earnout Shares is calculated as the average present value over all future modeled payoffs.</w:t>
      </w:r>
    </w:p>
    <w:p>
      <w:pPr>
        <w:spacing w:after="0" w:line="81"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The inputs used in simulating the Company’s stock price include, the term, stock price, volatility, risk-free rate and dividend yield. Prior to the Business Combination, the Company never paid or declared dividends, thus the dividend yield is estimated to be 0% as of December 31, 2024. The following table summarizes the inputs used in simulating the Company’s stock price for purposes of valuing the Earnout Shares:</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0"/>
                <w:szCs w:val="10"/>
                <w:color w:val="auto"/>
              </w:rPr>
            </w:pPr>
          </w:p>
        </w:tc>
        <w:tc>
          <w:tcPr>
            <w:tcW w:w="9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October 2, 2024</w:t>
            </w:r>
          </w:p>
        </w:tc>
        <w:tc>
          <w:tcPr>
            <w:tcW w:w="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7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w:t>
            </w:r>
            <w:r>
              <w:rPr>
                <w:rFonts w:ascii="Times New Roman" w:cs="Times New Roman" w:eastAsia="Times New Roman" w:hAnsi="Times New Roman"/>
                <w:sz w:val="14"/>
                <w:szCs w:val="14"/>
                <w:color w:val="B4B4B4"/>
              </w:rPr>
              <w:t>...........................................................................................................................</w:t>
            </w: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 years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years</w:t>
            </w:r>
          </w:p>
        </w:tc>
        <w:tc>
          <w:tcPr>
            <w:tcW w:w="0" w:type="dxa"/>
            <w:vAlign w:val="bottom"/>
          </w:tcPr>
          <w:p>
            <w:pPr>
              <w:spacing w:after="0"/>
              <w:rPr>
                <w:sz w:val="1"/>
                <w:szCs w:val="1"/>
                <w:color w:val="auto"/>
              </w:rPr>
            </w:pPr>
          </w:p>
        </w:tc>
      </w:tr>
      <w:tr>
        <w:trPr>
          <w:trHeight w:val="209"/>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Stock price </w:t>
            </w:r>
            <w:r>
              <w:rPr>
                <w:rFonts w:ascii="Times New Roman" w:cs="Times New Roman" w:eastAsia="Times New Roman" w:hAnsi="Times New Roman"/>
                <w:sz w:val="14"/>
                <w:szCs w:val="14"/>
                <w:color w:val="B4B4B4"/>
              </w:rPr>
              <w:t>.................................................................................................................</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10.87</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Volatility </w:t>
            </w:r>
            <w:r>
              <w:rPr>
                <w:rFonts w:ascii="Times New Roman" w:cs="Times New Roman" w:eastAsia="Times New Roman" w:hAnsi="Times New Roman"/>
                <w:sz w:val="14"/>
                <w:szCs w:val="14"/>
                <w:color w:val="B4B4B4"/>
              </w:rPr>
              <w:t>....................................................................................................................</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0" w:type="dxa"/>
            <w:vAlign w:val="bottom"/>
          </w:tcPr>
          <w:p>
            <w:pPr>
              <w:spacing w:after="0"/>
              <w:rPr>
                <w:sz w:val="1"/>
                <w:szCs w:val="1"/>
                <w:color w:val="auto"/>
              </w:rPr>
            </w:pPr>
          </w:p>
        </w:tc>
      </w:tr>
      <w:tr>
        <w:trPr>
          <w:trHeight w:val="209"/>
        </w:trPr>
        <w:tc>
          <w:tcPr>
            <w:tcW w:w="4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Risk-Free Rate </w:t>
            </w:r>
            <w:r>
              <w:rPr>
                <w:rFonts w:ascii="Times New Roman" w:cs="Times New Roman" w:eastAsia="Times New Roman" w:hAnsi="Times New Roman"/>
                <w:sz w:val="14"/>
                <w:szCs w:val="14"/>
                <w:color w:val="B4B4B4"/>
              </w:rPr>
              <w:t>...........................................................................................................</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4"/>
                <w:szCs w:val="14"/>
                <w:color w:val="B4B4B4"/>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The Milestone One and Milestone Two Earnout Shares are equity classified and the Milestone Three Earnout Shares are liability classified, as further described in Note 10. Earnout Shares. The assumptions used in measuring fair value of Milestone One and Milestone Three are considered Level 3 inputs, which include weighted average cost of capital risk premium, operational leverage ratio, revenue risk premium and revenue volatility.</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Milestone One</w:t>
      </w:r>
    </w:p>
    <w:p>
      <w:pPr>
        <w:spacing w:after="0" w:line="142" w:lineRule="exact"/>
        <w:rPr>
          <w:sz w:val="20"/>
          <w:szCs w:val="20"/>
          <w:color w:val="auto"/>
        </w:rPr>
      </w:pPr>
    </w:p>
    <w:p>
      <w:pPr>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unobservable inputs used in estimating the fair value of the Earnout Shares based on revenue for Accelsius (Milestone One):</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57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October 2, 2024</w:t>
            </w:r>
          </w:p>
        </w:tc>
      </w:tr>
      <w:tr>
        <w:trPr>
          <w:trHeight w:val="193"/>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Revenueriskpremium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6.10 %</w:t>
            </w:r>
          </w:p>
        </w:tc>
      </w:tr>
      <w:tr>
        <w:trPr>
          <w:trHeight w:val="192"/>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Revenue volatility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44.00 %</w:t>
            </w:r>
          </w:p>
        </w:tc>
      </w:tr>
    </w:tbl>
    <w:p>
      <w:pPr>
        <w:spacing w:after="0" w:line="1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Milestone Two</w:t>
      </w:r>
    </w:p>
    <w:p>
      <w:pPr>
        <w:spacing w:after="0" w:line="142" w:lineRule="exact"/>
        <w:rPr>
          <w:sz w:val="20"/>
          <w:szCs w:val="20"/>
          <w:color w:val="auto"/>
        </w:rPr>
      </w:pPr>
    </w:p>
    <w:p>
      <w:pPr>
        <w:ind w:left="1160" w:right="1279" w:firstLine="258"/>
        <w:spacing w:after="0" w:line="274" w:lineRule="auto"/>
        <w:rPr>
          <w:sz w:val="20"/>
          <w:szCs w:val="20"/>
          <w:color w:val="auto"/>
        </w:rPr>
      </w:pPr>
      <w:r>
        <w:rPr>
          <w:rFonts w:ascii="Times New Roman" w:cs="Times New Roman" w:eastAsia="Times New Roman" w:hAnsi="Times New Roman"/>
          <w:sz w:val="14"/>
          <w:szCs w:val="14"/>
          <w:color w:val="auto"/>
        </w:rPr>
        <w:t>Milestone Two is contingent on the Company’s formation of a new subsidiary, in partnership with an MNC, as determined using the Innventure LLC's “DownSelect” process, within the Vesting Period. The probability of achievement based on the Company’s analysis was 98% on October 2, 2024.</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Milestone Three</w:t>
      </w:r>
    </w:p>
    <w:p>
      <w:pPr>
        <w:spacing w:after="0" w:line="142" w:lineRule="exact"/>
        <w:rPr>
          <w:sz w:val="20"/>
          <w:szCs w:val="20"/>
          <w:color w:val="auto"/>
        </w:rPr>
      </w:pPr>
    </w:p>
    <w:p>
      <w:pPr>
        <w:jc w:val="both"/>
        <w:ind w:left="1160" w:right="121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summarizes the unobservable inputs used in estimating the fair value of the Earnout Shares based on revenue for AeroFlexx (Milestone Three):</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820" w:type="dxa"/>
            <w:vAlign w:val="bottom"/>
          </w:tcPr>
          <w:p>
            <w:pPr>
              <w:spacing w:after="0"/>
              <w:rPr>
                <w:sz w:val="11"/>
                <w:szCs w:val="11"/>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October 2, 2024</w:t>
            </w: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Revenue risk premium </w:t>
            </w:r>
            <w:r>
              <w:rPr>
                <w:rFonts w:ascii="Times New Roman" w:cs="Times New Roman" w:eastAsia="Times New Roman" w:hAnsi="Times New Roman"/>
                <w:sz w:val="14"/>
                <w:szCs w:val="14"/>
                <w:color w:val="B4B4B4"/>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30.60 %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36.10 %</w:t>
            </w:r>
          </w:p>
        </w:tc>
        <w:tc>
          <w:tcPr>
            <w:tcW w:w="0" w:type="dxa"/>
            <w:vAlign w:val="bottom"/>
          </w:tcPr>
          <w:p>
            <w:pPr>
              <w:spacing w:after="0"/>
              <w:rPr>
                <w:sz w:val="1"/>
                <w:szCs w:val="1"/>
                <w:color w:val="auto"/>
              </w:rPr>
            </w:pPr>
          </w:p>
        </w:tc>
      </w:tr>
      <w:tr>
        <w:trPr>
          <w:trHeight w:val="203"/>
        </w:trPr>
        <w:tc>
          <w:tcPr>
            <w:tcW w:w="4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Revenue volatility </w:t>
            </w:r>
            <w:r>
              <w:rPr>
                <w:rFonts w:ascii="Times New Roman" w:cs="Times New Roman" w:eastAsia="Times New Roman" w:hAnsi="Times New Roman"/>
                <w:sz w:val="14"/>
                <w:szCs w:val="14"/>
                <w:color w:val="B4B4B4"/>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165.00 %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further information on the Earnout Shares, refer to Note 10. Earnout Shares.</w:t>
      </w:r>
    </w:p>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44" w:lineRule="exact"/>
        <w:rPr>
          <w:sz w:val="20"/>
          <w:szCs w:val="20"/>
          <w:color w:val="auto"/>
        </w:rPr>
      </w:pPr>
    </w:p>
    <w:p>
      <w:pPr>
        <w:jc w:val="both"/>
        <w:ind w:left="1160" w:right="1199" w:firstLine="258"/>
        <w:spacing w:after="0" w:line="274" w:lineRule="auto"/>
        <w:rPr>
          <w:sz w:val="20"/>
          <w:szCs w:val="20"/>
          <w:color w:val="auto"/>
        </w:rPr>
      </w:pPr>
      <w:r>
        <w:rPr>
          <w:rFonts w:ascii="Times New Roman" w:cs="Times New Roman" w:eastAsia="Times New Roman" w:hAnsi="Times New Roman"/>
          <w:sz w:val="14"/>
          <w:szCs w:val="14"/>
          <w:color w:val="auto"/>
        </w:rPr>
        <w:t>The Company issued freestanding warrants to the WTI Lenders in connection with the WTI Facility (as defined and further described in Note 5. Borrowings and Note 11. Warrants). The fair value measurement of WTI Warrants is based on unobservable inputs (Level 3 fair value measurement).</w:t>
      </w:r>
    </w:p>
    <w:p>
      <w:pPr>
        <w:sectPr>
          <w:pgSz w:w="11900" w:h="16838" w:orient="portrait"/>
          <w:cols w:equalWidth="0" w:num="1">
            <w:col w:w="9019"/>
          </w:cols>
          <w:pgMar w:left="1440" w:top="198" w:right="1440" w:bottom="15"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F-24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59" w:firstLine="258"/>
        <w:spacing w:after="0" w:line="263" w:lineRule="auto"/>
        <w:rPr>
          <w:sz w:val="20"/>
          <w:szCs w:val="20"/>
          <w:color w:val="auto"/>
        </w:rPr>
      </w:pPr>
      <w:r>
        <w:rPr>
          <w:rFonts w:ascii="Times New Roman" w:cs="Times New Roman" w:eastAsia="Times New Roman" w:hAnsi="Times New Roman"/>
          <w:sz w:val="14"/>
          <w:szCs w:val="14"/>
          <w:color w:val="auto"/>
        </w:rPr>
        <w:t>The fair value of the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WTI Lenders may exchange the WTI Warrants for a total cash payment of $15,000 after the four-year anniversary of issuance. The risk-free interest rate was determined by reference to the U.S. Treasury yield curve.</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82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October 22, 2024</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8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StockPrice</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13.85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Stock Price Volatility </w:t>
            </w:r>
            <w:r>
              <w:rPr>
                <w:rFonts w:ascii="Times New Roman" w:cs="Times New Roman" w:eastAsia="Times New Roman" w:hAnsi="Times New Roman"/>
                <w:sz w:val="14"/>
                <w:szCs w:val="14"/>
                <w:color w:val="B4B4B4"/>
              </w:rPr>
              <w:t>..................................................................................................</w:t>
            </w:r>
          </w:p>
        </w:tc>
        <w:tc>
          <w:tcPr>
            <w:tcW w:w="2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56.00 %</w:t>
            </w:r>
          </w:p>
        </w:tc>
        <w:tc>
          <w:tcPr>
            <w:tcW w:w="10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56.00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Credit Spread </w:t>
            </w:r>
            <w:r>
              <w:rPr>
                <w:rFonts w:ascii="Times New Roman" w:cs="Times New Roman" w:eastAsia="Times New Roman" w:hAnsi="Times New Roman"/>
                <w:sz w:val="14"/>
                <w:szCs w:val="14"/>
                <w:color w:val="B4B4B4"/>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18.60 %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18.80 %</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w:t>
      </w:r>
    </w:p>
    <w:p>
      <w:pPr>
        <w:spacing w:after="0" w:line="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5. Borrowings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2480" w:type="dxa"/>
            <w:vAlign w:val="bottom"/>
          </w:tcPr>
          <w:p>
            <w:pPr>
              <w:spacing w:after="0"/>
              <w:rPr>
                <w:sz w:val="9"/>
                <w:szCs w:val="9"/>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Maturities</w:t>
            </w:r>
          </w:p>
        </w:tc>
        <w:tc>
          <w:tcPr>
            <w:tcW w:w="7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0" w:type="dxa"/>
            <w:vAlign w:val="bottom"/>
          </w:tcPr>
          <w:p>
            <w:pPr>
              <w:spacing w:after="0"/>
              <w:rPr>
                <w:sz w:val="9"/>
                <w:szCs w:val="9"/>
                <w:color w:val="auto"/>
              </w:rPr>
            </w:pPr>
          </w:p>
        </w:tc>
        <w:tc>
          <w:tcPr>
            <w:tcW w:w="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Interest Rates</w:t>
            </w:r>
          </w:p>
        </w:tc>
        <w:tc>
          <w:tcPr>
            <w:tcW w:w="20" w:type="dxa"/>
            <w:vAlign w:val="bottom"/>
          </w:tcPr>
          <w:p>
            <w:pPr>
              <w:spacing w:after="0"/>
              <w:rPr>
                <w:sz w:val="9"/>
                <w:szCs w:val="9"/>
                <w:color w:val="auto"/>
              </w:rPr>
            </w:pPr>
          </w:p>
        </w:tc>
        <w:tc>
          <w:tcPr>
            <w:tcW w:w="7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Rates</w:t>
            </w:r>
          </w:p>
        </w:tc>
        <w:tc>
          <w:tcPr>
            <w:tcW w:w="0" w:type="dxa"/>
            <w:vAlign w:val="bottom"/>
          </w:tcPr>
          <w:p>
            <w:pPr>
              <w:spacing w:after="0"/>
              <w:rPr>
                <w:sz w:val="1"/>
                <w:szCs w:val="1"/>
                <w:color w:val="auto"/>
              </w:rPr>
            </w:pPr>
          </w:p>
        </w:tc>
      </w:tr>
      <w:tr>
        <w:trPr>
          <w:trHeight w:val="156"/>
        </w:trPr>
        <w:tc>
          <w:tcPr>
            <w:tcW w:w="24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9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Series1promissorynotes</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2025 - 2026</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- 15%</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 - 15%</w:t>
            </w:r>
          </w:p>
        </w:tc>
        <w:tc>
          <w:tcPr>
            <w:tcW w:w="0" w:type="dxa"/>
            <w:vAlign w:val="bottom"/>
          </w:tcPr>
          <w:p>
            <w:pPr>
              <w:spacing w:after="0"/>
              <w:rPr>
                <w:sz w:val="1"/>
                <w:szCs w:val="1"/>
                <w:color w:val="auto"/>
              </w:rPr>
            </w:pPr>
          </w:p>
        </w:tc>
      </w:tr>
      <w:tr>
        <w:trPr>
          <w:trHeight w:val="198"/>
        </w:trPr>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Related party notes </w:t>
            </w:r>
            <w:r>
              <w:rPr>
                <w:rFonts w:ascii="Times New Roman" w:cs="Times New Roman" w:eastAsia="Times New Roman" w:hAnsi="Times New Roman"/>
                <w:sz w:val="14"/>
                <w:szCs w:val="14"/>
                <w:color w:val="B4B4B4"/>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2024 - 2025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9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8% - 15.99%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Convertible promissory notes</w:t>
            </w:r>
            <w:r>
              <w:rPr>
                <w:rFonts w:ascii="Times New Roman" w:cs="Times New Roman" w:eastAsia="Times New Roman" w:hAnsi="Times New Roman"/>
                <w:sz w:val="14"/>
                <w:szCs w:val="14"/>
                <w:color w:val="B4B4B4"/>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8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8"/>
        </w:trPr>
        <w:tc>
          <w:tcPr>
            <w:tcW w:w="2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WTI Facility </w:t>
            </w:r>
            <w:r>
              <w:rPr>
                <w:rFonts w:ascii="Times New Roman" w:cs="Times New Roman" w:eastAsia="Times New Roman" w:hAnsi="Times New Roman"/>
                <w:sz w:val="14"/>
                <w:szCs w:val="14"/>
                <w:color w:val="B4B4B4"/>
              </w:rPr>
              <w:t>..............................................</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960" w:type="dxa"/>
            <w:vAlign w:val="bottom"/>
            <w:tcBorders>
              <w:bottom w:val="single" w:sz="8" w:color="CCEEFF"/>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13.50%</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TotalNotesPayable</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34,725</w:t>
            </w:r>
          </w:p>
        </w:tc>
        <w:tc>
          <w:tcPr>
            <w:tcW w:w="40" w:type="dxa"/>
            <w:vAlign w:val="bottom"/>
            <w:shd w:val="clear" w:color="auto" w:fill="CCEEFF"/>
          </w:tcPr>
          <w:p>
            <w:pPr>
              <w:spacing w:after="0"/>
              <w:rPr>
                <w:sz w:val="16"/>
                <w:szCs w:val="16"/>
                <w:color w:val="auto"/>
              </w:rPr>
            </w:pPr>
          </w:p>
        </w:tc>
        <w:tc>
          <w:tcPr>
            <w:tcW w:w="9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9,545</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Less: unamortized debt discount </w:t>
            </w:r>
            <w:r>
              <w:rPr>
                <w:rFonts w:ascii="Times New Roman" w:cs="Times New Roman" w:eastAsia="Times New Roman" w:hAnsi="Times New Roman"/>
                <w:sz w:val="14"/>
                <w:szCs w:val="14"/>
                <w:color w:val="B4B4B4"/>
              </w:rPr>
              <w:t>...............</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jc w:val="right"/>
              <w:ind w:right="268"/>
              <w:spacing w:after="0" w:line="141" w:lineRule="exact"/>
              <w:rPr>
                <w:sz w:val="20"/>
                <w:szCs w:val="20"/>
                <w:color w:val="auto"/>
              </w:rPr>
            </w:pPr>
            <w:r>
              <w:rPr>
                <w:rFonts w:ascii="Times New Roman" w:cs="Times New Roman" w:eastAsia="Times New Roman" w:hAnsi="Times New Roman"/>
                <w:sz w:val="14"/>
                <w:szCs w:val="14"/>
                <w:color w:val="auto"/>
              </w:rPr>
              <w:t>Less: current portion of related party</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notes payable</w:t>
            </w:r>
            <w:r>
              <w:rPr>
                <w:rFonts w:ascii="Times New Roman" w:cs="Times New Roman" w:eastAsia="Times New Roman" w:hAnsi="Times New Roman"/>
                <w:sz w:val="14"/>
                <w:szCs w:val="14"/>
                <w:color w:val="B4B4B4"/>
              </w:rPr>
              <w:t>..........................................</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Less: current portion of notes payable</w:t>
            </w:r>
            <w:r>
              <w:rPr>
                <w:rFonts w:ascii="Times New Roman" w:cs="Times New Roman" w:eastAsia="Times New Roman" w:hAnsi="Times New Roman"/>
                <w:sz w:val="14"/>
                <w:szCs w:val="14"/>
                <w:color w:val="B4B4B4"/>
              </w:rPr>
              <w:t>.......</w:t>
            </w:r>
          </w:p>
        </w:tc>
        <w:tc>
          <w:tcPr>
            <w:tcW w:w="7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right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TotalLong-termNotes</w:t>
            </w:r>
          </w:p>
        </w:tc>
        <w:tc>
          <w:tcPr>
            <w:tcW w:w="7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13,654</w:t>
            </w: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5,500</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w:t>
      </w:r>
    </w:p>
    <w:p>
      <w:pPr>
        <w:spacing w:after="0" w:line="99"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The Company’s notes payable, excluding debt issuance costs, and notes payable to related parties mature as follows: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5760" w:type="dxa"/>
            <w:vAlign w:val="bottom"/>
            <w:tcBorders>
              <w:bottom w:val="single" w:sz="8" w:color="CCEEFF"/>
            </w:tcBorders>
          </w:tcPr>
          <w:p>
            <w:pPr>
              <w:jc w:val="right"/>
              <w:ind w:right="4351"/>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9"/>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2025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2027 </w:t>
            </w:r>
            <w:r>
              <w:rPr>
                <w:rFonts w:ascii="Times New Roman" w:cs="Times New Roman" w:eastAsia="Times New Roman" w:hAnsi="Times New Roman"/>
                <w:sz w:val="14"/>
                <w:szCs w:val="14"/>
                <w:color w:val="B4B4B4"/>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w:t>
            </w:r>
          </w:p>
        </w:tc>
      </w:tr>
      <w:tr>
        <w:trPr>
          <w:trHeight w:val="198"/>
        </w:trPr>
        <w:tc>
          <w:tcPr>
            <w:tcW w:w="5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2028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193"/>
        </w:trPr>
        <w:tc>
          <w:tcPr>
            <w:tcW w:w="5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TotalDebt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34,725</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Series 1 Promissory Notes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2018, the Company authorized the issuance and sale of unsecured promissory notes to investors up to</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$35,000. From 2018 to 2021, the Company issued promissory notes with a total principal amount of $4,936. The</w:t>
      </w:r>
    </w:p>
    <w:p>
      <w:pPr>
        <w:spacing w:after="0" w:line="11" w:lineRule="exact"/>
        <w:rPr>
          <w:sz w:val="20"/>
          <w:szCs w:val="20"/>
          <w:color w:val="auto"/>
        </w:rPr>
      </w:pPr>
    </w:p>
    <w:p>
      <w:pPr>
        <w:ind w:left="1160" w:right="1159"/>
        <w:spacing w:after="0" w:line="260" w:lineRule="auto"/>
        <w:rPr>
          <w:sz w:val="20"/>
          <w:szCs w:val="20"/>
          <w:color w:val="auto"/>
        </w:rPr>
      </w:pPr>
      <w:r>
        <w:rPr>
          <w:rFonts w:ascii="Times New Roman" w:cs="Times New Roman" w:eastAsia="Times New Roman" w:hAnsi="Times New Roman"/>
          <w:sz w:val="14"/>
          <w:szCs w:val="14"/>
          <w:color w:val="auto"/>
        </w:rPr>
        <w:t>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pacing w:after="0" w:line="10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In the event of a change of control or a portfolio company sale, the notes are required to be repaid. In the event of a default, noteholders may elect to convert notes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increases to 18% thereafter.</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Noteholders converted their Series 1 promissory notes into Class B Preferred Units as follows:</w:t>
      </w:r>
    </w:p>
    <w:p>
      <w:pPr>
        <w:sectPr>
          <w:pgSz w:w="11900" w:h="16838" w:orient="portrait"/>
          <w:cols w:equalWidth="0" w:num="1">
            <w:col w:w="9019"/>
          </w:cols>
          <w:pgMar w:left="1440" w:top="189" w:right="1440" w:bottom="0" w:gutter="0" w:footer="0" w:header="0"/>
        </w:sectPr>
      </w:pPr>
    </w:p>
    <w:bookmarkStart w:id="92" w:name="page93"/>
    <w:bookmarkEnd w:id="92"/>
    <w:tbl>
      <w:tblPr>
        <w:tblLayout w:type="fixed"/>
        <w:tblInd w:w="1160" w:type="dxa"/>
        <w:tblCellMar>
          <w:top w:w="0" w:type="dxa"/>
          <w:left w:w="0" w:type="dxa"/>
          <w:bottom w:w="0" w:type="dxa"/>
          <w:right w:w="0" w:type="dxa"/>
        </w:tblCellMar>
      </w:tblPr>
      <w:tr>
        <w:trPr>
          <w:trHeight w:val="30"/>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4"/>
            <w:vMerge w:val="restart"/>
          </w:tcPr>
          <w:p>
            <w:pPr>
              <w:jc w:val="right"/>
              <w:ind w:right="617"/>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line="20" w:lineRule="exact"/>
              <w:rPr>
                <w:sz w:val="1"/>
                <w:szCs w:val="1"/>
                <w:color w:val="auto"/>
              </w:rPr>
            </w:pPr>
          </w:p>
        </w:tc>
      </w:tr>
      <w:tr>
        <w:trPr>
          <w:trHeight w:val="120"/>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76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vMerge w:val="restart"/>
            <w:shd w:val="clear" w:color="auto" w:fill="000000"/>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760" w:type="dxa"/>
            <w:vAlign w:val="bottom"/>
          </w:tcPr>
          <w:p>
            <w:pPr>
              <w:spacing w:after="0"/>
              <w:rPr>
                <w:sz w:val="5"/>
                <w:szCs w:val="5"/>
                <w:color w:val="auto"/>
              </w:rPr>
            </w:pPr>
          </w:p>
        </w:tc>
        <w:tc>
          <w:tcPr>
            <w:tcW w:w="980" w:type="dxa"/>
            <w:vAlign w:val="bottom"/>
            <w:gridSpan w:val="2"/>
          </w:tcPr>
          <w:p>
            <w:pPr>
              <w:jc w:val="center"/>
              <w:spacing w:after="0" w:line="66" w:lineRule="exact"/>
              <w:rPr>
                <w:sz w:val="20"/>
                <w:szCs w:val="20"/>
                <w:color w:val="auto"/>
              </w:rPr>
            </w:pPr>
            <w:r>
              <w:rPr>
                <w:rFonts w:ascii="Times New Roman" w:cs="Times New Roman" w:eastAsia="Times New Roman" w:hAnsi="Times New Roman"/>
                <w:sz w:val="7"/>
                <w:szCs w:val="7"/>
                <w:b w:val="1"/>
                <w:bCs w:val="1"/>
                <w:color w:val="auto"/>
              </w:rPr>
              <w:t>October 2, 2024</w:t>
            </w:r>
          </w:p>
        </w:tc>
        <w:tc>
          <w:tcPr>
            <w:tcW w:w="20" w:type="dxa"/>
            <w:vAlign w:val="bottom"/>
            <w:vMerge w:val="continue"/>
            <w:shd w:val="clear" w:color="auto" w:fill="000000"/>
          </w:tcPr>
          <w:p>
            <w:pPr>
              <w:spacing w:after="0"/>
              <w:rPr>
                <w:sz w:val="5"/>
                <w:szCs w:val="5"/>
                <w:color w:val="auto"/>
              </w:rPr>
            </w:pPr>
          </w:p>
        </w:tc>
        <w:tc>
          <w:tcPr>
            <w:tcW w:w="10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5"/>
                <w:szCs w:val="5"/>
                <w:color w:val="auto"/>
              </w:rPr>
            </w:pPr>
          </w:p>
        </w:tc>
        <w:tc>
          <w:tcPr>
            <w:tcW w:w="820" w:type="dxa"/>
            <w:vAlign w:val="bottom"/>
            <w:vMerge w:val="restart"/>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98"/>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shd w:val="clear" w:color="auto" w:fill="000000"/>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98"/>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shd w:val="clear" w:color="auto" w:fill="000000"/>
          </w:tcPr>
          <w:p>
            <w:pPr>
              <w:spacing w:after="0"/>
              <w:rPr>
                <w:sz w:val="10"/>
                <w:szCs w:val="10"/>
                <w:color w:val="auto"/>
              </w:rPr>
            </w:pPr>
          </w:p>
        </w:tc>
        <w:tc>
          <w:tcPr>
            <w:tcW w:w="1000" w:type="dxa"/>
            <w:vAlign w:val="bottom"/>
            <w:gridSpan w:val="3"/>
          </w:tcPr>
          <w:p>
            <w:pPr>
              <w:jc w:val="center"/>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7"/>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52"/>
        </w:trPr>
        <w:tc>
          <w:tcPr>
            <w:tcW w:w="37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Principalamount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6"/>
                <w:szCs w:val="16"/>
                <w:color w:val="auto"/>
              </w:rPr>
            </w:pPr>
          </w:p>
        </w:tc>
        <w:tc>
          <w:tcPr>
            <w:tcW w:w="220" w:type="dxa"/>
            <w:vAlign w:val="bottom"/>
            <w:tcBorders>
              <w:lef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204"/>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Number of shares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-694690</wp:posOffset>
            </wp:positionV>
            <wp:extent cx="716026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4" w:lineRule="exact"/>
        <w:rPr>
          <w:sz w:val="20"/>
          <w:szCs w:val="20"/>
          <w:color w:val="auto"/>
        </w:rPr>
      </w:pPr>
    </w:p>
    <w:p>
      <w:pPr>
        <w:ind w:left="1160" w:right="1299" w:firstLine="258"/>
        <w:spacing w:after="0" w:line="263" w:lineRule="auto"/>
        <w:rPr>
          <w:sz w:val="20"/>
          <w:szCs w:val="20"/>
          <w:color w:val="auto"/>
        </w:rPr>
      </w:pPr>
      <w:r>
        <w:rPr>
          <w:rFonts w:ascii="Times New Roman" w:cs="Times New Roman" w:eastAsia="Times New Roman" w:hAnsi="Times New Roman"/>
          <w:sz w:val="14"/>
          <w:szCs w:val="14"/>
          <w:color w:val="auto"/>
        </w:rPr>
        <w:t>The conversion rate was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of debt, the impact of which is immaterial to the Company’s financial statements. Upon Closing of the Business Combination, the option for noteholders to convert their Series 1 promissory notes into Class B Preferred Units is no longer available.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Extensions on Series 1 promissory notes were as follow:</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7"/>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57"/>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right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Principalamountof1stextensionpromissorynotes</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204"/>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Principal amount of 2nd extension promissory notes </w:t>
            </w:r>
            <w:r>
              <w:rPr>
                <w:rFonts w:ascii="Times New Roman" w:cs="Times New Roman" w:eastAsia="Times New Roman" w:hAnsi="Times New Roman"/>
                <w:sz w:val="14"/>
                <w:szCs w:val="14"/>
                <w:color w:val="B4B4B4"/>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603</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on Series 1 promissory notes was as follows:</w:t>
      </w:r>
    </w:p>
    <w:p>
      <w:pPr>
        <w:spacing w:after="0" w:line="17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1000" w:type="dxa"/>
            <w:vAlign w:val="bottom"/>
            <w:tcBorders>
              <w:right w:val="single" w:sz="8" w:color="auto"/>
            </w:tcBorders>
            <w:gridSpan w:val="2"/>
          </w:tcPr>
          <w:p>
            <w:pPr>
              <w:jc w:val="center"/>
              <w:spacing w:after="0" w:line="112"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6"/>
        </w:trPr>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7"/>
              <w:spacing w:after="0" w:line="116"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7"/>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9"/>
                <w:szCs w:val="9"/>
                <w:color w:val="auto"/>
              </w:rPr>
            </w:pPr>
          </w:p>
        </w:tc>
        <w:tc>
          <w:tcPr>
            <w:tcW w:w="980" w:type="dxa"/>
            <w:vAlign w:val="bottom"/>
            <w:gridSpan w:val="3"/>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9"/>
                <w:szCs w:val="9"/>
                <w:color w:val="auto"/>
              </w:rPr>
            </w:pPr>
          </w:p>
        </w:tc>
        <w:tc>
          <w:tcPr>
            <w:tcW w:w="820" w:type="dxa"/>
            <w:vAlign w:val="bottom"/>
          </w:tcPr>
          <w:p>
            <w:pPr>
              <w:jc w:val="center"/>
              <w:ind w:right="56"/>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Interestattributabletocontractualinterest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98"/>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Interest attributable to amortization of issuance costs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3"/>
        </w:trPr>
        <w:tc>
          <w:tcPr>
            <w:tcW w:w="3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Totalinterestexpense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Related Party Notes</w:t>
      </w:r>
    </w:p>
    <w:p>
      <w:pPr>
        <w:spacing w:after="0" w:line="144"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278" w:lineRule="exact"/>
        <w:rPr>
          <w:sz w:val="20"/>
          <w:szCs w:val="20"/>
          <w:color w:val="auto"/>
        </w:rPr>
      </w:pPr>
    </w:p>
    <w:p>
      <w:pPr>
        <w:ind w:left="1160" w:right="1239" w:firstLine="258"/>
        <w:spacing w:after="0" w:line="261" w:lineRule="auto"/>
        <w:rPr>
          <w:sz w:val="20"/>
          <w:szCs w:val="20"/>
          <w:color w:val="auto"/>
        </w:rPr>
      </w:pPr>
      <w:r>
        <w:rPr>
          <w:rFonts w:ascii="Times New Roman" w:cs="Times New Roman" w:eastAsia="Times New Roman" w:hAnsi="Times New Roman"/>
          <w:sz w:val="14"/>
          <w:szCs w:val="14"/>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03" w:lineRule="exact"/>
        <w:rPr>
          <w:sz w:val="20"/>
          <w:szCs w:val="20"/>
          <w:color w:val="auto"/>
        </w:rPr>
      </w:pPr>
    </w:p>
    <w:p>
      <w:pPr>
        <w:jc w:val="both"/>
        <w:ind w:left="1160" w:right="1399" w:firstLine="258"/>
        <w:spacing w:after="0" w:line="274" w:lineRule="auto"/>
        <w:rPr>
          <w:sz w:val="20"/>
          <w:szCs w:val="20"/>
          <w:color w:val="auto"/>
        </w:rPr>
      </w:pPr>
      <w:r>
        <w:rPr>
          <w:rFonts w:ascii="Times New Roman" w:cs="Times New Roman" w:eastAsia="Times New Roman" w:hAnsi="Times New Roman"/>
          <w:sz w:val="14"/>
          <w:szCs w:val="14"/>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on the related party notes was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3800" w:type="dxa"/>
            <w:vAlign w:val="bottom"/>
          </w:tcPr>
          <w:p>
            <w:pPr>
              <w:spacing w:after="0"/>
              <w:rPr>
                <w:sz w:val="9"/>
                <w:szCs w:val="9"/>
                <w:color w:val="auto"/>
              </w:rPr>
            </w:pPr>
          </w:p>
        </w:tc>
        <w:tc>
          <w:tcPr>
            <w:tcW w:w="1000" w:type="dxa"/>
            <w:vAlign w:val="bottom"/>
            <w:tcBorders>
              <w:right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6"/>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Totalinterestexpense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611</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932</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principal amount became due on December 21, 2024 but as of December 31, 2024 has not yet been paid and interest will now accrue at the rate of 8.00% per annum. Upon maturity, the Company is required to repay the outstanding principal amount of $1,000 and a loan fee equal to approximately $63. There is no stated interest as per the terms of the executed agreement but it provides for interest at the rate of 8.00% per annum on the outstanding amount from the maturity date if the Company fails to pay any amount due on the maturity date.</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w:t>
      </w:r>
    </w:p>
    <w:p>
      <w:pPr>
        <w:spacing w:after="0" w:line="14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The Company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 This conversion option is accounted for as a derivative instrument and the fair value of such is discussed</w:t>
      </w:r>
    </w:p>
    <w:p>
      <w:pPr>
        <w:sectPr>
          <w:pgSz w:w="11900" w:h="16838" w:orient="portrait"/>
          <w:cols w:equalWidth="0" w:num="1">
            <w:col w:w="9019"/>
          </w:cols>
          <w:pgMar w:left="1440" w:top="110" w:right="1440" w:bottom="0" w:gutter="0" w:footer="0" w:header="0"/>
        </w:sectPr>
      </w:pPr>
    </w:p>
    <w:bookmarkStart w:id="93" w:name="page94"/>
    <w:bookmarkEnd w:id="93"/>
    <w:p>
      <w:pPr>
        <w:spacing w:after="0" w:line="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 Note 4. Fair Value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65"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On March 31, 2024,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$1,119 recorded on the consolidated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t>statements of operations and comprehensive income (loss) in the Predecessor period from January 1, 2024 through October 1, 2024.</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on the 2025 Notes was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000" w:type="dxa"/>
            <w:vAlign w:val="bottom"/>
            <w:tcBorders>
              <w:right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7"/>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7"/>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jc w:val="right"/>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6"/>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Interestattributabletocontractualinterest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Interest attributable to amortization of implied discounts</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3"/>
        </w:trPr>
        <w:tc>
          <w:tcPr>
            <w:tcW w:w="3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Totalinterestexpense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The Company has accrued interest of $— and $634 in convertible promissory notes as of December 31, 2024 and 2023, respectively. As of December 31, 2024 and 2023, the unamortized discount was $— and $2,133, respectively.</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WTI Facility</w:t>
      </w:r>
    </w:p>
    <w:p>
      <w:pPr>
        <w:spacing w:after="0" w:line="144" w:lineRule="exact"/>
        <w:rPr>
          <w:sz w:val="20"/>
          <w:szCs w:val="20"/>
          <w:color w:val="auto"/>
        </w:rPr>
      </w:pPr>
    </w:p>
    <w:p>
      <w:pPr>
        <w:ind w:left="1160" w:right="1239" w:firstLine="258"/>
        <w:spacing w:after="0" w:line="260" w:lineRule="auto"/>
        <w:rPr>
          <w:sz w:val="20"/>
          <w:szCs w:val="20"/>
          <w:color w:val="auto"/>
        </w:rPr>
      </w:pPr>
      <w:r>
        <w:rPr>
          <w:rFonts w:ascii="Times New Roman" w:cs="Times New Roman" w:eastAsia="Times New Roman" w:hAnsi="Times New Roman"/>
          <w:sz w:val="14"/>
          <w:szCs w:val="14"/>
          <w:color w:val="auto"/>
        </w:rPr>
        <w:t>On October 22, 2024, the Company entered into a term loan with WTI Fund X, Inc. and WTI Fund XI, Inc., (collectively, “WTI Lenders”). The terms of the loan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 respect to each of the Second Tranche and the Third Tranche, satisfaction of certain financial conditions and the WTI Lenders’ satisfaction with the Company’s forward-looking plan at such time.</w:t>
      </w:r>
    </w:p>
    <w:p>
      <w:pPr>
        <w:spacing w:after="0" w:line="106" w:lineRule="exact"/>
        <w:rPr>
          <w:sz w:val="20"/>
          <w:szCs w:val="20"/>
          <w:color w:val="auto"/>
        </w:rPr>
      </w:pPr>
    </w:p>
    <w:p>
      <w:pPr>
        <w:ind w:left="1160" w:right="1179" w:firstLine="258"/>
        <w:spacing w:after="0" w:line="263" w:lineRule="auto"/>
        <w:rPr>
          <w:sz w:val="20"/>
          <w:szCs w:val="20"/>
          <w:color w:val="auto"/>
        </w:rPr>
      </w:pPr>
      <w:r>
        <w:rPr>
          <w:rFonts w:ascii="Times New Roman" w:cs="Times New Roman" w:eastAsia="Times New Roman" w:hAnsi="Times New Roman"/>
          <w:sz w:val="14"/>
          <w:szCs w:val="14"/>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and six months in the case of each of the Second Tranche and the Third Tranche, in equal monthly installments over a period of thirty months. Obligations are secured by a lien on the majority of the assets of Innventure LLC and Innventure, Inc.</w:t>
      </w:r>
    </w:p>
    <w:p>
      <w:pPr>
        <w:spacing w:after="0" w:line="101"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The Company received all $20,000 of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Successor period ended December 31, 2024 was 13.50%.</w:t>
      </w:r>
    </w:p>
    <w:p>
      <w:pPr>
        <w:spacing w:after="0" w:line="99" w:lineRule="exact"/>
        <w:rPr>
          <w:sz w:val="20"/>
          <w:szCs w:val="20"/>
          <w:color w:val="auto"/>
        </w:rPr>
      </w:pPr>
    </w:p>
    <w:p>
      <w:pPr>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In connection with the WTI Facility, the Company issued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Company is amortizing the discount over the term of the WTI Facility using the straight-line method.</w:t>
      </w:r>
    </w:p>
    <w:p>
      <w:pPr>
        <w:spacing w:after="0" w:line="99"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On October 22, 2024, when the Company entered into the WTI Facility, the Company recognized $16,735 as a commitment fee asset on the consolidated balance sheets. On November 15, 2024, when the Company received the First Tranche in the amount of $20,000, the prorated portion of the commitment fee asset of $6,694 was reclassified to a debt issuance cost within Notes payable, net of current portion and began amortizing over the term of the First Tranche. On November 30, 2024 and December 31, 2024, management determined that the Second and Third Tranche, respectively, could not be drawn upon due to certain operational thresholds which had not been met for these Tranches. Therefore, the Company wrote off $5,021 and $5,021, respectively on these dates, to Write-off of</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439"/>
        <w:spacing w:after="0" w:line="292" w:lineRule="auto"/>
        <w:rPr>
          <w:sz w:val="20"/>
          <w:szCs w:val="20"/>
          <w:color w:val="auto"/>
        </w:rPr>
      </w:pPr>
      <w:r>
        <w:rPr>
          <w:rFonts w:ascii="Times New Roman" w:cs="Times New Roman" w:eastAsia="Times New Roman" w:hAnsi="Times New Roman"/>
          <w:sz w:val="14"/>
          <w:szCs w:val="14"/>
          <w:color w:val="auto"/>
        </w:rPr>
        <w:t>loan commitment fee asset on the consolidated statements of operations and comprehensive income (loss) as the commitment fee asset could no longer benefit the Company in receiving debt financing capital.</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expense on this facility was as follows:</w:t>
      </w:r>
    </w:p>
    <w:p>
      <w:pPr>
        <w:spacing w:after="0" w:line="199" w:lineRule="exact"/>
        <w:rPr>
          <w:sz w:val="20"/>
          <w:szCs w:val="20"/>
          <w:color w:val="auto"/>
        </w:rPr>
      </w:pPr>
    </w:p>
    <w:tbl>
      <w:tblPr>
        <w:tblLayout w:type="fixed"/>
        <w:tblInd w:w="1200"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60" w:type="dxa"/>
            <w:vAlign w:val="bottom"/>
          </w:tcPr>
          <w:p>
            <w:pPr>
              <w:spacing w:after="0"/>
              <w:rPr>
                <w:sz w:val="13"/>
                <w:szCs w:val="13"/>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October 2, 2024</w:t>
            </w:r>
          </w:p>
        </w:tc>
        <w:tc>
          <w:tcPr>
            <w:tcW w:w="1160" w:type="dxa"/>
            <w:vAlign w:val="bottom"/>
            <w:gridSpan w:val="2"/>
            <w:vMerge w:val="restart"/>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760" w:type="dxa"/>
            <w:vAlign w:val="bottom"/>
            <w:vMerge w:val="restart"/>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center"/>
              <w:ind w:right="78"/>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78"/>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160" w:type="dxa"/>
            <w:vAlign w:val="bottom"/>
            <w:gridSpan w:val="2"/>
          </w:tcPr>
          <w:p>
            <w:pPr>
              <w:jc w:val="center"/>
              <w:ind w:right="36"/>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Pr>
          <w:p>
            <w:pPr>
              <w:spacing w:after="0"/>
              <w:rPr>
                <w:sz w:val="13"/>
                <w:szCs w:val="13"/>
                <w:color w:val="auto"/>
              </w:rPr>
            </w:pPr>
          </w:p>
        </w:tc>
        <w:tc>
          <w:tcPr>
            <w:tcW w:w="900" w:type="dxa"/>
            <w:vAlign w:val="bottom"/>
          </w:tcPr>
          <w:p>
            <w:pPr>
              <w:jc w:val="center"/>
              <w:ind w:right="296"/>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201"/>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Interest attributable to contractual interest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352</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4"/>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Interest attributable to amortization of issuance costs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248</w:t>
            </w:r>
          </w:p>
        </w:tc>
        <w:tc>
          <w:tcPr>
            <w:tcW w:w="260" w:type="dxa"/>
            <w:vAlign w:val="bottom"/>
          </w:tcPr>
          <w:p>
            <w:pPr>
              <w:spacing w:after="0"/>
              <w:rPr>
                <w:sz w:val="17"/>
                <w:szCs w:val="17"/>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ectPr>
          <w:pgSz w:w="11900" w:h="16899" w:orient="portrait"/>
          <w:cols w:equalWidth="0" w:num="1">
            <w:col w:w="9019"/>
          </w:cols>
          <w:pgMar w:left="1440" w:top="94" w:right="1440" w:bottom="0" w:gutter="0" w:footer="0" w:header="0"/>
        </w:sectPr>
      </w:pPr>
    </w:p>
    <w:bookmarkStart w:id="94" w:name="page95"/>
    <w:bookmarkEnd w:id="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72"/>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Total interest expense </w:t>
            </w:r>
            <w:r>
              <w:rPr>
                <w:rFonts w:ascii="Times New Roman" w:cs="Times New Roman" w:eastAsia="Times New Roman" w:hAnsi="Times New Roman"/>
                <w:sz w:val="14"/>
                <w:szCs w:val="14"/>
                <w:color w:val="B4B4B4"/>
              </w:rPr>
              <w:t>................................................................</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55"/>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Inventories</w:t>
            </w: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141"/>
        </w:trPr>
        <w:tc>
          <w:tcPr>
            <w:tcW w:w="37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64"/>
        </w:trPr>
        <w:tc>
          <w:tcPr>
            <w:tcW w:w="37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shd w:val="clear" w:color="auto" w:fill="CCEEFF"/>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118"/>
        </w:trPr>
        <w:tc>
          <w:tcPr>
            <w:tcW w:w="3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gridSpan w:val="2"/>
          </w:tcPr>
          <w:p>
            <w:pPr>
              <w:jc w:val="center"/>
              <w:ind w:right="33"/>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4"/>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86"/>
        </w:trPr>
        <w:tc>
          <w:tcPr>
            <w:tcW w:w="376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right w:val="single" w:sz="8" w:color="auto"/>
            </w:tcBorders>
          </w:tcPr>
          <w:p>
            <w:pPr>
              <w:jc w:val="center"/>
              <w:ind w:right="193"/>
              <w:spacing w:after="0" w:line="77" w:lineRule="exact"/>
              <w:rPr>
                <w:sz w:val="20"/>
                <w:szCs w:val="20"/>
                <w:color w:val="auto"/>
              </w:rPr>
            </w:pPr>
            <w:r>
              <w:rPr>
                <w:rFonts w:ascii="Times New Roman" w:cs="Times New Roman" w:eastAsia="Times New Roman" w:hAnsi="Times New Roman"/>
                <w:sz w:val="8"/>
                <w:szCs w:val="8"/>
                <w:b w:val="1"/>
                <w:bCs w:val="1"/>
                <w:color w:val="auto"/>
              </w:rPr>
              <w:t>2024</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jc w:val="center"/>
              <w:ind w:right="54"/>
              <w:spacing w:after="0" w:line="77" w:lineRule="exact"/>
              <w:rPr>
                <w:sz w:val="20"/>
                <w:szCs w:val="20"/>
                <w:color w:val="auto"/>
              </w:rPr>
            </w:pPr>
            <w:r>
              <w:rPr>
                <w:rFonts w:ascii="Times New Roman" w:cs="Times New Roman" w:eastAsia="Times New Roman" w:hAnsi="Times New Roman"/>
                <w:sz w:val="8"/>
                <w:szCs w:val="8"/>
                <w:b w:val="1"/>
                <w:bCs w:val="1"/>
                <w:color w:val="auto"/>
              </w:rPr>
              <w:t>2023</w:t>
            </w:r>
          </w:p>
        </w:tc>
      </w:tr>
      <w:tr>
        <w:trPr>
          <w:trHeight w:val="55"/>
        </w:trPr>
        <w:tc>
          <w:tcPr>
            <w:tcW w:w="37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620" w:type="dxa"/>
            <w:vAlign w:val="bottom"/>
            <w:tcBorders>
              <w:bottom w:val="single" w:sz="8" w:color="CCEEFF"/>
              <w:right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4"/>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0"/>
              </w:rPr>
              <w:t xml:space="preserve">Raw materials </w:t>
            </w:r>
            <w:r>
              <w:rPr>
                <w:rFonts w:ascii="Times New Roman" w:cs="Times New Roman" w:eastAsia="Times New Roman" w:hAnsi="Times New Roman"/>
                <w:sz w:val="14"/>
                <w:szCs w:val="14"/>
                <w:color w:val="B4B4B4"/>
                <w:w w:val="80"/>
              </w:rPr>
              <w:t>...........................................................................................................</w:t>
            </w:r>
          </w:p>
        </w:tc>
        <w:tc>
          <w:tcPr>
            <w:tcW w:w="38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2,974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8"/>
              </w:rPr>
              <w:t xml:space="preserve">Work in process </w:t>
            </w:r>
            <w:r>
              <w:rPr>
                <w:rFonts w:ascii="Times New Roman" w:cs="Times New Roman" w:eastAsia="Times New Roman" w:hAnsi="Times New Roman"/>
                <w:sz w:val="14"/>
                <w:szCs w:val="14"/>
                <w:color w:val="B4B4B4"/>
                <w:w w:val="88"/>
              </w:rPr>
              <w: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9"/>
              </w:rPr>
              <w:t>Finished goods</w:t>
            </w:r>
            <w:r>
              <w:rPr>
                <w:rFonts w:ascii="Times New Roman" w:cs="Times New Roman" w:eastAsia="Times New Roman" w:hAnsi="Times New Roman"/>
                <w:sz w:val="14"/>
                <w:szCs w:val="14"/>
                <w:color w:val="B4B4B4"/>
                <w:w w:val="89"/>
              </w:rPr>
              <w:t>..........................................................................................................</w:t>
            </w:r>
          </w:p>
        </w:tc>
        <w:tc>
          <w:tcPr>
            <w:tcW w:w="620" w:type="dxa"/>
            <w:vAlign w:val="bottom"/>
            <w:tcBorders>
              <w:right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2,154</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Totalinventories</w:t>
            </w:r>
          </w:p>
        </w:tc>
        <w:tc>
          <w:tcPr>
            <w:tcW w:w="62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5,178</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3"/>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Property, Plant and Equipment</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2"/>
        </w:trPr>
        <w:tc>
          <w:tcPr>
            <w:tcW w:w="3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ind w:right="21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115"/>
        </w:trPr>
        <w:tc>
          <w:tcPr>
            <w:tcW w:w="3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gridSpan w:val="2"/>
          </w:tcPr>
          <w:p>
            <w:pPr>
              <w:jc w:val="center"/>
              <w:ind w:right="33"/>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4"/>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37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89"/>
        </w:trPr>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Leaseholdimprovements</w:t>
            </w:r>
          </w:p>
        </w:tc>
        <w:tc>
          <w:tcPr>
            <w:tcW w:w="620" w:type="dxa"/>
            <w:vAlign w:val="bottom"/>
            <w:tcBorders>
              <w:right w:val="single" w:sz="8" w:color="CCEEFF"/>
            </w:tcBorders>
            <w:shd w:val="clear" w:color="auto" w:fill="CCEEFF"/>
          </w:tcPr>
          <w:p>
            <w:pPr>
              <w:spacing w:after="0"/>
              <w:rPr>
                <w:sz w:val="16"/>
                <w:szCs w:val="16"/>
                <w:color w:val="auto"/>
              </w:rPr>
            </w:pPr>
          </w:p>
        </w:tc>
        <w:tc>
          <w:tcPr>
            <w:tcW w:w="1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8"/>
        </w:trPr>
        <w:tc>
          <w:tcPr>
            <w:tcW w:w="4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9"/>
              </w:rPr>
              <w:t>Machinery &amp; equipment</w:t>
            </w:r>
            <w:r>
              <w:rPr>
                <w:rFonts w:ascii="Times New Roman" w:cs="Times New Roman" w:eastAsia="Times New Roman" w:hAnsi="Times New Roman"/>
                <w:sz w:val="14"/>
                <w:szCs w:val="14"/>
                <w:color w:val="B4B4B4"/>
                <w:w w:val="89"/>
              </w:rPr>
              <w: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664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10"/>
        </w:trPr>
        <w:tc>
          <w:tcPr>
            <w:tcW w:w="4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9"/>
              </w:rPr>
              <w:t xml:space="preserve">Computers &amp; office equipment </w:t>
            </w:r>
            <w:r>
              <w:rPr>
                <w:rFonts w:ascii="Times New Roman" w:cs="Times New Roman" w:eastAsia="Times New Roman" w:hAnsi="Times New Roman"/>
                <w:sz w:val="14"/>
                <w:szCs w:val="14"/>
                <w:color w:val="B4B4B4"/>
                <w:w w:val="89"/>
              </w:rPr>
              <w:t>................................................................................</w:t>
            </w:r>
          </w:p>
        </w:tc>
        <w:tc>
          <w:tcPr>
            <w:tcW w:w="6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8"/>
        </w:trPr>
        <w:tc>
          <w:tcPr>
            <w:tcW w:w="4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w w:val="89"/>
              </w:rPr>
              <w:t>Construction in progress</w:t>
            </w:r>
            <w:r>
              <w:rPr>
                <w:rFonts w:ascii="Times New Roman" w:cs="Times New Roman" w:eastAsia="Times New Roman" w:hAnsi="Times New Roman"/>
                <w:sz w:val="14"/>
                <w:szCs w:val="14"/>
                <w:color w:val="B4B4B4"/>
                <w:w w:val="89"/>
              </w:rPr>
              <w:t>...........................................................................................</w:t>
            </w:r>
          </w:p>
        </w:tc>
        <w:tc>
          <w:tcPr>
            <w:tcW w:w="6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0"/>
        </w:trPr>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Property,PlantandEquipment,Gross</w:t>
            </w:r>
          </w:p>
        </w:tc>
        <w:tc>
          <w:tcPr>
            <w:tcW w:w="6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1,492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r>
      <w:tr>
        <w:trPr>
          <w:trHeight w:val="198"/>
        </w:trPr>
        <w:tc>
          <w:tcPr>
            <w:tcW w:w="4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w w:val="89"/>
              </w:rPr>
              <w:t>Less: Accumulated depreciation</w:t>
            </w:r>
            <w:r>
              <w:rPr>
                <w:rFonts w:ascii="Times New Roman" w:cs="Times New Roman" w:eastAsia="Times New Roman" w:hAnsi="Times New Roman"/>
                <w:sz w:val="14"/>
                <w:szCs w:val="14"/>
                <w:color w:val="B4B4B4"/>
                <w:w w:val="89"/>
              </w:rPr>
              <w:t>...............................................................................</w:t>
            </w:r>
          </w:p>
        </w:tc>
        <w:tc>
          <w:tcPr>
            <w:tcW w:w="6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4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Property,PlantandEquipment,Net</w:t>
            </w:r>
          </w:p>
        </w:tc>
        <w:tc>
          <w:tcPr>
            <w:tcW w:w="620" w:type="dxa"/>
            <w:vAlign w:val="bottom"/>
            <w:tcBorders>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1,414</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Total depreciation expense on property, plant and equipment was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2"/>
        </w:trPr>
        <w:tc>
          <w:tcPr>
            <w:tcW w:w="3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auto"/>
            </w:tcBorders>
          </w:tcPr>
          <w:p>
            <w:pPr>
              <w:jc w:val="center"/>
              <w:ind w:right="120"/>
              <w:spacing w:after="0" w:line="112"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auto"/>
            </w:tcBorders>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6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January 1 2024</w:t>
            </w: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40" w:type="dxa"/>
            <w:vAlign w:val="bottom"/>
          </w:tcPr>
          <w:p>
            <w:pPr>
              <w:spacing w:after="0"/>
              <w:rPr>
                <w:sz w:val="10"/>
                <w:szCs w:val="10"/>
                <w:color w:val="auto"/>
              </w:rPr>
            </w:pPr>
          </w:p>
        </w:tc>
        <w:tc>
          <w:tcPr>
            <w:tcW w:w="8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7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DepreciationExpense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8. Business Combinations</w:t>
      </w:r>
    </w:p>
    <w:p>
      <w:pPr>
        <w:spacing w:after="0" w:line="142"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As discussed in Note 1. Nature of Business, the Closing of the Business Combination occurred on October 2, 2024 pursuant to the terms of the Business Combination Agreement. Upon Closing, 250,000,000 shares of the 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199" w:firstLine="258"/>
        <w:spacing w:after="0" w:line="262" w:lineRule="auto"/>
        <w:rPr>
          <w:sz w:val="20"/>
          <w:szCs w:val="20"/>
          <w:color w:val="auto"/>
        </w:rPr>
      </w:pPr>
      <w:r>
        <w:rPr>
          <w:rFonts w:ascii="Times New Roman" w:cs="Times New Roman" w:eastAsia="Times New Roman" w:hAnsi="Times New Roman"/>
          <w:sz w:val="14"/>
          <w:szCs w:val="14"/>
          <w:color w:val="auto"/>
        </w:rPr>
        <w:t>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w:t>
      </w:r>
    </w:p>
    <w:p>
      <w:pPr>
        <w:spacing w:after="0" w:line="101" w:lineRule="exact"/>
        <w:rPr>
          <w:sz w:val="20"/>
          <w:szCs w:val="20"/>
          <w:color w:val="auto"/>
        </w:rPr>
      </w:pPr>
    </w:p>
    <w:p>
      <w:pPr>
        <w:ind w:left="1160" w:right="1199" w:firstLine="258"/>
        <w:spacing w:after="0" w:line="261" w:lineRule="auto"/>
        <w:rPr>
          <w:sz w:val="20"/>
          <w:szCs w:val="20"/>
          <w:color w:val="auto"/>
        </w:rPr>
      </w:pPr>
      <w:r>
        <w:rPr>
          <w:rFonts w:ascii="Times New Roman" w:cs="Times New Roman" w:eastAsia="Times New Roman" w:hAnsi="Times New Roman"/>
          <w:sz w:val="14"/>
          <w:szCs w:val="14"/>
          <w:color w:val="auto"/>
        </w:rPr>
        <w:t>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w:t>
      </w:r>
    </w:p>
    <w:p>
      <w:pPr>
        <w:spacing w:after="0" w:line="27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Consideration Transferred</w:t>
      </w:r>
    </w:p>
    <w:p>
      <w:pPr>
        <w:spacing w:after="0" w:line="144" w:lineRule="exact"/>
        <w:rPr>
          <w:sz w:val="20"/>
          <w:szCs w:val="20"/>
          <w:color w:val="auto"/>
        </w:rPr>
      </w:pPr>
    </w:p>
    <w:p>
      <w:pPr>
        <w:ind w:left="1160" w:right="1159" w:firstLine="258"/>
        <w:spacing w:after="0" w:line="262" w:lineRule="auto"/>
        <w:rPr>
          <w:sz w:val="20"/>
          <w:szCs w:val="20"/>
          <w:color w:val="auto"/>
        </w:rPr>
      </w:pPr>
      <w:r>
        <w:rPr>
          <w:rFonts w:ascii="Times New Roman" w:cs="Times New Roman" w:eastAsia="Times New Roman" w:hAnsi="Times New Roman"/>
          <w:sz w:val="14"/>
          <w:szCs w:val="14"/>
          <w:color w:val="auto"/>
        </w:rPr>
        <w:t>The aggregate consideration for the Business Combination (the “Purchase Consideration”) paid to the holders of Innventure LLC’s outstanding equity and profits interests and warrants, other than the Class PCTA Units and the Class I Units (such holders, the “Innventure Members”), consisted of 43,494,999 shares of Common Stock. A</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portion of this Purchase Consideration to be delivered to Innventure Members consists of a contingent right to</w:t>
      </w:r>
    </w:p>
    <w:p>
      <w:pPr>
        <w:spacing w:after="0" w:line="11" w:lineRule="exact"/>
        <w:rPr>
          <w:sz w:val="20"/>
          <w:szCs w:val="20"/>
          <w:color w:val="auto"/>
        </w:rPr>
      </w:pPr>
    </w:p>
    <w:p>
      <w:pPr>
        <w:ind w:left="1160"/>
        <w:spacing w:after="0"/>
        <w:tabs>
          <w:tab w:leader="none" w:pos="6800" w:val="left"/>
        </w:tabs>
        <w:rPr>
          <w:sz w:val="20"/>
          <w:szCs w:val="20"/>
          <w:color w:val="auto"/>
        </w:rPr>
      </w:pPr>
      <w:r>
        <w:rPr>
          <w:rFonts w:ascii="Times New Roman" w:cs="Times New Roman" w:eastAsia="Times New Roman" w:hAnsi="Times New Roman"/>
          <w:sz w:val="14"/>
          <w:szCs w:val="14"/>
          <w:color w:val="auto"/>
        </w:rPr>
        <w:t>receive up to  5,000,000 (the “Company Earnout Shares”) shares of Common Stock. Refer to</w:t>
      </w:r>
      <w:r>
        <w:rPr>
          <w:sz w:val="20"/>
          <w:szCs w:val="20"/>
          <w:color w:val="auto"/>
        </w:rPr>
        <w:tab/>
      </w:r>
      <w:r>
        <w:rPr>
          <w:rFonts w:ascii="Times New Roman" w:cs="Times New Roman" w:eastAsia="Times New Roman" w:hAnsi="Times New Roman"/>
          <w:sz w:val="14"/>
          <w:szCs w:val="14"/>
          <w:color w:val="auto"/>
        </w:rPr>
        <w:t>Note 10. Earnout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Shares for more details on the Company Earnout Shares.</w:t>
      </w:r>
    </w:p>
    <w:p>
      <w:pPr>
        <w:spacing w:after="0" w:line="126"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w:t>
      </w:r>
    </w:p>
    <w:p>
      <w:pPr>
        <w:spacing w:after="0" w:line="101"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 number of shares of Common Stock issued and outstanding at the Closing of the Business Combination were:</w:t>
      </w:r>
    </w:p>
    <w:p>
      <w:pPr>
        <w:spacing w:after="0" w:line="132" w:lineRule="exact"/>
        <w:rPr>
          <w:sz w:val="20"/>
          <w:szCs w:val="20"/>
          <w:color w:val="auto"/>
        </w:rPr>
      </w:pPr>
    </w:p>
    <w:tbl>
      <w:tblPr>
        <w:tblLayout w:type="fixed"/>
        <w:tblInd w:w="1200" w:type="dxa"/>
        <w:tblCellMar>
          <w:top w:w="0" w:type="dxa"/>
          <w:left w:w="0" w:type="dxa"/>
          <w:bottom w:w="0" w:type="dxa"/>
          <w:right w:w="0" w:type="dxa"/>
        </w:tblCellMar>
      </w:tblPr>
      <w:tr>
        <w:trPr>
          <w:trHeight w:val="126"/>
        </w:trPr>
        <w:tc>
          <w:tcPr>
            <w:tcW w:w="37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Innventure LLC Units</w:t>
            </w: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Immediately</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50"/>
        </w:trPr>
        <w:tc>
          <w:tcPr>
            <w:tcW w:w="3780" w:type="dxa"/>
            <w:vAlign w:val="bottom"/>
            <w:vMerge w:val="continue"/>
          </w:tcPr>
          <w:p>
            <w:pPr>
              <w:spacing w:after="0"/>
              <w:rPr>
                <w:sz w:val="13"/>
                <w:szCs w:val="1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Prior to Closing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Conversion Ratio</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Upon Closing</w:t>
            </w:r>
          </w:p>
        </w:tc>
        <w:tc>
          <w:tcPr>
            <w:tcW w:w="0" w:type="dxa"/>
            <w:vAlign w:val="bottom"/>
          </w:tcPr>
          <w:p>
            <w:pPr>
              <w:spacing w:after="0"/>
              <w:rPr>
                <w:sz w:val="1"/>
                <w:szCs w:val="1"/>
                <w:color w:val="auto"/>
              </w:rPr>
            </w:pPr>
          </w:p>
        </w:tc>
      </w:tr>
      <w:tr>
        <w:trPr>
          <w:trHeight w:val="201"/>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Class B Preferred Units </w:t>
            </w:r>
            <w:r>
              <w:rPr>
                <w:rFonts w:ascii="Times New Roman" w:cs="Times New Roman" w:eastAsia="Times New Roman" w:hAnsi="Times New Roman"/>
                <w:sz w:val="14"/>
                <w:szCs w:val="14"/>
                <w:color w:val="B4B4B4"/>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10,875,000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22,754,664</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Class B-1 Preferred Units</w:t>
            </w:r>
            <w:r>
              <w:rPr>
                <w:rFonts w:ascii="Times New Roman" w:cs="Times New Roman" w:eastAsia="Times New Roman" w:hAnsi="Times New Roman"/>
                <w:sz w:val="14"/>
                <w:szCs w:val="14"/>
                <w:color w:val="B4B4B4"/>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5,609,951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11,738,165</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Class A Units</w:t>
            </w:r>
            <w:r>
              <w:rPr>
                <w:rFonts w:ascii="Times New Roman" w:cs="Times New Roman" w:eastAsia="Times New Roman" w:hAnsi="Times New Roman"/>
                <w:sz w:val="14"/>
                <w:szCs w:val="14"/>
                <w:color w:val="B4B4B4"/>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342,608</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716,867</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0" w:right="1440" w:bottom="0" w:gutter="0" w:footer="0" w:header="0"/>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0" w:type="dxa"/>
        <w:tblCellMar>
          <w:top w:w="0" w:type="dxa"/>
          <w:left w:w="0" w:type="dxa"/>
          <w:bottom w:w="0" w:type="dxa"/>
          <w:right w:w="0" w:type="dxa"/>
        </w:tblCellMar>
      </w:tblPr>
      <w:tr>
        <w:trPr>
          <w:trHeight w:val="161"/>
        </w:trPr>
        <w:tc>
          <w:tcPr>
            <w:tcW w:w="1060" w:type="dxa"/>
            <w:vAlign w:val="bottom"/>
            <w:tcBorders>
              <w:left w:val="single" w:sz="8" w:color="CCCCCC"/>
            </w:tcBorders>
          </w:tcPr>
          <w:p>
            <w:pPr>
              <w:spacing w:after="0"/>
              <w:rPr>
                <w:sz w:val="13"/>
                <w:szCs w:val="13"/>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71"/>
              </w:rPr>
              <w:t xml:space="preserve">Class C Units </w:t>
            </w:r>
            <w:r>
              <w:rPr>
                <w:rFonts w:ascii="Times New Roman" w:cs="Times New Roman" w:eastAsia="Times New Roman" w:hAnsi="Times New Roman"/>
                <w:sz w:val="10"/>
                <w:szCs w:val="10"/>
                <w:color w:val="B4B4B4"/>
                <w:w w:val="71"/>
              </w:rPr>
              <w:t>..................................................................................</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1,570,125</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3,285,303</w:t>
            </w:r>
          </w:p>
        </w:tc>
        <w:tc>
          <w:tcPr>
            <w:tcW w:w="1040" w:type="dxa"/>
            <w:vAlign w:val="bottom"/>
            <w:tcBorders>
              <w:right w:val="single" w:sz="8" w:color="CCCCCC"/>
            </w:tcBorders>
          </w:tcPr>
          <w:p>
            <w:pPr>
              <w:spacing w:after="0"/>
              <w:rPr>
                <w:sz w:val="13"/>
                <w:szCs w:val="13"/>
                <w:color w:val="auto"/>
              </w:rPr>
            </w:pPr>
          </w:p>
        </w:tc>
      </w:tr>
      <w:tr>
        <w:trPr>
          <w:trHeight w:val="189"/>
        </w:trPr>
        <w:tc>
          <w:tcPr>
            <w:tcW w:w="1060" w:type="dxa"/>
            <w:vAlign w:val="bottom"/>
            <w:tcBorders>
              <w:left w:val="single" w:sz="8" w:color="CCCCCC"/>
            </w:tcBorders>
          </w:tcPr>
          <w:p>
            <w:pPr>
              <w:spacing w:after="0"/>
              <w:rPr>
                <w:sz w:val="16"/>
                <w:szCs w:val="16"/>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71"/>
              </w:rPr>
              <w:t xml:space="preserve">Total </w:t>
            </w:r>
            <w:r>
              <w:rPr>
                <w:rFonts w:ascii="Times New Roman" w:cs="Times New Roman" w:eastAsia="Times New Roman" w:hAnsi="Times New Roman"/>
                <w:sz w:val="10"/>
                <w:szCs w:val="10"/>
                <w:color w:val="B4B4B4"/>
                <w:w w:val="71"/>
              </w:rPr>
              <w:t>...............................................................................................</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18,397,684</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38,494,999</w:t>
            </w:r>
          </w:p>
        </w:tc>
        <w:tc>
          <w:tcPr>
            <w:tcW w:w="1040" w:type="dxa"/>
            <w:vAlign w:val="bottom"/>
            <w:tcBorders>
              <w:right w:val="single" w:sz="8" w:color="CCCCCC"/>
            </w:tcBorders>
          </w:tcPr>
          <w:p>
            <w:pPr>
              <w:spacing w:after="0"/>
              <w:rPr>
                <w:sz w:val="16"/>
                <w:szCs w:val="16"/>
                <w:color w:val="auto"/>
              </w:rPr>
            </w:pPr>
          </w:p>
        </w:tc>
      </w:tr>
      <w:tr>
        <w:trPr>
          <w:trHeight w:val="188"/>
        </w:trPr>
        <w:tc>
          <w:tcPr>
            <w:tcW w:w="1060" w:type="dxa"/>
            <w:vAlign w:val="bottom"/>
            <w:tcBorders>
              <w:left w:val="single" w:sz="8" w:color="CCCCCC"/>
            </w:tcBorders>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40" w:type="dxa"/>
            <w:vAlign w:val="bottom"/>
            <w:tcBorders>
              <w:right w:val="single" w:sz="8" w:color="CCCCCC"/>
            </w:tcBorders>
          </w:tcPr>
          <w:p>
            <w:pPr>
              <w:spacing w:after="0"/>
              <w:rPr>
                <w:sz w:val="16"/>
                <w:szCs w:val="16"/>
                <w:color w:val="auto"/>
              </w:rPr>
            </w:pPr>
          </w:p>
        </w:tc>
      </w:tr>
      <w:tr>
        <w:trPr>
          <w:trHeight w:val="196"/>
        </w:trPr>
        <w:tc>
          <w:tcPr>
            <w:tcW w:w="1060" w:type="dxa"/>
            <w:vAlign w:val="bottom"/>
            <w:tcBorders>
              <w:left w:val="single" w:sz="8" w:color="CCCCCC"/>
            </w:tcBorders>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Learn CW Shares</w:t>
            </w:r>
          </w:p>
        </w:tc>
        <w:tc>
          <w:tcPr>
            <w:tcW w:w="1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Borders>
              <w:right w:val="single" w:sz="8" w:color="CCCCCC"/>
            </w:tcBorders>
          </w:tcPr>
          <w:p>
            <w:pPr>
              <w:spacing w:after="0"/>
              <w:rPr>
                <w:sz w:val="17"/>
                <w:szCs w:val="17"/>
                <w:color w:val="auto"/>
              </w:rPr>
            </w:pPr>
          </w:p>
        </w:tc>
      </w:tr>
      <w:tr>
        <w:trPr>
          <w:trHeight w:val="212"/>
        </w:trPr>
        <w:tc>
          <w:tcPr>
            <w:tcW w:w="1060" w:type="dxa"/>
            <w:vAlign w:val="bottom"/>
            <w:tcBorders>
              <w:left w:val="single" w:sz="8" w:color="CCCCCC"/>
            </w:tcBorders>
          </w:tcPr>
          <w:p>
            <w:pPr>
              <w:spacing w:after="0"/>
              <w:rPr>
                <w:sz w:val="18"/>
                <w:szCs w:val="18"/>
                <w:color w:val="auto"/>
              </w:rPr>
            </w:pPr>
          </w:p>
        </w:tc>
        <w:tc>
          <w:tcPr>
            <w:tcW w:w="1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72"/>
              </w:rPr>
              <w:t xml:space="preserve">Learn CW Public shareholders </w:t>
            </w:r>
            <w:r>
              <w:rPr>
                <w:rFonts w:ascii="Times New Roman" w:cs="Times New Roman" w:eastAsia="Times New Roman" w:hAnsi="Times New Roman"/>
                <w:sz w:val="10"/>
                <w:szCs w:val="10"/>
                <w:color w:val="B4B4B4"/>
                <w:w w:val="72"/>
              </w:rPr>
              <w:t>......................................................</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1,027,674</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1,027,674</w:t>
            </w:r>
          </w:p>
        </w:tc>
        <w:tc>
          <w:tcPr>
            <w:tcW w:w="1040" w:type="dxa"/>
            <w:vAlign w:val="bottom"/>
            <w:tcBorders>
              <w:right w:val="single" w:sz="8" w:color="CCCCCC"/>
            </w:tcBorders>
          </w:tcPr>
          <w:p>
            <w:pPr>
              <w:spacing w:after="0"/>
              <w:rPr>
                <w:sz w:val="18"/>
                <w:szCs w:val="18"/>
                <w:color w:val="auto"/>
              </w:rPr>
            </w:pPr>
          </w:p>
        </w:tc>
      </w:tr>
      <w:tr>
        <w:trPr>
          <w:trHeight w:val="195"/>
        </w:trPr>
        <w:tc>
          <w:tcPr>
            <w:tcW w:w="1060" w:type="dxa"/>
            <w:vAlign w:val="bottom"/>
            <w:tcBorders>
              <w:left w:val="single" w:sz="8" w:color="CCCCCC"/>
            </w:tcBorders>
          </w:tcPr>
          <w:p>
            <w:pPr>
              <w:spacing w:after="0"/>
              <w:rPr>
                <w:sz w:val="16"/>
                <w:szCs w:val="16"/>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71"/>
              </w:rPr>
              <w:t xml:space="preserve">Learn CW Class B Shareholders </w:t>
            </w:r>
            <w:r>
              <w:rPr>
                <w:rFonts w:ascii="Times New Roman" w:cs="Times New Roman" w:eastAsia="Times New Roman" w:hAnsi="Times New Roman"/>
                <w:sz w:val="10"/>
                <w:szCs w:val="10"/>
                <w:color w:val="B4B4B4"/>
                <w:w w:val="71"/>
              </w:rPr>
              <w:t>....................................................</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40" w:type="dxa"/>
            <w:vAlign w:val="bottom"/>
            <w:tcBorders>
              <w:right w:val="single" w:sz="8" w:color="CCCCCC"/>
            </w:tcBorders>
          </w:tcPr>
          <w:p>
            <w:pPr>
              <w:spacing w:after="0"/>
              <w:rPr>
                <w:sz w:val="16"/>
                <w:szCs w:val="16"/>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3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6,027,674</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6,027,674</w:t>
            </w:r>
          </w:p>
        </w:tc>
        <w:tc>
          <w:tcPr>
            <w:tcW w:w="1040" w:type="dxa"/>
            <w:vAlign w:val="bottom"/>
            <w:tcBorders>
              <w:right w:val="single" w:sz="8" w:color="CCCCCC"/>
            </w:tcBorders>
          </w:tcPr>
          <w:p>
            <w:pPr>
              <w:spacing w:after="0"/>
              <w:rPr>
                <w:sz w:val="17"/>
                <w:szCs w:val="17"/>
                <w:color w:val="auto"/>
              </w:rPr>
            </w:pPr>
          </w:p>
        </w:tc>
      </w:tr>
      <w:tr>
        <w:trPr>
          <w:trHeight w:val="161"/>
        </w:trPr>
        <w:tc>
          <w:tcPr>
            <w:tcW w:w="1060" w:type="dxa"/>
            <w:vAlign w:val="bottom"/>
            <w:tcBorders>
              <w:left w:val="single" w:sz="8" w:color="CCCCCC"/>
            </w:tcBorders>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Borders>
              <w:right w:val="single" w:sz="8" w:color="CCCCCC"/>
            </w:tcBorders>
          </w:tcPr>
          <w:p>
            <w:pPr>
              <w:spacing w:after="0"/>
              <w:rPr>
                <w:sz w:val="14"/>
                <w:szCs w:val="14"/>
                <w:color w:val="auto"/>
              </w:rPr>
            </w:pPr>
          </w:p>
        </w:tc>
      </w:tr>
      <w:tr>
        <w:trPr>
          <w:trHeight w:val="204"/>
        </w:trPr>
        <w:tc>
          <w:tcPr>
            <w:tcW w:w="1060" w:type="dxa"/>
            <w:vAlign w:val="bottom"/>
            <w:tcBorders>
              <w:left w:val="single" w:sz="8" w:color="CCCCCC"/>
            </w:tcBorders>
          </w:tcPr>
          <w:p>
            <w:pPr>
              <w:spacing w:after="0"/>
              <w:rPr>
                <w:sz w:val="17"/>
                <w:szCs w:val="17"/>
                <w:color w:val="auto"/>
              </w:rPr>
            </w:pPr>
          </w:p>
        </w:tc>
        <w:tc>
          <w:tcPr>
            <w:tcW w:w="4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Learn CW shares subject to clawback provisions</w:t>
            </w:r>
            <w:r>
              <w:rPr>
                <w:rFonts w:ascii="Times New Roman" w:cs="Times New Roman" w:eastAsia="Times New Roman" w:hAnsi="Times New Roman"/>
                <w:sz w:val="14"/>
                <w:szCs w:val="14"/>
                <w:color w:val="B4B4B4"/>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(932,823)</w:t>
            </w:r>
          </w:p>
        </w:tc>
        <w:tc>
          <w:tcPr>
            <w:tcW w:w="1040" w:type="dxa"/>
            <w:vAlign w:val="bottom"/>
            <w:tcBorders>
              <w:right w:val="single" w:sz="8" w:color="CCCCCC"/>
            </w:tcBorders>
          </w:tcPr>
          <w:p>
            <w:pPr>
              <w:spacing w:after="0"/>
              <w:rPr>
                <w:sz w:val="17"/>
                <w:szCs w:val="17"/>
                <w:color w:val="auto"/>
              </w:rPr>
            </w:pPr>
          </w:p>
        </w:tc>
      </w:tr>
      <w:tr>
        <w:trPr>
          <w:trHeight w:val="310"/>
        </w:trPr>
        <w:tc>
          <w:tcPr>
            <w:tcW w:w="1060" w:type="dxa"/>
            <w:vAlign w:val="bottom"/>
            <w:tcBorders>
              <w:left w:val="single" w:sz="8" w:color="CCCCCC"/>
            </w:tcBorders>
          </w:tcPr>
          <w:p>
            <w:pPr>
              <w:spacing w:after="0"/>
              <w:rPr>
                <w:sz w:val="24"/>
                <w:szCs w:val="24"/>
                <w:color w:val="auto"/>
              </w:rPr>
            </w:pPr>
          </w:p>
        </w:tc>
        <w:tc>
          <w:tcPr>
            <w:tcW w:w="4740" w:type="dxa"/>
            <w:vAlign w:val="bottom"/>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TotalCommonStockIssuedandOutstandingatClosing</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43,589,850</w:t>
            </w:r>
          </w:p>
        </w:tc>
        <w:tc>
          <w:tcPr>
            <w:tcW w:w="1040" w:type="dxa"/>
            <w:vAlign w:val="bottom"/>
            <w:tcBorders>
              <w:right w:val="single" w:sz="8" w:color="CCCCCC"/>
            </w:tcBorders>
          </w:tcPr>
          <w:p>
            <w:pPr>
              <w:spacing w:after="0"/>
              <w:rPr>
                <w:sz w:val="24"/>
                <w:szCs w:val="24"/>
                <w:color w:val="auto"/>
              </w:rPr>
            </w:pPr>
          </w:p>
        </w:tc>
      </w:tr>
      <w:tr>
        <w:trPr>
          <w:trHeight w:val="98"/>
        </w:trPr>
        <w:tc>
          <w:tcPr>
            <w:tcW w:w="1060" w:type="dxa"/>
            <w:vAlign w:val="bottom"/>
            <w:tcBorders>
              <w:left w:val="single" w:sz="8" w:color="CCCCCC"/>
            </w:tcBorders>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40" w:type="dxa"/>
            <w:vAlign w:val="bottom"/>
            <w:tcBorders>
              <w:right w:val="single" w:sz="8" w:color="CCCCCC"/>
            </w:tcBorders>
          </w:tcPr>
          <w:p>
            <w:pPr>
              <w:spacing w:after="0"/>
              <w:rPr>
                <w:sz w:val="8"/>
                <w:szCs w:val="8"/>
                <w:color w:val="auto"/>
              </w:rPr>
            </w:pPr>
          </w:p>
        </w:tc>
      </w:tr>
      <w:tr>
        <w:trPr>
          <w:trHeight w:val="184"/>
        </w:trPr>
        <w:tc>
          <w:tcPr>
            <w:tcW w:w="1060" w:type="dxa"/>
            <w:vAlign w:val="bottom"/>
            <w:tcBorders>
              <w:left w:val="single" w:sz="8" w:color="CCCCCC"/>
            </w:tcBorders>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Borders>
              <w:right w:val="single" w:sz="8" w:color="CCCCCC"/>
            </w:tcBorders>
          </w:tcPr>
          <w:p>
            <w:pPr>
              <w:spacing w:after="0"/>
              <w:rPr>
                <w:sz w:val="16"/>
                <w:szCs w:val="16"/>
                <w:color w:val="auto"/>
              </w:rPr>
            </w:pPr>
          </w:p>
        </w:tc>
      </w:tr>
      <w:tr>
        <w:trPr>
          <w:trHeight w:val="172"/>
        </w:trPr>
        <w:tc>
          <w:tcPr>
            <w:tcW w:w="1060" w:type="dxa"/>
            <w:vAlign w:val="bottom"/>
            <w:tcBorders>
              <w:left w:val="single" w:sz="8" w:color="CCCCCC"/>
            </w:tcBorders>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40" w:type="dxa"/>
            <w:vAlign w:val="bottom"/>
            <w:tcBorders>
              <w:right w:val="single" w:sz="8" w:color="CCCCCC"/>
            </w:tcBorders>
          </w:tcPr>
          <w:p>
            <w:pPr>
              <w:spacing w:after="0"/>
              <w:rPr>
                <w:sz w:val="14"/>
                <w:szCs w:val="14"/>
                <w:color w:val="auto"/>
              </w:rPr>
            </w:pPr>
          </w:p>
        </w:tc>
      </w:tr>
      <w:tr>
        <w:trPr>
          <w:trHeight w:val="300"/>
        </w:trPr>
        <w:tc>
          <w:tcPr>
            <w:tcW w:w="1060" w:type="dxa"/>
            <w:vAlign w:val="bottom"/>
            <w:tcBorders>
              <w:left w:val="single" w:sz="8" w:color="CCCCCC"/>
            </w:tcBorders>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F-30</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Borders>
              <w:right w:val="single" w:sz="8" w:color="CCCCCC"/>
            </w:tcBorders>
          </w:tcPr>
          <w:p>
            <w:pPr>
              <w:spacing w:after="0"/>
              <w:rPr>
                <w:sz w:val="24"/>
                <w:szCs w:val="24"/>
                <w:color w:val="auto"/>
              </w:rPr>
            </w:pPr>
          </w:p>
        </w:tc>
      </w:tr>
      <w:tr>
        <w:trPr>
          <w:trHeight w:val="259"/>
        </w:trPr>
        <w:tc>
          <w:tcPr>
            <w:tcW w:w="1060" w:type="dxa"/>
            <w:vAlign w:val="bottom"/>
            <w:tcBorders>
              <w:left w:val="single" w:sz="8" w:color="CCCCCC"/>
            </w:tcBorders>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40" w:type="dxa"/>
            <w:vAlign w:val="bottom"/>
            <w:tcBorders>
              <w:right w:val="single" w:sz="8" w:color="CCCCCC"/>
            </w:tcBorders>
          </w:tcPr>
          <w:p>
            <w:pPr>
              <w:spacing w:after="0"/>
              <w:rPr>
                <w:sz w:val="22"/>
                <w:szCs w:val="22"/>
                <w:color w:val="auto"/>
              </w:rPr>
            </w:pPr>
          </w:p>
        </w:tc>
      </w:tr>
      <w:tr>
        <w:trPr>
          <w:trHeight w:val="20"/>
        </w:trPr>
        <w:tc>
          <w:tcPr>
            <w:tcW w:w="1060" w:type="dxa"/>
            <w:vAlign w:val="bottom"/>
            <w:tcBorders>
              <w:left w:val="single" w:sz="8" w:color="CCCCCC"/>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right w:val="single" w:sz="8" w:color="CCCCCC"/>
            </w:tcBorders>
          </w:tcPr>
          <w:p>
            <w:pPr>
              <w:spacing w:after="0" w:line="20" w:lineRule="exact"/>
              <w:rPr>
                <w:sz w:val="1"/>
                <w:szCs w:val="1"/>
                <w:color w:val="auto"/>
              </w:rPr>
            </w:pPr>
          </w:p>
        </w:tc>
      </w:tr>
      <w:tr>
        <w:trPr>
          <w:trHeight w:val="247"/>
        </w:trPr>
        <w:tc>
          <w:tcPr>
            <w:tcW w:w="1060" w:type="dxa"/>
            <w:vAlign w:val="bottom"/>
            <w:tcBorders>
              <w:left w:val="single" w:sz="8" w:color="CCCCCC"/>
              <w:bottom w:val="single" w:sz="8" w:color="CCCCCC"/>
            </w:tcBorders>
          </w:tcPr>
          <w:p>
            <w:pPr>
              <w:spacing w:after="0"/>
              <w:rPr>
                <w:sz w:val="21"/>
                <w:szCs w:val="21"/>
                <w:color w:val="auto"/>
              </w:rPr>
            </w:pPr>
          </w:p>
        </w:tc>
        <w:tc>
          <w:tcPr>
            <w:tcW w:w="1000" w:type="dxa"/>
            <w:vAlign w:val="bottom"/>
            <w:tcBorders>
              <w:bottom w:val="single" w:sz="8" w:color="CCCCCC"/>
            </w:tcBorders>
          </w:tcPr>
          <w:p>
            <w:pPr>
              <w:spacing w:after="0"/>
              <w:rPr>
                <w:sz w:val="21"/>
                <w:szCs w:val="21"/>
                <w:color w:val="auto"/>
              </w:rPr>
            </w:pPr>
          </w:p>
        </w:tc>
        <w:tc>
          <w:tcPr>
            <w:tcW w:w="940" w:type="dxa"/>
            <w:vAlign w:val="bottom"/>
            <w:tcBorders>
              <w:bottom w:val="single" w:sz="8" w:color="CCCCCC"/>
            </w:tcBorders>
          </w:tcPr>
          <w:p>
            <w:pPr>
              <w:spacing w:after="0"/>
              <w:rPr>
                <w:sz w:val="21"/>
                <w:szCs w:val="21"/>
                <w:color w:val="auto"/>
              </w:rPr>
            </w:pPr>
          </w:p>
        </w:tc>
        <w:tc>
          <w:tcPr>
            <w:tcW w:w="1860" w:type="dxa"/>
            <w:vAlign w:val="bottom"/>
            <w:tcBorders>
              <w:bottom w:val="single" w:sz="8" w:color="CCCCCC"/>
            </w:tcBorders>
          </w:tcPr>
          <w:p>
            <w:pPr>
              <w:spacing w:after="0"/>
              <w:rPr>
                <w:sz w:val="21"/>
                <w:szCs w:val="21"/>
                <w:color w:val="auto"/>
              </w:rPr>
            </w:pPr>
          </w:p>
        </w:tc>
        <w:tc>
          <w:tcPr>
            <w:tcW w:w="940" w:type="dxa"/>
            <w:vAlign w:val="bottom"/>
            <w:tcBorders>
              <w:bottom w:val="single" w:sz="8" w:color="CCCCCC"/>
            </w:tcBorders>
          </w:tcPr>
          <w:p>
            <w:pPr>
              <w:spacing w:after="0"/>
              <w:rPr>
                <w:sz w:val="21"/>
                <w:szCs w:val="21"/>
                <w:color w:val="auto"/>
              </w:rPr>
            </w:pPr>
          </w:p>
        </w:tc>
        <w:tc>
          <w:tcPr>
            <w:tcW w:w="40" w:type="dxa"/>
            <w:vAlign w:val="bottom"/>
            <w:tcBorders>
              <w:bottom w:val="single" w:sz="8" w:color="CCCCCC"/>
            </w:tcBorders>
          </w:tcPr>
          <w:p>
            <w:pPr>
              <w:spacing w:after="0"/>
              <w:rPr>
                <w:sz w:val="21"/>
                <w:szCs w:val="21"/>
                <w:color w:val="auto"/>
              </w:rPr>
            </w:pPr>
          </w:p>
        </w:tc>
        <w:tc>
          <w:tcPr>
            <w:tcW w:w="940" w:type="dxa"/>
            <w:vAlign w:val="bottom"/>
            <w:tcBorders>
              <w:bottom w:val="single" w:sz="8" w:color="CCCCCC"/>
            </w:tcBorders>
          </w:tcPr>
          <w:p>
            <w:pPr>
              <w:spacing w:after="0"/>
              <w:rPr>
                <w:sz w:val="21"/>
                <w:szCs w:val="21"/>
                <w:color w:val="auto"/>
              </w:rPr>
            </w:pPr>
          </w:p>
        </w:tc>
        <w:tc>
          <w:tcPr>
            <w:tcW w:w="40" w:type="dxa"/>
            <w:vAlign w:val="bottom"/>
            <w:tcBorders>
              <w:bottom w:val="single" w:sz="8" w:color="CCCCCC"/>
            </w:tcBorders>
          </w:tcPr>
          <w:p>
            <w:pPr>
              <w:spacing w:after="0"/>
              <w:rPr>
                <w:sz w:val="21"/>
                <w:szCs w:val="21"/>
                <w:color w:val="auto"/>
              </w:rPr>
            </w:pPr>
          </w:p>
        </w:tc>
        <w:tc>
          <w:tcPr>
            <w:tcW w:w="180" w:type="dxa"/>
            <w:vAlign w:val="bottom"/>
            <w:tcBorders>
              <w:bottom w:val="single" w:sz="8" w:color="CCCCCC"/>
            </w:tcBorders>
          </w:tcPr>
          <w:p>
            <w:pPr>
              <w:spacing w:after="0"/>
              <w:rPr>
                <w:sz w:val="21"/>
                <w:szCs w:val="21"/>
                <w:color w:val="auto"/>
              </w:rPr>
            </w:pPr>
          </w:p>
        </w:tc>
        <w:tc>
          <w:tcPr>
            <w:tcW w:w="760" w:type="dxa"/>
            <w:vAlign w:val="bottom"/>
            <w:tcBorders>
              <w:bottom w:val="single" w:sz="8" w:color="CCCCCC"/>
            </w:tcBorders>
          </w:tcPr>
          <w:p>
            <w:pPr>
              <w:spacing w:after="0"/>
              <w:rPr>
                <w:sz w:val="21"/>
                <w:szCs w:val="21"/>
                <w:color w:val="auto"/>
              </w:rPr>
            </w:pPr>
          </w:p>
        </w:tc>
        <w:tc>
          <w:tcPr>
            <w:tcW w:w="1040" w:type="dxa"/>
            <w:vAlign w:val="bottom"/>
            <w:tcBorders>
              <w:bottom w:val="single" w:sz="8" w:color="CCCCCC"/>
              <w:right w:val="single" w:sz="8" w:color="CCCCCC"/>
            </w:tcBorders>
          </w:tcPr>
          <w:p>
            <w:pPr>
              <w:spacing w:after="0"/>
              <w:rPr>
                <w:sz w:val="21"/>
                <w:szCs w:val="21"/>
                <w:color w:val="auto"/>
              </w:rPr>
            </w:pPr>
          </w:p>
        </w:tc>
      </w:tr>
      <w:tr>
        <w:trPr>
          <w:trHeight w:val="98"/>
        </w:trPr>
        <w:tc>
          <w:tcPr>
            <w:tcW w:w="1060" w:type="dxa"/>
            <w:vAlign w:val="bottom"/>
            <w:tcBorders>
              <w:bottom w:val="single" w:sz="8" w:color="CCCCCC"/>
            </w:tcBorders>
          </w:tcPr>
          <w:p>
            <w:pPr>
              <w:spacing w:after="0"/>
              <w:rPr>
                <w:sz w:val="8"/>
                <w:szCs w:val="8"/>
                <w:color w:val="auto"/>
              </w:rPr>
            </w:pPr>
          </w:p>
        </w:tc>
        <w:tc>
          <w:tcPr>
            <w:tcW w:w="1000" w:type="dxa"/>
            <w:vAlign w:val="bottom"/>
            <w:tcBorders>
              <w:bottom w:val="single" w:sz="8" w:color="CCCCCC"/>
            </w:tcBorders>
          </w:tcPr>
          <w:p>
            <w:pPr>
              <w:spacing w:after="0"/>
              <w:rPr>
                <w:sz w:val="8"/>
                <w:szCs w:val="8"/>
                <w:color w:val="auto"/>
              </w:rPr>
            </w:pPr>
          </w:p>
        </w:tc>
        <w:tc>
          <w:tcPr>
            <w:tcW w:w="940" w:type="dxa"/>
            <w:vAlign w:val="bottom"/>
            <w:tcBorders>
              <w:bottom w:val="single" w:sz="8" w:color="CCCCCC"/>
            </w:tcBorders>
          </w:tcPr>
          <w:p>
            <w:pPr>
              <w:spacing w:after="0"/>
              <w:rPr>
                <w:sz w:val="8"/>
                <w:szCs w:val="8"/>
                <w:color w:val="auto"/>
              </w:rPr>
            </w:pPr>
          </w:p>
        </w:tc>
        <w:tc>
          <w:tcPr>
            <w:tcW w:w="1860" w:type="dxa"/>
            <w:vAlign w:val="bottom"/>
            <w:tcBorders>
              <w:bottom w:val="single" w:sz="8" w:color="CCCCCC"/>
            </w:tcBorders>
          </w:tcPr>
          <w:p>
            <w:pPr>
              <w:spacing w:after="0"/>
              <w:rPr>
                <w:sz w:val="8"/>
                <w:szCs w:val="8"/>
                <w:color w:val="auto"/>
              </w:rPr>
            </w:pPr>
          </w:p>
        </w:tc>
        <w:tc>
          <w:tcPr>
            <w:tcW w:w="9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940" w:type="dxa"/>
            <w:vAlign w:val="bottom"/>
            <w:tcBorders>
              <w:bottom w:val="single" w:sz="8" w:color="CCCCCC"/>
            </w:tcBorders>
          </w:tcPr>
          <w:p>
            <w:pPr>
              <w:spacing w:after="0"/>
              <w:rPr>
                <w:sz w:val="8"/>
                <w:szCs w:val="8"/>
                <w:color w:val="auto"/>
              </w:rPr>
            </w:pPr>
          </w:p>
        </w:tc>
        <w:tc>
          <w:tcPr>
            <w:tcW w:w="40" w:type="dxa"/>
            <w:vAlign w:val="bottom"/>
            <w:tcBorders>
              <w:bottom w:val="single" w:sz="8" w:color="CCCCCC"/>
            </w:tcBorders>
          </w:tcPr>
          <w:p>
            <w:pPr>
              <w:spacing w:after="0"/>
              <w:rPr>
                <w:sz w:val="8"/>
                <w:szCs w:val="8"/>
                <w:color w:val="auto"/>
              </w:rPr>
            </w:pPr>
          </w:p>
        </w:tc>
        <w:tc>
          <w:tcPr>
            <w:tcW w:w="180" w:type="dxa"/>
            <w:vAlign w:val="bottom"/>
            <w:tcBorders>
              <w:bottom w:val="single" w:sz="8" w:color="CCCCCC"/>
            </w:tcBorders>
          </w:tcPr>
          <w:p>
            <w:pPr>
              <w:spacing w:after="0"/>
              <w:rPr>
                <w:sz w:val="8"/>
                <w:szCs w:val="8"/>
                <w:color w:val="auto"/>
              </w:rPr>
            </w:pPr>
          </w:p>
        </w:tc>
        <w:tc>
          <w:tcPr>
            <w:tcW w:w="760" w:type="dxa"/>
            <w:vAlign w:val="bottom"/>
            <w:tcBorders>
              <w:bottom w:val="single" w:sz="8" w:color="CCCCCC"/>
            </w:tcBorders>
          </w:tcPr>
          <w:p>
            <w:pPr>
              <w:spacing w:after="0"/>
              <w:rPr>
                <w:sz w:val="8"/>
                <w:szCs w:val="8"/>
                <w:color w:val="auto"/>
              </w:rPr>
            </w:pPr>
          </w:p>
        </w:tc>
        <w:tc>
          <w:tcPr>
            <w:tcW w:w="1040" w:type="dxa"/>
            <w:vAlign w:val="bottom"/>
            <w:tcBorders>
              <w:bottom w:val="single" w:sz="8" w:color="CCCCCC"/>
            </w:tcBorders>
          </w:tcPr>
          <w:p>
            <w:pPr>
              <w:spacing w:after="0"/>
              <w:rPr>
                <w:sz w:val="8"/>
                <w:szCs w:val="8"/>
                <w:color w:val="auto"/>
              </w:rPr>
            </w:pPr>
          </w:p>
        </w:tc>
      </w:tr>
      <w:tr>
        <w:trPr>
          <w:trHeight w:val="232"/>
        </w:trPr>
        <w:tc>
          <w:tcPr>
            <w:tcW w:w="106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6"/>
        </w:trPr>
        <w:tc>
          <w:tcPr>
            <w:tcW w:w="10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8"/>
        </w:trPr>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8"/>
        </w:trPr>
        <w:tc>
          <w:tcPr>
            <w:tcW w:w="1060" w:type="dxa"/>
            <w:vAlign w:val="bottom"/>
          </w:tcPr>
          <w:p>
            <w:pPr>
              <w:spacing w:after="0"/>
              <w:rPr>
                <w:sz w:val="22"/>
                <w:szCs w:val="22"/>
                <w:color w:val="auto"/>
              </w:rPr>
            </w:pPr>
          </w:p>
        </w:tc>
        <w:tc>
          <w:tcPr>
            <w:tcW w:w="5760" w:type="dxa"/>
            <w:vAlign w:val="bottom"/>
            <w:gridSpan w:val="7"/>
          </w:tcPr>
          <w:p>
            <w:pPr>
              <w:ind w:left="260"/>
              <w:spacing w:after="0"/>
              <w:rPr>
                <w:sz w:val="20"/>
                <w:szCs w:val="20"/>
                <w:color w:val="auto"/>
              </w:rPr>
            </w:pPr>
            <w:r>
              <w:rPr>
                <w:rFonts w:ascii="Times New Roman" w:cs="Times New Roman" w:eastAsia="Times New Roman" w:hAnsi="Times New Roman"/>
                <w:sz w:val="14"/>
                <w:szCs w:val="14"/>
                <w:color w:val="auto"/>
              </w:rPr>
              <w:t>The consideration transferred for the Business Combination is summarized as follows:</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62"/>
        </w:trPr>
        <w:tc>
          <w:tcPr>
            <w:tcW w:w="1060" w:type="dxa"/>
            <w:vAlign w:val="bottom"/>
          </w:tcPr>
          <w:p>
            <w:pPr>
              <w:spacing w:after="0"/>
              <w:rPr>
                <w:sz w:val="14"/>
                <w:szCs w:val="14"/>
                <w:color w:val="auto"/>
              </w:rPr>
            </w:pPr>
          </w:p>
        </w:tc>
        <w:tc>
          <w:tcPr>
            <w:tcW w:w="474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5"/>
        </w:trPr>
        <w:tc>
          <w:tcPr>
            <w:tcW w:w="1060" w:type="dxa"/>
            <w:vAlign w:val="bottom"/>
          </w:tcPr>
          <w:p>
            <w:pPr>
              <w:spacing w:after="0"/>
              <w:rPr>
                <w:sz w:val="18"/>
                <w:szCs w:val="18"/>
                <w:color w:val="auto"/>
              </w:rPr>
            </w:pPr>
          </w:p>
        </w:tc>
        <w:tc>
          <w:tcPr>
            <w:tcW w:w="47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3"/>
              </w:rPr>
              <w:t>Holdco Common Stock transferred to Innventure Members</w:t>
            </w:r>
            <w:r>
              <w:rPr>
                <w:rFonts w:ascii="Times New Roman" w:cs="Times New Roman" w:eastAsia="Times New Roman" w:hAnsi="Times New Roman"/>
                <w:sz w:val="18"/>
                <w:szCs w:val="18"/>
                <w:color w:val="auto"/>
                <w:w w:val="83"/>
                <w:vertAlign w:val="superscript"/>
              </w:rPr>
              <w:t>(1)</w:t>
            </w:r>
            <w:r>
              <w:rPr>
                <w:rFonts w:ascii="Times New Roman" w:cs="Times New Roman" w:eastAsia="Times New Roman" w:hAnsi="Times New Roman"/>
                <w:sz w:val="14"/>
                <w:szCs w:val="14"/>
                <w:color w:val="auto"/>
                <w:w w:val="83"/>
              </w:rPr>
              <w:t xml:space="preserve"> </w:t>
            </w:r>
            <w:r>
              <w:rPr>
                <w:rFonts w:ascii="Times New Roman" w:cs="Times New Roman" w:eastAsia="Times New Roman" w:hAnsi="Times New Roman"/>
                <w:sz w:val="14"/>
                <w:szCs w:val="14"/>
                <w:color w:val="B4B4B4"/>
                <w:w w:val="83"/>
              </w:rPr>
              <w:t>.............................................................</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418,441</w:t>
            </w:r>
          </w:p>
        </w:tc>
        <w:tc>
          <w:tcPr>
            <w:tcW w:w="1040" w:type="dxa"/>
            <w:vAlign w:val="bottom"/>
          </w:tcPr>
          <w:p>
            <w:pPr>
              <w:spacing w:after="0"/>
              <w:rPr>
                <w:sz w:val="18"/>
                <w:szCs w:val="18"/>
                <w:color w:val="auto"/>
              </w:rPr>
            </w:pPr>
          </w:p>
        </w:tc>
      </w:tr>
      <w:tr>
        <w:trPr>
          <w:trHeight w:val="215"/>
        </w:trPr>
        <w:tc>
          <w:tcPr>
            <w:tcW w:w="1060" w:type="dxa"/>
            <w:vAlign w:val="bottom"/>
          </w:tcPr>
          <w:p>
            <w:pPr>
              <w:spacing w:after="0"/>
              <w:rPr>
                <w:sz w:val="18"/>
                <w:szCs w:val="18"/>
                <w:color w:val="auto"/>
              </w:rPr>
            </w:pPr>
          </w:p>
        </w:tc>
        <w:tc>
          <w:tcPr>
            <w:tcW w:w="38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3"/>
                <w:szCs w:val="13"/>
                <w:color w:val="auto"/>
                <w:w w:val="71"/>
              </w:rPr>
              <w:t>Contingent consideration</w:t>
            </w:r>
            <w:r>
              <w:rPr>
                <w:rFonts w:ascii="Times New Roman" w:cs="Times New Roman" w:eastAsia="Times New Roman" w:hAnsi="Times New Roman"/>
                <w:sz w:val="16"/>
                <w:szCs w:val="16"/>
                <w:color w:val="auto"/>
                <w:w w:val="71"/>
                <w:vertAlign w:val="superscript"/>
              </w:rPr>
              <w:t>(2)</w:t>
            </w:r>
            <w:r>
              <w:rPr>
                <w:rFonts w:ascii="Times New Roman" w:cs="Times New Roman" w:eastAsia="Times New Roman" w:hAnsi="Times New Roman"/>
                <w:sz w:val="13"/>
                <w:szCs w:val="13"/>
                <w:color w:val="auto"/>
                <w:w w:val="71"/>
              </w:rPr>
              <w:t xml:space="preserve"> </w:t>
            </w:r>
            <w:r>
              <w:rPr>
                <w:rFonts w:ascii="Times New Roman" w:cs="Times New Roman" w:eastAsia="Times New Roman" w:hAnsi="Times New Roman"/>
                <w:sz w:val="13"/>
                <w:szCs w:val="13"/>
                <w:color w:val="B4B4B4"/>
                <w:w w:val="71"/>
              </w:rPr>
              <w:t>...................................................................................................................</w:t>
            </w: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53,980</w:t>
            </w:r>
          </w:p>
        </w:tc>
        <w:tc>
          <w:tcPr>
            <w:tcW w:w="1040" w:type="dxa"/>
            <w:vAlign w:val="bottom"/>
          </w:tcPr>
          <w:p>
            <w:pPr>
              <w:spacing w:after="0"/>
              <w:rPr>
                <w:sz w:val="18"/>
                <w:szCs w:val="18"/>
                <w:color w:val="auto"/>
              </w:rPr>
            </w:pPr>
          </w:p>
        </w:tc>
      </w:tr>
      <w:tr>
        <w:trPr>
          <w:trHeight w:val="195"/>
        </w:trPr>
        <w:tc>
          <w:tcPr>
            <w:tcW w:w="1060" w:type="dxa"/>
            <w:vAlign w:val="bottom"/>
          </w:tcPr>
          <w:p>
            <w:pPr>
              <w:spacing w:after="0"/>
              <w:rPr>
                <w:sz w:val="16"/>
                <w:szCs w:val="16"/>
                <w:color w:val="auto"/>
              </w:rPr>
            </w:pPr>
          </w:p>
        </w:tc>
        <w:tc>
          <w:tcPr>
            <w:tcW w:w="38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72"/>
              </w:rPr>
              <w:t xml:space="preserve">Consideration transferred </w:t>
            </w:r>
            <w:r>
              <w:rPr>
                <w:rFonts w:ascii="Times New Roman" w:cs="Times New Roman" w:eastAsia="Times New Roman" w:hAnsi="Times New Roman"/>
                <w:sz w:val="13"/>
                <w:szCs w:val="13"/>
                <w:color w:val="B4B4B4"/>
                <w:w w:val="72"/>
              </w:rPr>
              <w:t>.................................................................................................................</w:t>
            </w: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472,421</w:t>
            </w:r>
          </w:p>
        </w:tc>
        <w:tc>
          <w:tcPr>
            <w:tcW w:w="1040" w:type="dxa"/>
            <w:vAlign w:val="bottom"/>
          </w:tcPr>
          <w:p>
            <w:pPr>
              <w:spacing w:after="0"/>
              <w:rPr>
                <w:sz w:val="16"/>
                <w:szCs w:val="16"/>
                <w:color w:val="auto"/>
              </w:rPr>
            </w:pPr>
          </w:p>
        </w:tc>
      </w:tr>
      <w:tr>
        <w:trPr>
          <w:trHeight w:val="215"/>
        </w:trPr>
        <w:tc>
          <w:tcPr>
            <w:tcW w:w="1060" w:type="dxa"/>
            <w:vAlign w:val="bottom"/>
          </w:tcPr>
          <w:p>
            <w:pPr>
              <w:spacing w:after="0"/>
              <w:rPr>
                <w:sz w:val="18"/>
                <w:szCs w:val="18"/>
                <w:color w:val="auto"/>
              </w:rPr>
            </w:pPr>
          </w:p>
        </w:tc>
        <w:tc>
          <w:tcPr>
            <w:tcW w:w="38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3"/>
                <w:szCs w:val="13"/>
                <w:color w:val="auto"/>
                <w:w w:val="71"/>
              </w:rPr>
              <w:t>Non-controlling interest</w:t>
            </w:r>
            <w:r>
              <w:rPr>
                <w:rFonts w:ascii="Times New Roman" w:cs="Times New Roman" w:eastAsia="Times New Roman" w:hAnsi="Times New Roman"/>
                <w:sz w:val="16"/>
                <w:szCs w:val="16"/>
                <w:color w:val="auto"/>
                <w:w w:val="71"/>
                <w:vertAlign w:val="superscript"/>
              </w:rPr>
              <w:t>(3)</w:t>
            </w:r>
            <w:r>
              <w:rPr>
                <w:rFonts w:ascii="Times New Roman" w:cs="Times New Roman" w:eastAsia="Times New Roman" w:hAnsi="Times New Roman"/>
                <w:sz w:val="13"/>
                <w:szCs w:val="13"/>
                <w:color w:val="auto"/>
                <w:w w:val="71"/>
              </w:rPr>
              <w:t xml:space="preserve"> </w:t>
            </w:r>
            <w:r>
              <w:rPr>
                <w:rFonts w:ascii="Times New Roman" w:cs="Times New Roman" w:eastAsia="Times New Roman" w:hAnsi="Times New Roman"/>
                <w:sz w:val="13"/>
                <w:szCs w:val="13"/>
                <w:color w:val="B4B4B4"/>
                <w:w w:val="71"/>
              </w:rPr>
              <w:t>.....................................................................................................................</w:t>
            </w: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343,030</w:t>
            </w:r>
          </w:p>
        </w:tc>
        <w:tc>
          <w:tcPr>
            <w:tcW w:w="1040" w:type="dxa"/>
            <w:vAlign w:val="bottom"/>
          </w:tcPr>
          <w:p>
            <w:pPr>
              <w:spacing w:after="0"/>
              <w:rPr>
                <w:sz w:val="18"/>
                <w:szCs w:val="18"/>
                <w:color w:val="auto"/>
              </w:rPr>
            </w:pPr>
          </w:p>
        </w:tc>
      </w:tr>
      <w:tr>
        <w:trPr>
          <w:trHeight w:val="198"/>
        </w:trPr>
        <w:tc>
          <w:tcPr>
            <w:tcW w:w="1060" w:type="dxa"/>
            <w:vAlign w:val="bottom"/>
          </w:tcPr>
          <w:p>
            <w:pPr>
              <w:spacing w:after="0"/>
              <w:rPr>
                <w:sz w:val="16"/>
                <w:szCs w:val="16"/>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business enterprise value</w:t>
            </w:r>
          </w:p>
        </w:tc>
        <w:tc>
          <w:tcPr>
            <w:tcW w:w="28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B4B4B4"/>
                <w:w w:val="75"/>
              </w:rPr>
              <w:t>.........................................................................................................</w:t>
            </w:r>
          </w:p>
        </w:tc>
        <w:tc>
          <w:tcPr>
            <w:tcW w:w="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815,451</w:t>
            </w:r>
          </w:p>
        </w:tc>
        <w:tc>
          <w:tcPr>
            <w:tcW w:w="104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420" w:right="1259" w:hanging="267"/>
        <w:spacing w:after="0" w:line="258" w:lineRule="auto"/>
        <w:tabs>
          <w:tab w:leader="none" w:pos="142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the 38,494,999 of aggregate consideration paid in shares (excluding the Company Earnout shares) at a Closing share price of $10.87.</w:t>
      </w:r>
    </w:p>
    <w:p>
      <w:pPr>
        <w:ind w:left="1420" w:right="1519" w:hanging="267"/>
        <w:spacing w:after="0" w:line="261" w:lineRule="auto"/>
        <w:tabs>
          <w:tab w:leader="none" w:pos="142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the Company Earnout Shares issued and contingently issuable to Innventure Members. Refer to Note 10. Earnout Shares for more details.</w:t>
      </w:r>
    </w:p>
    <w:p>
      <w:pPr>
        <w:ind w:left="1420" w:right="1299" w:hanging="267"/>
        <w:spacing w:after="0" w:line="266" w:lineRule="auto"/>
        <w:tabs>
          <w:tab w:leader="none" w:pos="142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 normalized tax rate of 27.9%, normalized net working capital of 18%, and weighted average cost of capital of 17.6%.</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Investing cash flow activity as a result of the Business Combination is summarized as follows:</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5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210"/>
        </w:trPr>
        <w:tc>
          <w:tcPr>
            <w:tcW w:w="5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consideration transferred</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5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Add: Cash and cash equivalents acquired</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16</w:t>
            </w:r>
          </w:p>
        </w:tc>
      </w:tr>
      <w:tr>
        <w:trPr>
          <w:trHeight w:val="215"/>
        </w:trPr>
        <w:tc>
          <w:tcPr>
            <w:tcW w:w="5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Investing cash flow activity as a result of the Business Combination </w:t>
            </w:r>
            <w:r>
              <w:rPr>
                <w:rFonts w:ascii="Times New Roman" w:cs="Times New Roman" w:eastAsia="Times New Roman" w:hAnsi="Times New Roman"/>
                <w:sz w:val="14"/>
                <w:szCs w:val="14"/>
                <w:b w:val="1"/>
                <w:bCs w:val="1"/>
                <w:color w:val="B4B4B4"/>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5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93"/>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CashproceedsfromLearnCWtrustaccount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w:t>
            </w:r>
          </w:p>
        </w:tc>
      </w:tr>
      <w:tr>
        <w:trPr>
          <w:trHeight w:val="198"/>
        </w:trPr>
        <w:tc>
          <w:tcPr>
            <w:tcW w:w="5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Net cash proceeds from Series B Preferred Stock issuance</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10,572</w:t>
            </w:r>
          </w:p>
        </w:tc>
      </w:tr>
      <w:tr>
        <w:trPr>
          <w:trHeight w:val="19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TotalInnventure,Inc.cashsources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21,914</w:t>
            </w:r>
          </w:p>
        </w:tc>
      </w:tr>
      <w:tr>
        <w:trPr>
          <w:trHeight w:val="226"/>
        </w:trPr>
        <w:tc>
          <w:tcPr>
            <w:tcW w:w="5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4"/>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Payment of Learn CW accounts payable and accrued expenses </w:t>
            </w:r>
            <w:r>
              <w:rPr>
                <w:rFonts w:ascii="Times New Roman" w:cs="Times New Roman" w:eastAsia="Times New Roman" w:hAnsi="Times New Roman"/>
                <w:sz w:val="14"/>
                <w:szCs w:val="14"/>
                <w:color w:val="B4B4B4"/>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Payment of Learn CW promissory note due to Sponsor</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Payment of Innventure LLC transaction costs at Closing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w:t>
            </w:r>
          </w:p>
        </w:tc>
      </w:tr>
      <w:tr>
        <w:trPr>
          <w:trHeight w:val="181"/>
        </w:trPr>
        <w:tc>
          <w:tcPr>
            <w:tcW w:w="5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Totalcashuses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20,067</w:t>
            </w:r>
          </w:p>
        </w:tc>
      </w:tr>
      <w:tr>
        <w:trPr>
          <w:trHeight w:val="190"/>
        </w:trPr>
        <w:tc>
          <w:tcPr>
            <w:tcW w:w="5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Netcashproceeds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1160" w:right="1339" w:firstLine="258"/>
        <w:spacing w:after="0" w:line="274" w:lineRule="auto"/>
        <w:rPr>
          <w:sz w:val="20"/>
          <w:szCs w:val="20"/>
          <w:color w:val="auto"/>
        </w:rPr>
      </w:pPr>
      <w:r>
        <w:rPr>
          <w:rFonts w:ascii="Times New Roman" w:cs="Times New Roman" w:eastAsia="Times New Roman" w:hAnsi="Times New Roman"/>
          <w:sz w:val="14"/>
          <w:szCs w:val="14"/>
          <w:color w:val="auto"/>
        </w:rPr>
        <w:t>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purchase consideration was allocated to the following assets and liabilities:</w:t>
      </w:r>
    </w:p>
    <w:p>
      <w:pPr>
        <w:sectPr>
          <w:pgSz w:w="11900" w:h="16838" w:orient="portrait"/>
          <w:cols w:equalWidth="0" w:num="1">
            <w:col w:w="9019"/>
          </w:cols>
          <w:pgMar w:left="1440" w:top="75" w:right="1440" w:bottom="0" w:gutter="0" w:footer="0" w:header="0"/>
        </w:sectPr>
      </w:pPr>
    </w:p>
    <w:p>
      <w:pPr>
        <w:spacing w:after="0" w:line="19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1"/>
          <w:szCs w:val="11"/>
          <w:b w:val="1"/>
          <w:bCs w:val="1"/>
          <w:color w:val="auto"/>
        </w:rPr>
        <w:t>Amount</w:t>
      </w:r>
    </w:p>
    <w:p>
      <w:pPr>
        <w:sectPr>
          <w:pgSz w:w="11900" w:h="16838" w:orient="portrait"/>
          <w:cols w:equalWidth="0" w:num="1">
            <w:col w:w="9019"/>
          </w:cols>
          <w:pgMar w:left="1440" w:top="75" w:right="1440" w:bottom="0" w:gutter="0" w:footer="0" w:header="0"/>
          <w:type w:val="continuous"/>
        </w:sectPr>
      </w:pPr>
    </w:p>
    <w:bookmarkStart w:id="96" w:name="page97"/>
    <w:bookmarkEnd w:id="96"/>
    <w:tbl>
      <w:tblPr>
        <w:tblLayout w:type="fixed"/>
        <w:tblInd w:w="1160" w:type="dxa"/>
        <w:tblCellMar>
          <w:top w:w="0" w:type="dxa"/>
          <w:left w:w="0" w:type="dxa"/>
          <w:bottom w:w="0" w:type="dxa"/>
          <w:right w:w="0" w:type="dxa"/>
        </w:tblCellMar>
      </w:tblPr>
      <w:tr>
        <w:trPr>
          <w:trHeight w:val="161"/>
        </w:trPr>
        <w:tc>
          <w:tcPr>
            <w:tcW w:w="5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 acquired:</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Cash and cash equivalents</w:t>
            </w:r>
            <w:r>
              <w:rPr>
                <w:rFonts w:ascii="Times New Roman" w:cs="Times New Roman" w:eastAsia="Times New Roman" w:hAnsi="Times New Roman"/>
                <w:sz w:val="14"/>
                <w:szCs w:val="14"/>
                <w:color w:val="B4B4B4"/>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Accounts receivable </w:t>
            </w:r>
            <w:r>
              <w:rPr>
                <w:rFonts w:ascii="Times New Roman" w:cs="Times New Roman" w:eastAsia="Times New Roman" w:hAnsi="Times New Roman"/>
                <w:sz w:val="14"/>
                <w:szCs w:val="14"/>
                <w:color w:val="B4B4B4"/>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Due from related parties</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Inventory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Prepaid expenses and other current assets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Equity method investments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18,449</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Investment in debt securities - AFS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Intangible assets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assets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assets acquired: </w:t>
            </w:r>
            <w:r>
              <w:rPr>
                <w:rFonts w:ascii="Times New Roman" w:cs="Times New Roman" w:eastAsia="Times New Roman" w:hAnsi="Times New Roman"/>
                <w:sz w:val="14"/>
                <w:szCs w:val="14"/>
                <w:b w:val="1"/>
                <w:bCs w:val="1"/>
                <w:color w:val="B4B4B4"/>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223,299</w:t>
            </w:r>
          </w:p>
        </w:tc>
        <w:tc>
          <w:tcPr>
            <w:tcW w:w="0" w:type="dxa"/>
            <w:vAlign w:val="bottom"/>
          </w:tcPr>
          <w:p>
            <w:pPr>
              <w:spacing w:after="0"/>
              <w:rPr>
                <w:sz w:val="1"/>
                <w:szCs w:val="1"/>
                <w:color w:val="auto"/>
              </w:rPr>
            </w:pPr>
          </w:p>
        </w:tc>
      </w:tr>
      <w:tr>
        <w:trPr>
          <w:trHeight w:val="108"/>
        </w:trPr>
        <w:tc>
          <w:tcPr>
            <w:tcW w:w="5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Liabilities assumed:</w:t>
            </w: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57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57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Accounts payable </w:t>
            </w:r>
            <w:r>
              <w:rPr>
                <w:rFonts w:ascii="Times New Roman" w:cs="Times New Roman" w:eastAsia="Times New Roman" w:hAnsi="Times New Roman"/>
                <w:sz w:val="14"/>
                <w:szCs w:val="14"/>
                <w:color w:val="B4B4B4"/>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Accrued employee benefits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Accrued expenses</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Related party payable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Notes payable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Patent installment payable</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Deferred tax liability </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30,654</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Other liabilities</w:t>
            </w:r>
            <w:r>
              <w:rPr>
                <w:rFonts w:ascii="Times New Roman" w:cs="Times New Roman" w:eastAsia="Times New Roman" w:hAnsi="Times New Roman"/>
                <w:sz w:val="14"/>
                <w:szCs w:val="14"/>
                <w:color w:val="B4B4B4"/>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204"/>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liabilities assumed: </w:t>
            </w:r>
            <w:r>
              <w:rPr>
                <w:rFonts w:ascii="Times New Roman" w:cs="Times New Roman" w:eastAsia="Times New Roman" w:hAnsi="Times New Roman"/>
                <w:sz w:val="14"/>
                <w:szCs w:val="14"/>
                <w:b w:val="1"/>
                <w:bCs w:val="1"/>
                <w:color w:val="B4B4B4"/>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75,784</w:t>
            </w:r>
          </w:p>
        </w:tc>
        <w:tc>
          <w:tcPr>
            <w:tcW w:w="0" w:type="dxa"/>
            <w:vAlign w:val="bottom"/>
          </w:tcPr>
          <w:p>
            <w:pPr>
              <w:spacing w:after="0"/>
              <w:rPr>
                <w:sz w:val="1"/>
                <w:szCs w:val="1"/>
                <w:color w:val="auto"/>
              </w:rPr>
            </w:pPr>
          </w:p>
        </w:tc>
      </w:tr>
      <w:tr>
        <w:trPr>
          <w:trHeight w:val="108"/>
        </w:trPr>
        <w:tc>
          <w:tcPr>
            <w:tcW w:w="57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Net identifiable assets acquired </w:t>
            </w:r>
            <w:r>
              <w:rPr>
                <w:rFonts w:ascii="Times New Roman" w:cs="Times New Roman" w:eastAsia="Times New Roman" w:hAnsi="Times New Roman"/>
                <w:sz w:val="14"/>
                <w:szCs w:val="14"/>
                <w:b w:val="1"/>
                <w:bCs w:val="1"/>
                <w:color w:val="B4B4B4"/>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147,515</w:t>
            </w:r>
          </w:p>
        </w:tc>
        <w:tc>
          <w:tcPr>
            <w:tcW w:w="0" w:type="dxa"/>
            <w:vAlign w:val="bottom"/>
          </w:tcPr>
          <w:p>
            <w:pPr>
              <w:spacing w:after="0"/>
              <w:rPr>
                <w:sz w:val="1"/>
                <w:szCs w:val="1"/>
                <w:color w:val="auto"/>
              </w:rPr>
            </w:pPr>
          </w:p>
        </w:tc>
      </w:tr>
      <w:tr>
        <w:trPr>
          <w:trHeight w:val="42"/>
        </w:trPr>
        <w:tc>
          <w:tcPr>
            <w:tcW w:w="57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Goodwill </w:t>
            </w:r>
            <w:r>
              <w:rPr>
                <w:rFonts w:ascii="Times New Roman" w:cs="Times New Roman" w:eastAsia="Times New Roman" w:hAnsi="Times New Roman"/>
                <w:sz w:val="14"/>
                <w:szCs w:val="14"/>
                <w:b w:val="1"/>
                <w:bCs w:val="1"/>
                <w:color w:val="B4B4B4"/>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667,936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-3381375</wp:posOffset>
            </wp:positionV>
            <wp:extent cx="716026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49" w:lineRule="exact"/>
        <w:rPr>
          <w:sz w:val="20"/>
          <w:szCs w:val="20"/>
          <w:color w:val="auto"/>
        </w:rPr>
      </w:pPr>
    </w:p>
    <w:p>
      <w:pPr>
        <w:ind w:left="1160" w:right="1259" w:firstLine="258"/>
        <w:spacing w:after="0" w:line="265" w:lineRule="auto"/>
        <w:rPr>
          <w:sz w:val="20"/>
          <w:szCs w:val="20"/>
          <w:color w:val="auto"/>
        </w:rPr>
      </w:pPr>
      <w:r>
        <w:rPr>
          <w:rFonts w:ascii="Times New Roman" w:cs="Times New Roman" w:eastAsia="Times New Roman" w:hAnsi="Times New Roman"/>
          <w:sz w:val="14"/>
          <w:szCs w:val="14"/>
          <w:color w:val="auto"/>
        </w:rPr>
        <w:t>The assessment of fair value is preliminary and is based on information that was available to management and through the end of the fiscal year. If additional information of events or circumstances that existed at Closing becomes available to management related to assets acquired or liabilities assumed subsequent to this preliminary assessment of fair value but not later than one year after Closing, measurement period adjustments will be recorded in the period in which they are determined, as if they had been completed at the Closing Date.</w:t>
      </w:r>
    </w:p>
    <w:p>
      <w:pPr>
        <w:spacing w:after="0" w:line="99" w:lineRule="exact"/>
        <w:rPr>
          <w:sz w:val="20"/>
          <w:szCs w:val="20"/>
          <w:color w:val="auto"/>
        </w:rPr>
      </w:pPr>
    </w:p>
    <w:p>
      <w:pPr>
        <w:ind w:left="1160" w:right="1319" w:firstLine="258"/>
        <w:spacing w:after="0" w:line="268" w:lineRule="auto"/>
        <w:rPr>
          <w:sz w:val="20"/>
          <w:szCs w:val="20"/>
          <w:color w:val="auto"/>
        </w:rPr>
      </w:pPr>
      <w:r>
        <w:rPr>
          <w:rFonts w:ascii="Times New Roman" w:cs="Times New Roman" w:eastAsia="Times New Roman" w:hAnsi="Times New Roman"/>
          <w:sz w:val="14"/>
          <w:szCs w:val="14"/>
          <w:color w:val="auto"/>
        </w:rPr>
        <w:t>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576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760" w:type="dxa"/>
            <w:vAlign w:val="bottom"/>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8"/>
        </w:trPr>
        <w:tc>
          <w:tcPr>
            <w:tcW w:w="576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8"/>
        </w:trPr>
        <w:tc>
          <w:tcPr>
            <w:tcW w:w="576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The fair value of definite-lived intangible assets as of the Closing Date included:</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29"/>
        </w:trPr>
        <w:tc>
          <w:tcPr>
            <w:tcW w:w="57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9"/>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Tradenames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Customer relationships</w:t>
            </w:r>
            <w:r>
              <w:rPr>
                <w:rFonts w:ascii="Times New Roman" w:cs="Times New Roman" w:eastAsia="Times New Roman" w:hAnsi="Times New Roman"/>
                <w:sz w:val="14"/>
                <w:szCs w:val="14"/>
                <w:color w:val="B4B4B4"/>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Developed technology </w:t>
            </w:r>
            <w:r>
              <w:rPr>
                <w:rFonts w:ascii="Times New Roman" w:cs="Times New Roman" w:eastAsia="Times New Roman" w:hAnsi="Times New Roman"/>
                <w:sz w:val="14"/>
                <w:szCs w:val="14"/>
                <w:color w:val="B4B4B4"/>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165,100</w:t>
            </w:r>
          </w:p>
        </w:tc>
      </w:tr>
      <w:tr>
        <w:trPr>
          <w:trHeight w:val="163"/>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187,500</w:t>
            </w: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Refer to Note 9. Goodwill and Intangible Assets for additional information.</w:t>
      </w:r>
    </w:p>
    <w:p>
      <w:pPr>
        <w:spacing w:after="0" w:line="14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Predecessor financial statements for the year ended December 31, 2023, include $3,452 transaction costs from Innventure LLC and for the period from January 1, 2024 to October 1, 2024 include $9,627 of transaction costs from Innventure LLC. These transaction costs are recorded within General and administrative expenses within the consolidated statements of operations and comprehensive income (loss). Prior to the Closing Date, Learn CW incurred $9,233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$455 and net loss of $18,333 in the consolidated statements of operations and comprehensive income (loss) for the Successor period from October 2, 2024 through December 31, 2024.</w:t>
      </w:r>
    </w:p>
    <w:p>
      <w:pPr>
        <w:spacing w:after="0" w:line="106"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Innventure LLC incurred certain acquiree expenses contingent solely upon the consummation of the Business Combination. Such costs consisted of $5,292 in transaction costs and $223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Pro Forma Financial Information (Unaudited)</w:t>
      </w:r>
    </w:p>
    <w:p>
      <w:pPr>
        <w:spacing w:after="0" w:line="142"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w:t>
      </w:r>
    </w:p>
    <w:p>
      <w:pPr>
        <w:sectPr>
          <w:pgSz w:w="11900" w:h="16838" w:orient="portrait"/>
          <w:cols w:equalWidth="0" w:num="1">
            <w:col w:w="9019"/>
          </w:cols>
          <w:pgMar w:left="1440" w:top="75" w:right="1440" w:bottom="0" w:gutter="0" w:footer="0" w:header="0"/>
        </w:sectPr>
      </w:pPr>
    </w:p>
    <w:bookmarkStart w:id="97" w:name="page98"/>
    <w:bookmarkEnd w:id="97"/>
    <w:p>
      <w:pPr>
        <w:ind w:left="1160" w:right="1299"/>
        <w:spacing w:after="0" w:line="201" w:lineRule="auto"/>
        <w:rPr>
          <w:sz w:val="20"/>
          <w:szCs w:val="20"/>
          <w:color w:val="auto"/>
        </w:rPr>
      </w:pPr>
      <w:r>
        <w:rPr>
          <w:rFonts w:ascii="Times New Roman" w:cs="Times New Roman" w:eastAsia="Times New Roman" w:hAnsi="Times New Roman"/>
          <w:sz w:val="14"/>
          <w:szCs w:val="14"/>
          <w:color w:val="auto"/>
        </w:rPr>
        <w:t>indicative of results of operations that would have been achieved had the Business Combination taken place on the date indicated, or the future consolidated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-141605</wp:posOffset>
            </wp:positionV>
            <wp:extent cx="716026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96" w:lineRule="exact"/>
        <w:rPr>
          <w:sz w:val="20"/>
          <w:szCs w:val="20"/>
          <w:color w:val="auto"/>
        </w:rPr>
      </w:pPr>
    </w:p>
    <w:p>
      <w:pPr>
        <w:ind w:left="1160" w:right="1419" w:firstLine="258"/>
        <w:spacing w:after="0" w:line="265" w:lineRule="auto"/>
        <w:rPr>
          <w:sz w:val="20"/>
          <w:szCs w:val="20"/>
          <w:color w:val="auto"/>
        </w:rPr>
      </w:pPr>
      <w:r>
        <w:rPr>
          <w:rFonts w:ascii="Times New Roman" w:cs="Times New Roman" w:eastAsia="Times New Roman" w:hAnsi="Times New Roman"/>
          <w:sz w:val="14"/>
          <w:szCs w:val="14"/>
          <w:color w:val="auto"/>
        </w:rPr>
        <w:t>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years ended December 31, 2024 and 2023 are $1,219 and $1,117, respectively. The amounts of net loss for the years ended December 31, 2024 and 2023 are $105,972 and $74,165, respectively.</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9. Goodwill and Intangible Assets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There was no goodwill on the consolidated balance sheets during the Predecessor periods. For the Successor period from October 2, 2024 through December 31, 2024, there was $667,936 of goodwill recognized in connection with the Business Combination and no change to this value as of December 31, 2024. Refer to Note 8. Business Combinations for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summarizes intangible assets, net:</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0"/>
        </w:trPr>
        <w:tc>
          <w:tcPr>
            <w:tcW w:w="2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7"/>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December 31, 2024 (Successor)</w:t>
            </w:r>
          </w:p>
        </w:tc>
        <w:tc>
          <w:tcPr>
            <w:tcW w:w="0" w:type="dxa"/>
            <w:vAlign w:val="bottom"/>
          </w:tcPr>
          <w:p>
            <w:pPr>
              <w:spacing w:after="0"/>
              <w:rPr>
                <w:sz w:val="1"/>
                <w:szCs w:val="1"/>
                <w:color w:val="auto"/>
              </w:rPr>
            </w:pPr>
          </w:p>
        </w:tc>
      </w:tr>
      <w:tr>
        <w:trPr>
          <w:trHeight w:val="118"/>
        </w:trPr>
        <w:tc>
          <w:tcPr>
            <w:tcW w:w="2820" w:type="dxa"/>
            <w:vAlign w:val="bottom"/>
          </w:tcPr>
          <w:p>
            <w:pPr>
              <w:spacing w:after="0"/>
              <w:rPr>
                <w:sz w:val="10"/>
                <w:szCs w:val="10"/>
                <w:color w:val="auto"/>
              </w:rPr>
            </w:pPr>
          </w:p>
        </w:tc>
        <w:tc>
          <w:tcPr>
            <w:tcW w:w="98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980" w:type="dxa"/>
            <w:vAlign w:val="bottom"/>
            <w:gridSpan w:val="2"/>
          </w:tcPr>
          <w:p>
            <w:pPr>
              <w:jc w:val="center"/>
              <w:ind w:right="20"/>
              <w:spacing w:after="0" w:line="110" w:lineRule="exact"/>
              <w:rPr>
                <w:sz w:val="20"/>
                <w:szCs w:val="20"/>
                <w:color w:val="auto"/>
              </w:rPr>
            </w:pPr>
            <w:r>
              <w:rPr>
                <w:rFonts w:ascii="Times New Roman" w:cs="Times New Roman" w:eastAsia="Times New Roman" w:hAnsi="Times New Roman"/>
                <w:sz w:val="11"/>
                <w:szCs w:val="11"/>
                <w:b w:val="1"/>
                <w:bCs w:val="1"/>
                <w:color w:val="auto"/>
              </w:rPr>
              <w:t>Average</w:t>
            </w: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2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820" w:type="dxa"/>
            <w:vAlign w:val="bottom"/>
            <w:vMerge w:val="restart"/>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Net Carrying</w:t>
            </w:r>
          </w:p>
        </w:tc>
        <w:tc>
          <w:tcPr>
            <w:tcW w:w="0" w:type="dxa"/>
            <w:vAlign w:val="bottom"/>
          </w:tcPr>
          <w:p>
            <w:pPr>
              <w:spacing w:after="0"/>
              <w:rPr>
                <w:sz w:val="1"/>
                <w:szCs w:val="1"/>
                <w:color w:val="auto"/>
              </w:rPr>
            </w:pPr>
          </w:p>
        </w:tc>
      </w:tr>
      <w:tr>
        <w:trPr>
          <w:trHeight w:val="118"/>
        </w:trPr>
        <w:tc>
          <w:tcPr>
            <w:tcW w:w="2820" w:type="dxa"/>
            <w:vAlign w:val="bottom"/>
            <w:vMerge w:val="restart"/>
          </w:tcPr>
          <w:p>
            <w:pPr>
              <w:jc w:val="right"/>
              <w:ind w:right="951"/>
              <w:spacing w:after="0"/>
              <w:rPr>
                <w:sz w:val="20"/>
                <w:szCs w:val="20"/>
                <w:color w:val="auto"/>
              </w:rPr>
            </w:pPr>
            <w:r>
              <w:rPr>
                <w:rFonts w:ascii="Times New Roman" w:cs="Times New Roman" w:eastAsia="Times New Roman" w:hAnsi="Times New Roman"/>
                <w:sz w:val="11"/>
                <w:szCs w:val="11"/>
                <w:b w:val="1"/>
                <w:bCs w:val="1"/>
                <w:color w:val="auto"/>
              </w:rPr>
              <w:t>Intangible Asset</w:t>
            </w: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Amortization</w:t>
            </w: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820" w:type="dxa"/>
            <w:vAlign w:val="bottom"/>
            <w:vMerge w:val="continue"/>
          </w:tcPr>
          <w:p>
            <w:pPr>
              <w:spacing w:after="0"/>
              <w:rPr>
                <w:sz w:val="13"/>
                <w:szCs w:val="13"/>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Period (years)</w:t>
            </w:r>
          </w:p>
        </w:tc>
        <w:tc>
          <w:tcPr>
            <w:tcW w:w="2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20" w:type="dxa"/>
            <w:vAlign w:val="bottom"/>
          </w:tcPr>
          <w:p>
            <w:pPr>
              <w:spacing w:after="0"/>
              <w:rPr>
                <w:sz w:val="13"/>
                <w:szCs w:val="13"/>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89"/>
        </w:trPr>
        <w:tc>
          <w:tcPr>
            <w:tcW w:w="2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Tradenames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w:t>
            </w:r>
          </w:p>
        </w:tc>
        <w:tc>
          <w:tcPr>
            <w:tcW w:w="0" w:type="dxa"/>
            <w:vAlign w:val="bottom"/>
          </w:tcPr>
          <w:p>
            <w:pPr>
              <w:spacing w:after="0"/>
              <w:rPr>
                <w:sz w:val="1"/>
                <w:szCs w:val="1"/>
                <w:color w:val="auto"/>
              </w:rPr>
            </w:pPr>
          </w:p>
        </w:tc>
      </w:tr>
      <w:tr>
        <w:trPr>
          <w:trHeight w:val="198"/>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Customer relationships</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Developed technology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160,382</w:t>
            </w:r>
          </w:p>
        </w:tc>
        <w:tc>
          <w:tcPr>
            <w:tcW w:w="0" w:type="dxa"/>
            <w:vAlign w:val="bottom"/>
          </w:tcPr>
          <w:p>
            <w:pPr>
              <w:spacing w:after="0"/>
              <w:rPr>
                <w:sz w:val="1"/>
                <w:szCs w:val="1"/>
                <w:color w:val="auto"/>
              </w:rPr>
            </w:pPr>
          </w:p>
        </w:tc>
      </w:tr>
      <w:tr>
        <w:trPr>
          <w:trHeight w:val="198"/>
        </w:trPr>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Other finite-lived intangible assets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3"/>
        </w:trPr>
        <w:tc>
          <w:tcPr>
            <w:tcW w:w="2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Totalintangibleassets</w:t>
            </w: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187,530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182,153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There were no intangible assets on the consolidated balance sheets during the Predecessor periods; therefore, no amortization expense was recognized. Amortization expense was $5,377 for the Successor period from October 2, 2024 through December 31, 2024 and is recorded on the consolidated statements of operations and comprehensive income (loss).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Estimated future amortization expense is as follows:</w:t>
      </w:r>
    </w:p>
    <w:p>
      <w:pPr>
        <w:spacing w:after="0" w:line="189"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5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Amortization</w:t>
            </w:r>
          </w:p>
        </w:tc>
      </w:tr>
      <w:tr>
        <w:trPr>
          <w:trHeight w:val="156"/>
        </w:trPr>
        <w:tc>
          <w:tcPr>
            <w:tcW w:w="5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Expense</w:t>
            </w:r>
          </w:p>
        </w:tc>
      </w:tr>
      <w:tr>
        <w:trPr>
          <w:trHeight w:val="19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21,616</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21,616</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2027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21,234</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2028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2029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18,853</w:t>
            </w:r>
          </w:p>
        </w:tc>
      </w:tr>
      <w:tr>
        <w:trPr>
          <w:trHeight w:val="198"/>
        </w:trPr>
        <w:tc>
          <w:tcPr>
            <w:tcW w:w="5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Thereafter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78,761</w:t>
            </w:r>
          </w:p>
        </w:tc>
      </w:tr>
      <w:tr>
        <w:trPr>
          <w:trHeight w:val="193"/>
        </w:trPr>
        <w:tc>
          <w:tcPr>
            <w:tcW w:w="5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182,153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10. Earnout Shares</w:t>
      </w:r>
    </w:p>
    <w:p>
      <w:pPr>
        <w:spacing w:after="0" w:line="152"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Upon Closing of the Business Combination, 5,000,000 Company Earnout Shares were contingently issuable to Innventure Members. Additionally, 344,828 earnout shares were issued to the Sponsor who received consideration in the Business Combination. These shares, referred to as "Sponsor Earnout Shares," are subject to clawback. The Company Earnout Shares and the Sponsor Earnout Shares are collectively referred to as the “Earnout Shares”.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Earnout Shares will vest upon the following milestone conditions:</w:t>
      </w:r>
    </w:p>
    <w:p>
      <w:pPr>
        <w:spacing w:after="0" w:line="140" w:lineRule="exact"/>
        <w:rPr>
          <w:sz w:val="20"/>
          <w:szCs w:val="20"/>
          <w:color w:val="auto"/>
        </w:rPr>
      </w:pPr>
    </w:p>
    <w:p>
      <w:pPr>
        <w:ind w:left="1660" w:right="1179" w:hanging="249"/>
        <w:spacing w:after="0" w:line="274" w:lineRule="auto"/>
        <w:tabs>
          <w:tab w:leader="none" w:pos="16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of the Earnout Shares will vest upon Accelsius having entered into binding contracts providing for revenue for the Company (as defined in the Business Combination Agreement) within 7 years following the Closing (the “Vesting Period”) in excess of $15,000 in revenue ("Milestone One");</w:t>
      </w:r>
    </w:p>
    <w:p>
      <w:pPr>
        <w:spacing w:after="0" w:line="92" w:lineRule="exact"/>
        <w:rPr>
          <w:rFonts w:ascii="Times New Roman" w:cs="Times New Roman" w:eastAsia="Times New Roman" w:hAnsi="Times New Roman"/>
          <w:sz w:val="14"/>
          <w:szCs w:val="14"/>
          <w:color w:val="auto"/>
        </w:rPr>
      </w:pPr>
    </w:p>
    <w:p>
      <w:pPr>
        <w:ind w:left="1660" w:right="1239" w:hanging="249"/>
        <w:spacing w:after="0" w:line="274" w:lineRule="auto"/>
        <w:tabs>
          <w:tab w:leader="none" w:pos="16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of the Earnout Shares will vest upon the Company’s formation of a new subsidiary, in partnership with an MNC, as determined using the Innventure LLC's “DownSelect” process, within the Vesting Period ("Milestone Two"); and</w:t>
      </w:r>
    </w:p>
    <w:p>
      <w:pPr>
        <w:spacing w:after="0" w:line="92" w:lineRule="exact"/>
        <w:rPr>
          <w:rFonts w:ascii="Times New Roman" w:cs="Times New Roman" w:eastAsia="Times New Roman" w:hAnsi="Times New Roman"/>
          <w:sz w:val="14"/>
          <w:szCs w:val="14"/>
          <w:color w:val="auto"/>
        </w:rPr>
      </w:pPr>
    </w:p>
    <w:p>
      <w:pPr>
        <w:ind w:left="1660" w:right="1279" w:hanging="249"/>
        <w:spacing w:after="0" w:line="292" w:lineRule="auto"/>
        <w:tabs>
          <w:tab w:leader="none" w:pos="16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Earnout Shares will vest upon AeroFlexx having received in excess of $15,000 revenue within the Vesting Period ("Milestone Three").</w:t>
      </w:r>
    </w:p>
    <w:p>
      <w:pPr>
        <w:spacing w:after="0" w:line="81"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9019"/>
          </w:cols>
          <w:pgMar w:left="1440" w:top="9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9019"/>
          </w:cols>
          <w:pgMar w:left="1440" w:top="94" w:right="1440" w:bottom="0" w:gutter="0" w:footer="0" w:header="0"/>
          <w:type w:val="continuous"/>
        </w:sectPr>
      </w:pPr>
    </w:p>
    <w:bookmarkStart w:id="98" w:name="page99"/>
    <w:bookmarkEnd w:id="98"/>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Earnout Shares related to Milestone One and Milestone Two were determined to be classified as equity. At Closing, 4,275,862 equity-classified Earnout Shares were fair valued at $46,350, inclusive of 2,137,931 Milestone One shares fair valued at $23,175 and 2,137,931 Milestone Two shares fair valued at $23,175 which are presented in Additional paid-in capital on the consolidated balance sheets.</w:t>
      </w:r>
    </w:p>
    <w:p>
      <w:pPr>
        <w:spacing w:after="0" w:line="97"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The Earnout Shares related to Milestone Three are classified as a liability. At Closing, 1,068,966 liability-classified Earnout Shares were fair valued at $11,352 and subsequently fair valued at $14,752 as of December 31, 2024. The Company recognized a loss of $3,400 in Change in fair value of financial liabilities on the consolidated statements of operations and comprehensive income (loss) for the Successor period from October 2, 2024 through December 31, 2024.</w:t>
      </w:r>
    </w:p>
    <w:p>
      <w:pPr>
        <w:spacing w:after="0" w:line="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11. Warrants</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40" w:type="dxa"/>
            <w:vAlign w:val="bottom"/>
            <w:vMerge w:val="restart"/>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Number of WTI</w:t>
            </w: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w w:val="99"/>
              </w:rPr>
              <w:t>Private</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00" w:type="dxa"/>
            <w:vAlign w:val="bottom"/>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Public Warrants</w:t>
            </w: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0" w:type="dxa"/>
            <w:vAlign w:val="bottom"/>
          </w:tcPr>
          <w:p>
            <w:pPr>
              <w:spacing w:after="0"/>
              <w:rPr>
                <w:sz w:val="1"/>
                <w:szCs w:val="1"/>
                <w:color w:val="auto"/>
              </w:rPr>
            </w:pPr>
          </w:p>
        </w:tc>
      </w:tr>
      <w:tr>
        <w:trPr>
          <w:trHeight w:val="199"/>
        </w:trPr>
        <w:tc>
          <w:tcPr>
            <w:tcW w:w="38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Outstanding, October 2, 2024 (Successor) </w:t>
            </w:r>
            <w:r>
              <w:rPr>
                <w:rFonts w:ascii="Times New Roman" w:cs="Times New Roman" w:eastAsia="Times New Roman" w:hAnsi="Times New Roman"/>
                <w:sz w:val="14"/>
                <w:szCs w:val="14"/>
                <w:b w:val="1"/>
                <w:bCs w:val="1"/>
                <w:color w:val="B4B4B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11,499,997</w:t>
            </w: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7,146,000</w:t>
            </w: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Exercised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(259,309)</w:t>
            </w:r>
          </w:p>
        </w:tc>
        <w:tc>
          <w:tcPr>
            <w:tcW w:w="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Issued</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Outstanding, December 31, 2024 (Successor) </w:t>
            </w:r>
            <w:r>
              <w:rPr>
                <w:rFonts w:ascii="Times New Roman" w:cs="Times New Roman" w:eastAsia="Times New Roman" w:hAnsi="Times New Roman"/>
                <w:sz w:val="14"/>
                <w:szCs w:val="14"/>
                <w:b w:val="1"/>
                <w:bCs w:val="1"/>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11,240,688</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7,146,000</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160" w:right="1419" w:firstLine="258"/>
        <w:spacing w:after="0" w:line="292" w:lineRule="auto"/>
        <w:rPr>
          <w:sz w:val="20"/>
          <w:szCs w:val="20"/>
          <w:color w:val="auto"/>
        </w:rPr>
      </w:pPr>
      <w:r>
        <w:rPr>
          <w:rFonts w:ascii="Times New Roman" w:cs="Times New Roman" w:eastAsia="Times New Roman" w:hAnsi="Times New Roman"/>
          <w:sz w:val="14"/>
          <w:szCs w:val="14"/>
          <w:color w:val="auto"/>
        </w:rPr>
        <w:t>There were no warrants outstanding during the Predecessor period from January 1, 2024 through October 1, 2024 nor the Predecessor year ended December 31, 2023.</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Public and Private Placement Warrants</w:t>
      </w:r>
    </w:p>
    <w:p>
      <w:pPr>
        <w:spacing w:after="0" w:line="144"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Upon the consummation of the Business Combination, 11,499,997 Learn CW public warrants and 7,146,000 private placement warrants outstanding immediately prior to Closing was assumed by the Company and each converted into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w:t>
      </w:r>
    </w:p>
    <w:p>
      <w:pPr>
        <w:spacing w:after="0" w:line="101"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Public Warrants</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At Closing, the fair value of the equity classified public warrants was $1,265 and is presented in the consolidated balance sheets. See Note 4. Fair Value for details on valuation. The public warrants expire on October 2, 2029. During the Successor period from October 2, 2024 through December 31, 2024, 259,309 public warrants were exercised. Each public warrant that was exercised was converted into one share of Common Stock for an exercise price of $11.50, amounting to a total of $2,982 cash proceeds.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Private Placement Warrants</w:t>
      </w:r>
    </w:p>
    <w:p>
      <w:pPr>
        <w:spacing w:after="0" w:line="142" w:lineRule="exact"/>
        <w:rPr>
          <w:sz w:val="20"/>
          <w:szCs w:val="20"/>
          <w:color w:val="auto"/>
        </w:rPr>
      </w:pPr>
    </w:p>
    <w:p>
      <w:pPr>
        <w:ind w:left="1160" w:right="1379" w:firstLine="258"/>
        <w:spacing w:after="0" w:line="292" w:lineRule="auto"/>
        <w:rPr>
          <w:sz w:val="20"/>
          <w:szCs w:val="20"/>
          <w:color w:val="auto"/>
        </w:rPr>
      </w:pPr>
      <w:r>
        <w:rPr>
          <w:rFonts w:ascii="Times New Roman" w:cs="Times New Roman" w:eastAsia="Times New Roman" w:hAnsi="Times New Roman"/>
          <w:sz w:val="14"/>
          <w:szCs w:val="14"/>
          <w:color w:val="auto"/>
        </w:rPr>
        <w:t>The private placement warrants are liability classified and are not eligible for an exception from derivative accounting. The private placement warrants are presented as a current liability on the consolidated balance sheets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99"/>
        <w:spacing w:after="0" w:line="292" w:lineRule="auto"/>
        <w:rPr>
          <w:sz w:val="20"/>
          <w:szCs w:val="20"/>
          <w:color w:val="auto"/>
        </w:rPr>
      </w:pPr>
      <w:r>
        <w:rPr>
          <w:rFonts w:ascii="Times New Roman" w:cs="Times New Roman" w:eastAsia="Times New Roman" w:hAnsi="Times New Roman"/>
          <w:sz w:val="14"/>
          <w:szCs w:val="14"/>
          <w:color w:val="auto"/>
        </w:rPr>
        <w:t>given their exercisable term, which is 30 days from Closing. The private placement warrants are measured at fair value based on the price of the public warrants (Level 2 fair value measurement).</w:t>
      </w:r>
    </w:p>
    <w:p>
      <w:pPr>
        <w:spacing w:after="0" w:line="81" w:lineRule="exact"/>
        <w:rPr>
          <w:sz w:val="20"/>
          <w:szCs w:val="20"/>
          <w:color w:val="auto"/>
        </w:rPr>
      </w:pPr>
    </w:p>
    <w:p>
      <w:pPr>
        <w:ind w:left="1160" w:right="1299" w:firstLine="258"/>
        <w:spacing w:after="0" w:line="265" w:lineRule="auto"/>
        <w:rPr>
          <w:sz w:val="20"/>
          <w:szCs w:val="20"/>
          <w:color w:val="auto"/>
        </w:rPr>
      </w:pPr>
      <w:r>
        <w:rPr>
          <w:rFonts w:ascii="Times New Roman" w:cs="Times New Roman" w:eastAsia="Times New Roman" w:hAnsi="Times New Roman"/>
          <w:sz w:val="14"/>
          <w:szCs w:val="14"/>
          <w:color w:val="auto"/>
        </w:rPr>
        <w:t>As of Closing and December 31, 2024, the fair value of the liability-classified private placement warrants is $786 and $16,793, respectively, and is presented in the consolidated balance sheets. For the Successor period from October 2, 2024 through December 31, 2024, the company recognized a loss of $16,007 in Change in fair value of financial liabilities on the consolidated statements of operations and comprehensive income (loss). There were no private warrants exercised for the year ended December 31, 2024.</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2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1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8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0" w:type="dxa"/>
            <w:vAlign w:val="bottom"/>
          </w:tcPr>
          <w:p>
            <w:pPr>
              <w:spacing w:after="0"/>
              <w:rPr>
                <w:sz w:val="1"/>
                <w:szCs w:val="1"/>
                <w:color w:val="auto"/>
              </w:rPr>
            </w:pPr>
          </w:p>
        </w:tc>
      </w:tr>
      <w:tr>
        <w:trPr>
          <w:trHeight w:val="154"/>
        </w:trPr>
        <w:tc>
          <w:tcPr>
            <w:tcW w:w="2820" w:type="dxa"/>
            <w:vAlign w:val="bottom"/>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PrivateWarrants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7,146,000</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10/2/2029</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WTI Warrants</w:t>
      </w:r>
    </w:p>
    <w:p>
      <w:pPr>
        <w:spacing w:after="0" w:line="144"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On October 22, 2024, in connection with the WTI Facility, the Company issued warrants (the “WTI Warrants”) to the WTI Lenders. The WTI Warrants allow the holders to acquire shares of the Company’s Common Stock or any future equity securities issued by the Company (“Subsequent Round Stock”) for cash, at a purchase price equal to $0.01 per share. The number of shares acquirable is determined by dividing $10,000 by the applicable exercise price, which varies depending on the type of stock acquired and certain other conditions.</w:t>
      </w:r>
    </w:p>
    <w:p>
      <w:pPr>
        <w:spacing w:after="0" w:line="99" w:lineRule="exact"/>
        <w:rPr>
          <w:sz w:val="20"/>
          <w:szCs w:val="20"/>
          <w:color w:val="auto"/>
        </w:rPr>
      </w:pPr>
    </w:p>
    <w:p>
      <w:pPr>
        <w:jc w:val="both"/>
        <w:ind w:left="1660" w:right="1339" w:hanging="249"/>
        <w:spacing w:after="0" w:line="274" w:lineRule="auto"/>
        <w:tabs>
          <w:tab w:leader="none" w:pos="16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WTI Lenders choose to exercise the warrants for Common Stock, the exercise price is $10.00 per share; however, if the volume-weighted average price (VWAP) of the Company's Common Stock is less than $10.00 per share as of the date which is eighteen months after the Company's Common Stock began</w:t>
      </w:r>
    </w:p>
    <w:p>
      <w:pPr>
        <w:sectPr>
          <w:pgSz w:w="11900" w:h="16889" w:orient="portrait"/>
          <w:cols w:equalWidth="0" w:num="1">
            <w:col w:w="9019"/>
          </w:cols>
          <w:pgMar w:left="1440" w:top="155" w:right="1440" w:bottom="0" w:gutter="0" w:footer="0" w:header="0"/>
        </w:sectPr>
      </w:pPr>
    </w:p>
    <w:bookmarkStart w:id="99" w:name="page100"/>
    <w:bookmarkEnd w:id="99"/>
    <w:p>
      <w:pPr>
        <w:ind w:left="1660"/>
        <w:spacing w:after="0"/>
        <w:rPr>
          <w:sz w:val="20"/>
          <w:szCs w:val="20"/>
          <w:color w:val="auto"/>
        </w:rPr>
      </w:pPr>
      <w:r>
        <w:rPr>
          <w:rFonts w:ascii="Times New Roman" w:cs="Times New Roman" w:eastAsia="Times New Roman" w:hAnsi="Times New Roman"/>
          <w:sz w:val="14"/>
          <w:szCs w:val="14"/>
          <w:color w:val="auto"/>
        </w:rPr>
        <w:t>trading, then the exercise price shall be reduced to such lower VWAP.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-72390</wp:posOffset>
            </wp:positionV>
            <wp:extent cx="716026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08" w:lineRule="exact"/>
        <w:rPr>
          <w:sz w:val="20"/>
          <w:szCs w:val="20"/>
          <w:color w:val="auto"/>
        </w:rPr>
      </w:pPr>
    </w:p>
    <w:p>
      <w:pPr>
        <w:jc w:val="both"/>
        <w:ind w:left="1660" w:right="1199" w:hanging="249"/>
        <w:spacing w:after="0" w:line="274" w:lineRule="auto"/>
        <w:tabs>
          <w:tab w:leader="none" w:pos="1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WTI Lenders choose to exercise the warrants for Subsequent Round Stock, the exercise price shall be the lowest price per share paid by any person for the Company's equity securities issued in a corresponding subsequent round.</w:t>
      </w:r>
    </w:p>
    <w:p>
      <w:pPr>
        <w:spacing w:after="0" w:line="93" w:lineRule="exact"/>
        <w:rPr>
          <w:sz w:val="20"/>
          <w:szCs w:val="20"/>
          <w:color w:val="auto"/>
        </w:rPr>
      </w:pPr>
    </w:p>
    <w:p>
      <w:pPr>
        <w:jc w:val="both"/>
        <w:ind w:left="1160" w:right="1219" w:firstLine="258"/>
        <w:spacing w:after="0" w:line="265" w:lineRule="auto"/>
        <w:rPr>
          <w:sz w:val="20"/>
          <w:szCs w:val="20"/>
          <w:color w:val="auto"/>
        </w:rPr>
      </w:pPr>
      <w:r>
        <w:rPr>
          <w:rFonts w:ascii="Times New Roman" w:cs="Times New Roman" w:eastAsia="Times New Roman" w:hAnsi="Times New Roman"/>
          <w:sz w:val="14"/>
          <w:szCs w:val="14"/>
          <w:color w:val="auto"/>
        </w:rPr>
        <w:t>The WTI Warrants are exercisable at the option of the holders until March 31, 2035, and may be exchanged for a cash amount of $15,000 (subject to ratable reduction for partial exercises) upon the occurrence of certain liquidity events or at any time from and after October 22, 2028. The holders also have the right to participate in future equity or convertible debt offerings up to an aggregate amount of $5,000 or to maintain their pro rata ownership, subject to customary exclusions.</w:t>
      </w:r>
    </w:p>
    <w:p>
      <w:pPr>
        <w:spacing w:after="0" w:line="99"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The WTI Warrants are considered freestanding financial instruments and are recorded at fair value on the consolidated balance sheets as a warrant liability. The fair value of the WTI Warrants upon issuance was $15,690. For the period from issuance to December 31, 2024, the Company recognized a loss of $1,540 in Change in fair value of financial liabilities on the consolidated statements of operations and comprehensive income (loss). See Note 4. Fair Value for details on the valuation.</w:t>
      </w:r>
    </w:p>
    <w:p>
      <w:pPr>
        <w:spacing w:after="0" w:line="148"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0" w:type="dxa"/>
            <w:vAlign w:val="bottom"/>
          </w:tcPr>
          <w:p>
            <w:pPr>
              <w:spacing w:after="0"/>
              <w:rPr>
                <w:sz w:val="1"/>
                <w:szCs w:val="1"/>
                <w:color w:val="auto"/>
              </w:rPr>
            </w:pPr>
          </w:p>
        </w:tc>
      </w:tr>
      <w:tr>
        <w:trPr>
          <w:trHeight w:val="110"/>
        </w:trPr>
        <w:tc>
          <w:tcPr>
            <w:tcW w:w="2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78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1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8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78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WTIWarrants</w:t>
            </w: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varies</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3/31/2025</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12. Mezzanine Capital</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Predecessor period</w:t>
      </w:r>
    </w:p>
    <w:p>
      <w:pPr>
        <w:spacing w:after="0" w:line="144" w:lineRule="exact"/>
        <w:rPr>
          <w:sz w:val="20"/>
          <w:szCs w:val="20"/>
          <w:color w:val="auto"/>
        </w:rPr>
      </w:pPr>
    </w:p>
    <w:p>
      <w:pPr>
        <w:ind w:left="1160" w:right="1199" w:firstLine="258"/>
        <w:spacing w:after="0" w:line="268" w:lineRule="auto"/>
        <w:rPr>
          <w:sz w:val="20"/>
          <w:szCs w:val="20"/>
          <w:color w:val="auto"/>
        </w:rPr>
      </w:pPr>
      <w:r>
        <w:rPr>
          <w:rFonts w:ascii="Times New Roman" w:cs="Times New Roman" w:eastAsia="Times New Roman" w:hAnsi="Times New Roman"/>
          <w:sz w:val="14"/>
          <w:szCs w:val="14"/>
          <w:color w:val="auto"/>
        </w:rPr>
        <w:t>The redemption of Class PCTA Units or Class I Units is not solely in control of the Company and, as such, both classes of units are considered redeemable at the option of the holder. The Class PCTA Units are probable of becoming redeemable and the Class I Units are currently redeemable. As such, these units are accreted to redemption value at each reporting date.</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Valuation</w:t>
      </w:r>
    </w:p>
    <w:p>
      <w:pPr>
        <w:spacing w:after="0" w:line="142"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Class PCTA Units are valued on a monthly basis to align with the underlying value of the PCT stock. Changes in the redemption value (e.g., fair value) are recognized immediately as they occur and the carrying value of the instrument is adjusted to equal the redemption value at the end of each reporting period. Class I Units are valued on a quarterly basis based on the underlying fair value of the ESG Fund.</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Voting</w:t>
      </w:r>
    </w:p>
    <w:p>
      <w:pPr>
        <w:spacing w:after="0" w:line="142"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Liquidation Preference</w:t>
      </w:r>
    </w:p>
    <w:p>
      <w:pPr>
        <w:spacing w:after="0" w:line="142"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Distributions to Class PCTA and Class I Unit holders are based on their ownership percentage of the respective class.</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Redemption</w:t>
      </w:r>
    </w:p>
    <w:p>
      <w:pPr>
        <w:spacing w:after="0" w:line="142"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1,000,000 Class PCTA Units, Innventure1 is obligated to acquire Class B-1 Preferred Units after the achievement of certain operational milestones at PCT.</w:t>
      </w:r>
    </w:p>
    <w:p>
      <w:pPr>
        <w:spacing w:after="0" w:line="101"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 There is no maximum amount the Company could be required to pay if the instrument is redeemed.</w:t>
      </w:r>
    </w:p>
    <w:p>
      <w:pPr>
        <w:spacing w:after="0" w:line="99"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The Company will distribute the Class I investments held by Innventus ESG Fund I, L.P., to the investor in-kind at the election of WE-INN LLC. There is no maximum amount that the Company could be required to pay if the instrument is redeemed.</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13. Stockholders' Equity</w:t>
      </w:r>
    </w:p>
    <w:p>
      <w:pPr>
        <w:spacing w:after="0" w:line="142" w:lineRule="exact"/>
        <w:rPr>
          <w:sz w:val="20"/>
          <w:szCs w:val="20"/>
          <w:color w:val="auto"/>
        </w:rPr>
      </w:pPr>
    </w:p>
    <w:p>
      <w:pPr>
        <w:ind w:left="1160" w:right="1279" w:firstLine="258"/>
        <w:spacing w:after="0" w:line="268" w:lineRule="auto"/>
        <w:rPr>
          <w:sz w:val="20"/>
          <w:szCs w:val="20"/>
          <w:color w:val="auto"/>
        </w:rPr>
      </w:pPr>
      <w:r>
        <w:rPr>
          <w:rFonts w:ascii="Times New Roman" w:cs="Times New Roman" w:eastAsia="Times New Roman" w:hAnsi="Times New Roman"/>
          <w:sz w:val="14"/>
          <w:szCs w:val="14"/>
          <w:color w:val="auto"/>
        </w:rPr>
        <w:t>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w:t>
      </w:r>
    </w:p>
    <w:p>
      <w:pPr>
        <w:sectPr>
          <w:pgSz w:w="11900" w:h="16838" w:orient="portrait"/>
          <w:cols w:equalWidth="0" w:num="1">
            <w:col w:w="9019"/>
          </w:cols>
          <w:pgMar w:left="1440" w:top="94" w:right="1440" w:bottom="438" w:gutter="0" w:footer="0" w:header="0"/>
        </w:sectPr>
      </w:pPr>
    </w:p>
    <w:bookmarkStart w:id="100" w:name="page101"/>
    <w:bookmarkEnd w:id="100"/>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F-37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144"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w:t>
      </w:r>
    </w:p>
    <w:p>
      <w:pPr>
        <w:spacing w:after="0" w:line="9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 (ii) the Reset Conversion Price, where the “Reset Conversion Price” means the greater of: (a) $5.00 and (b) the 10-trading day volume-weighted average closing price of the Common Stock. Any fractional shares resulting from conversion will be rounded up to the next whole share.</w:t>
      </w:r>
    </w:p>
    <w:p>
      <w:pPr>
        <w:spacing w:after="0" w:line="103"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w:t>
      </w:r>
    </w:p>
    <w:p>
      <w:pPr>
        <w:spacing w:after="0" w:line="101"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$217.</w:t>
      </w:r>
    </w:p>
    <w:p>
      <w:pPr>
        <w:spacing w:after="0" w:line="1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4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is authorized to issue 250,000,000 shares of Common Stock with a par value of $0.0001 per share. Holders of the Company’s common stock are entitled to one vote for each share. Immediately following the Business Combination, there were 43,589,850 shares of Common Stock issued and outstanding as further discussed in Note 8. Business Combinations. As of December 31, 2024 there were 44,597,154 shares of Common Stock issued and outstanding due to the issuance of Common Stock, exercise of Public Warrants, the issuance of Common Stock in relation to the Standby Equity Purchase Agreement, and the vesting of Earnout Shares that occurred prior to year end.</w:t>
      </w: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Standby Equity Purchase Agreement</w:t>
      </w:r>
    </w:p>
    <w:p>
      <w:pPr>
        <w:spacing w:after="0" w:line="144" w:lineRule="exact"/>
        <w:rPr>
          <w:sz w:val="20"/>
          <w:szCs w:val="20"/>
          <w:color w:val="auto"/>
        </w:rPr>
      </w:pPr>
    </w:p>
    <w:p>
      <w:pPr>
        <w:jc w:val="both"/>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In October 2023, we entered into the SEPA with YA II PN, LTD., an exempt limited partnership from the Cayman Islands (“Yorkville”). Concurrently with the Business Combination, this agreement became effective.</w:t>
      </w:r>
    </w:p>
    <w:p>
      <w:pPr>
        <w:spacing w:after="0" w:line="8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Pursuant to the SEPA, the Company shall have the right, but not the obligation, to sell to Yorkville up to</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$75,000 of Common Stock, par value $0.0001 per share, at the Company’s request any time during the commitment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period commencing on the Closing and continuing for a term of 3 years (“Purchased Put Option”). As consideration,</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Innventure agreed and paid, to YA Global II SPV, LLC, a subsidiary of Yorkville, (i) a structuring fee in the amount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19"/>
        <w:spacing w:after="0" w:line="268" w:lineRule="auto"/>
        <w:rPr>
          <w:sz w:val="20"/>
          <w:szCs w:val="20"/>
          <w:color w:val="auto"/>
        </w:rPr>
      </w:pPr>
      <w:r>
        <w:rPr>
          <w:rFonts w:ascii="Times New Roman" w:cs="Times New Roman" w:eastAsia="Times New Roman" w:hAnsi="Times New Roman"/>
          <w:sz w:val="14"/>
          <w:szCs w:val="14"/>
          <w:color w:val="auto"/>
        </w:rPr>
        <w:t>of $25 and (ii) a commitment fee of $375.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year ended December 31, 2024.</w:t>
      </w:r>
    </w:p>
    <w:p>
      <w:pPr>
        <w:spacing w:after="0" w:line="97" w:lineRule="exact"/>
        <w:rPr>
          <w:sz w:val="20"/>
          <w:szCs w:val="20"/>
          <w:color w:val="auto"/>
        </w:rPr>
      </w:pPr>
    </w:p>
    <w:p>
      <w:pPr>
        <w:ind w:left="1160" w:right="1199" w:firstLine="258"/>
        <w:spacing w:after="0" w:line="259" w:lineRule="auto"/>
        <w:rPr>
          <w:sz w:val="20"/>
          <w:szCs w:val="20"/>
          <w:color w:val="auto"/>
        </w:rPr>
      </w:pPr>
      <w:r>
        <w:rPr>
          <w:rFonts w:ascii="Times New Roman" w:cs="Times New Roman" w:eastAsia="Times New Roman" w:hAnsi="Times New Roman"/>
          <w:sz w:val="14"/>
          <w:szCs w:val="14"/>
          <w:color w:val="auto"/>
        </w:rPr>
        <w:t>Each advance that Innventure issues in writing to Yorkville under the SEPA (each, an “Advance,” and notice of such request, and “Advance Notice”) may be in an amount of Common Stock up to the greater of: (i) $10,000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w:t>
      </w:r>
    </w:p>
    <w:p>
      <w:pPr>
        <w:spacing w:after="0" w:line="108" w:lineRule="exact"/>
        <w:rPr>
          <w:sz w:val="20"/>
          <w:szCs w:val="20"/>
          <w:color w:val="auto"/>
        </w:rPr>
      </w:pPr>
    </w:p>
    <w:p>
      <w:pPr>
        <w:ind w:left="1160" w:right="1439" w:firstLine="258"/>
        <w:spacing w:after="0" w:line="292" w:lineRule="auto"/>
        <w:rPr>
          <w:sz w:val="20"/>
          <w:szCs w:val="20"/>
          <w:color w:val="auto"/>
        </w:rPr>
      </w:pPr>
      <w:r>
        <w:rPr>
          <w:rFonts w:ascii="Times New Roman" w:cs="Times New Roman" w:eastAsia="Times New Roman" w:hAnsi="Times New Roman"/>
          <w:sz w:val="14"/>
          <w:szCs w:val="14"/>
          <w:color w:val="auto"/>
        </w:rPr>
        <w:t>The SEPA will automatically terminate on the earlier to occur of (i) November 01, 2027 and (ii) the date on which Yorkville shall have made payment of advances pursuant to the SEPA for Common Stock equal to the</w:t>
      </w:r>
    </w:p>
    <w:p>
      <w:pPr>
        <w:sectPr>
          <w:pgSz w:w="11900" w:h="16922" w:orient="portrait"/>
          <w:cols w:equalWidth="0" w:num="1">
            <w:col w:w="9019"/>
          </w:cols>
          <w:pgMar w:left="1440" w:top="157" w:right="1440" w:bottom="0" w:gutter="0" w:footer="0" w:header="0"/>
        </w:sectPr>
      </w:pPr>
    </w:p>
    <w:bookmarkStart w:id="101" w:name="page102"/>
    <w:bookmarkEnd w:id="101"/>
    <w:p>
      <w:pPr>
        <w:ind w:left="1160"/>
        <w:spacing w:after="0"/>
        <w:rPr>
          <w:sz w:val="20"/>
          <w:szCs w:val="20"/>
          <w:color w:val="auto"/>
        </w:rPr>
      </w:pPr>
      <w:r>
        <w:rPr>
          <w:rFonts w:ascii="Times New Roman" w:cs="Times New Roman" w:eastAsia="Times New Roman" w:hAnsi="Times New Roman"/>
          <w:sz w:val="14"/>
          <w:szCs w:val="14"/>
          <w:color w:val="auto"/>
        </w:rPr>
        <w:t>commitment amount of $75,000.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-78740</wp:posOffset>
            </wp:positionV>
            <wp:extent cx="716026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20"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On December 24, 2024, the Company issued and sold 60,000 shares of Common Stock in amount of $770, based on the settlement date closing stock price. Additionally, on December 30, 2024, the Company issued and sold 75,000 shares of Common Stock in an amount of $965.</w:t>
      </w:r>
    </w:p>
    <w:p>
      <w:pPr>
        <w:spacing w:after="0" w:line="93"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For the year ended December 31, 2024, the Company sold 135,000 shares of Common Stock under the SEPA, raising $1,735 which is classified within Issuance of common shares, net of issuance costs in the consolidated statements of changes in stockholders' equity (deficit).</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At Risk Sponsor Shares</w:t>
      </w:r>
    </w:p>
    <w:p>
      <w:pPr>
        <w:spacing w:after="0" w:line="144" w:lineRule="exact"/>
        <w:rPr>
          <w:sz w:val="20"/>
          <w:szCs w:val="20"/>
          <w:color w:val="auto"/>
        </w:rPr>
      </w:pPr>
    </w:p>
    <w:p>
      <w:pPr>
        <w:ind w:left="1160" w:right="1419" w:firstLine="258"/>
        <w:spacing w:after="0" w:line="274" w:lineRule="auto"/>
        <w:rPr>
          <w:sz w:val="20"/>
          <w:szCs w:val="20"/>
          <w:color w:val="auto"/>
        </w:rPr>
      </w:pPr>
      <w:r>
        <w:rPr>
          <w:rFonts w:ascii="Times New Roman" w:cs="Times New Roman" w:eastAsia="Times New Roman" w:hAnsi="Times New Roman"/>
          <w:sz w:val="14"/>
          <w:szCs w:val="14"/>
          <w:color w:val="auto"/>
        </w:rPr>
        <w:t>In connection with the Business Combination Agreement, the Company entered into the Sponsor Support Agreement under which 5,000,000 shares were issued to the Sponsor at the Closing, as follows: 2,775,172 Fixed Shares, 344,828 Sponsor Earnout Shares, and 1,880,000 At Risk Sponsor Shares.</w:t>
      </w:r>
    </w:p>
    <w:p>
      <w:pPr>
        <w:spacing w:after="0" w:line="93" w:lineRule="exact"/>
        <w:rPr>
          <w:sz w:val="20"/>
          <w:szCs w:val="20"/>
          <w:color w:val="auto"/>
        </w:rPr>
      </w:pPr>
    </w:p>
    <w:p>
      <w:pPr>
        <w:ind w:left="1160" w:right="1259" w:firstLine="258"/>
        <w:spacing w:after="0" w:line="261" w:lineRule="auto"/>
        <w:rPr>
          <w:sz w:val="20"/>
          <w:szCs w:val="20"/>
          <w:color w:val="auto"/>
        </w:rPr>
      </w:pPr>
      <w:r>
        <w:rPr>
          <w:rFonts w:ascii="Times New Roman" w:cs="Times New Roman" w:eastAsia="Times New Roman" w:hAnsi="Times New Roman"/>
          <w:sz w:val="14"/>
          <w:szCs w:val="14"/>
          <w:color w:val="auto"/>
        </w:rPr>
        <w:t>The Fixed Shares issued to the sponsor are not subject to any contingencies or forfeiture provisions. The Sponsor Earnout Shares are issued until they are deemed forfeited due to non-achievement of the associated Milestones. See Note 10. Earnout Shares 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w:t>
      </w:r>
    </w:p>
    <w:p>
      <w:pPr>
        <w:spacing w:after="0" w:line="278"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w:t>
      </w:r>
    </w:p>
    <w:p>
      <w:pPr>
        <w:spacing w:after="0" w:line="93" w:lineRule="exact"/>
        <w:rPr>
          <w:sz w:val="20"/>
          <w:szCs w:val="20"/>
          <w:color w:val="auto"/>
        </w:rPr>
      </w:pPr>
    </w:p>
    <w:p>
      <w:pPr>
        <w:ind w:left="1160" w:right="1159" w:firstLine="258"/>
        <w:spacing w:after="0" w:line="292" w:lineRule="auto"/>
        <w:rPr>
          <w:sz w:val="20"/>
          <w:szCs w:val="20"/>
          <w:color w:val="auto"/>
        </w:rPr>
      </w:pPr>
      <w:r>
        <w:rPr>
          <w:rFonts w:ascii="Times New Roman" w:cs="Times New Roman" w:eastAsia="Times New Roman" w:hAnsi="Times New Roman"/>
          <w:sz w:val="14"/>
          <w:szCs w:val="14"/>
          <w:color w:val="auto"/>
        </w:rPr>
        <w:t>Similar to the Sponsor Earnout Shares, all the At-Risk Sponsor Shares were entitled to non-forfeitable dividends or distributions along with other common stockholders of the Company, from their issuance date.</w:t>
      </w:r>
    </w:p>
    <w:p>
      <w:pPr>
        <w:spacing w:after="0" w:line="7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Service Provider Shares</w:t>
      </w:r>
    </w:p>
    <w:p>
      <w:pPr>
        <w:spacing w:after="0" w:line="144"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19"/>
        <w:spacing w:after="0" w:line="265" w:lineRule="auto"/>
        <w:rPr>
          <w:sz w:val="20"/>
          <w:szCs w:val="20"/>
          <w:color w:val="auto"/>
        </w:rPr>
      </w:pPr>
      <w:r>
        <w:rPr>
          <w:rFonts w:ascii="Times New Roman" w:cs="Times New Roman" w:eastAsia="Times New Roman" w:hAnsi="Times New Roman"/>
          <w:sz w:val="14"/>
          <w:szCs w:val="14"/>
          <w:color w:val="auto"/>
        </w:rPr>
        <w:t>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The resulting liabilities for these unissued securities are included within Liability for future equity issuance on the consolidated balance sheets.</w:t>
      </w:r>
    </w:p>
    <w:p>
      <w:pPr>
        <w:spacing w:after="0" w:line="99" w:lineRule="exact"/>
        <w:rPr>
          <w:sz w:val="20"/>
          <w:szCs w:val="20"/>
          <w:color w:val="auto"/>
        </w:rPr>
      </w:pPr>
    </w:p>
    <w:p>
      <w:pPr>
        <w:ind w:left="1160" w:right="1219" w:firstLine="258"/>
        <w:spacing w:after="0" w:line="262" w:lineRule="auto"/>
        <w:rPr>
          <w:sz w:val="20"/>
          <w:szCs w:val="20"/>
          <w:color w:val="auto"/>
        </w:rPr>
      </w:pPr>
      <w:r>
        <w:rPr>
          <w:rFonts w:ascii="Times New Roman" w:cs="Times New Roman" w:eastAsia="Times New Roman" w:hAnsi="Times New Roman"/>
          <w:sz w:val="14"/>
          <w:szCs w:val="14"/>
          <w:color w:val="auto"/>
        </w:rPr>
        <w:t>In October 2023, the Company entered into an agreement to receive financial advisory services in exchange for equity. Upon Closing of the Business Combination, the Company is obligated to pay a success fee in cash in an amount of $600 and equity success fee in $3,000 of Series C Preferred Stock, par value $0.0001 per share, of the Company (the “Series C Preferred Stock”) at $10.00 per share. As of December 31, 2024, the Company has no Series C Preferred Stock outstanding and, therefore, has not yet issued this 300,000 Series C Preferred Stock. The resulting liabilities for these unissued securities are included within Obligation to issue equity on the consolidated balance sheets.</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14. Stock-based Compensation</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Capital Incentive Plan</w:t>
      </w:r>
    </w:p>
    <w:p>
      <w:pPr>
        <w:spacing w:after="0" w:line="14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 recognized compensation costs related to the Capital Incentive Plan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2"/>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20"/>
              <w:spacing w:after="0" w:line="112"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1000" w:type="dxa"/>
            <w:vAlign w:val="bottom"/>
            <w:tcBorders>
              <w:right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80" w:type="dxa"/>
            <w:vAlign w:val="bottom"/>
            <w:gridSpan w:val="3"/>
          </w:tcPr>
          <w:p>
            <w:pPr>
              <w:jc w:val="center"/>
              <w:ind w:right="40"/>
              <w:spacing w:after="0" w:line="110" w:lineRule="exact"/>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Compensationexpense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137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2024 Equity and Incentive Compensation Plan</w:t>
      </w:r>
    </w:p>
    <w:p>
      <w:pPr>
        <w:spacing w:after="0" w:line="144" w:lineRule="exact"/>
        <w:rPr>
          <w:sz w:val="20"/>
          <w:szCs w:val="20"/>
          <w:color w:val="auto"/>
        </w:rPr>
      </w:pPr>
    </w:p>
    <w:p>
      <w:pPr>
        <w:ind w:left="1160" w:right="1159" w:firstLine="258"/>
        <w:spacing w:after="0" w:line="263" w:lineRule="auto"/>
        <w:rPr>
          <w:sz w:val="20"/>
          <w:szCs w:val="20"/>
          <w:color w:val="auto"/>
        </w:rPr>
      </w:pPr>
      <w:r>
        <w:rPr>
          <w:rFonts w:ascii="Times New Roman" w:cs="Times New Roman" w:eastAsia="Times New Roman" w:hAnsi="Times New Roman"/>
          <w:sz w:val="14"/>
          <w:szCs w:val="14"/>
          <w:color w:val="auto"/>
        </w:rPr>
        <w:t>On October 2, 2024, the Company entered into the 2024 Equity and Incentive Compensation Plan (the “Plan”), wherein the Company is permitted to grant awards to employees, directors, consultants, and former service providers of the Company. The Plan provides for the granting of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w:t>
      </w:r>
    </w:p>
    <w:p>
      <w:pPr>
        <w:spacing w:after="0" w:line="101" w:lineRule="exact"/>
        <w:rPr>
          <w:sz w:val="20"/>
          <w:szCs w:val="20"/>
          <w:color w:val="auto"/>
        </w:rPr>
      </w:pPr>
    </w:p>
    <w:p>
      <w:pPr>
        <w:ind w:left="1160" w:right="1179" w:firstLine="258"/>
        <w:spacing w:after="0" w:line="265" w:lineRule="auto"/>
        <w:rPr>
          <w:sz w:val="20"/>
          <w:szCs w:val="20"/>
          <w:color w:val="auto"/>
        </w:rPr>
      </w:pPr>
      <w:r>
        <w:rPr>
          <w:rFonts w:ascii="Times New Roman" w:cs="Times New Roman" w:eastAsia="Times New Roman" w:hAnsi="Times New Roman"/>
          <w:sz w:val="14"/>
          <w:szCs w:val="14"/>
          <w:color w:val="auto"/>
        </w:rPr>
        <w:t>On December 9, 2024, the Company granted 975,409 stock options and 2,036,476 restricted stock units (together the “Awards”) to certain directors, employees and consultants. The Awards vest over the service periods defined in each individual grant agreement, which is generally accelerated upon a change in control. All RSUs will be vested by May 1, 2027 and all stock options will be vested by April 30, 2027. The fair value of the Awards issued to employees is recognized as compensation expense on a straight-line basis over the requisite service period.</w:t>
      </w:r>
    </w:p>
    <w:p>
      <w:pPr>
        <w:sectPr>
          <w:pgSz w:w="11900" w:h="16838" w:orient="portrait"/>
          <w:cols w:equalWidth="0" w:num="1">
            <w:col w:w="9019"/>
          </w:cols>
          <w:pgMar w:left="1440" w:top="104" w:right="1440" w:bottom="0" w:gutter="0" w:footer="0" w:header="0"/>
        </w:sectPr>
      </w:pP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ectPr>
          <w:pgSz w:w="11900" w:h="16838" w:orient="portrait"/>
          <w:cols w:equalWidth="0" w:num="1">
            <w:col w:w="9019"/>
          </w:cols>
          <w:pgMar w:left="1440" w:top="104" w:right="1440" w:bottom="0" w:gutter="0" w:footer="0" w:header="0"/>
          <w:type w:val="continuous"/>
        </w:sectPr>
      </w:pPr>
    </w:p>
    <w:bookmarkStart w:id="102" w:name="page103"/>
    <w:bookmarkEnd w:id="102"/>
    <w:p>
      <w:pPr>
        <w:jc w:val="both"/>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The summary of RSU activity for the Successor period from October 2, 2024 through December 31, 2024 is as follows:</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0"/>
        </w:trPr>
        <w:tc>
          <w:tcPr>
            <w:tcW w:w="4780" w:type="dxa"/>
            <w:vAlign w:val="bottom"/>
          </w:tcPr>
          <w:p>
            <w:pPr>
              <w:spacing w:after="0"/>
              <w:rPr>
                <w:sz w:val="9"/>
                <w:szCs w:val="9"/>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8"/>
        </w:trPr>
        <w:tc>
          <w:tcPr>
            <w:tcW w:w="47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4"/>
        </w:trPr>
        <w:tc>
          <w:tcPr>
            <w:tcW w:w="4780" w:type="dxa"/>
            <w:vAlign w:val="bottom"/>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7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89"/>
        </w:trPr>
        <w:tc>
          <w:tcPr>
            <w:tcW w:w="4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GrantedonDecember9,2024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2,036,476</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Non-vestedatDecember31,2024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1,905,008</w:t>
            </w: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During the Successor period from October 2, 2024 through December 31, 2024, the Company recognized compensation costs related to the RSUs of $1,604 within General and administrative expense in the consolidated statements of operations and comprehensive income (loss). As of December 31, 2024, the Company had $23,241 in stock-based compensation expense remaining to be recognized over approximately 1.65 years.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42" w:lineRule="exact"/>
        <w:rPr>
          <w:sz w:val="20"/>
          <w:szCs w:val="20"/>
          <w:color w:val="auto"/>
        </w:rPr>
      </w:pPr>
    </w:p>
    <w:p>
      <w:pPr>
        <w:ind w:left="1160" w:right="1159" w:firstLine="258"/>
        <w:spacing w:after="0" w:line="265" w:lineRule="auto"/>
        <w:rPr>
          <w:sz w:val="20"/>
          <w:szCs w:val="20"/>
          <w:color w:val="auto"/>
        </w:rPr>
      </w:pPr>
      <w:r>
        <w:rPr>
          <w:rFonts w:ascii="Times New Roman" w:cs="Times New Roman" w:eastAsia="Times New Roman" w:hAnsi="Times New Roman"/>
          <w:sz w:val="14"/>
          <w:szCs w:val="14"/>
          <w:color w:val="auto"/>
        </w:rPr>
        <w:t>The stock options were granted with an exercise price of $12.20, which aligns with the Company’s closing share price on December 9, 2024. Using the Black-Scholes option pricing model, the estimated grant date fair value of stock options was $6,468 based on an expected volatility of 56%, an expected option term of approximately 5.28 - 5.62 years, and risk-free rate of return of 4.0 - 4.1%. The stock options have a maximum contractual life, and a weighted average remaining contractual term, of 10 years from the grant date.</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Stock options activity for the Successor period from October 2, 2024 through December 31, 2024 is as follows:</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0"/>
                <w:szCs w:val="10"/>
                <w:color w:val="auto"/>
              </w:rPr>
            </w:pP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6"/>
        </w:trPr>
        <w:tc>
          <w:tcPr>
            <w:tcW w:w="38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80" w:type="dxa"/>
            <w:vAlign w:val="bottom"/>
            <w:gridSpan w:val="3"/>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94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60" w:type="dxa"/>
            <w:vAlign w:val="bottom"/>
          </w:tcPr>
          <w:p>
            <w:pPr>
              <w:spacing w:after="0"/>
              <w:rPr>
                <w:sz w:val="13"/>
                <w:szCs w:val="13"/>
                <w:color w:val="auto"/>
              </w:rPr>
            </w:pPr>
          </w:p>
        </w:tc>
        <w:tc>
          <w:tcPr>
            <w:tcW w:w="78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211"/>
        </w:trPr>
        <w:tc>
          <w:tcPr>
            <w:tcW w:w="38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Granted on December 9, 2024</w:t>
            </w:r>
            <w:r>
              <w:rPr>
                <w:rFonts w:ascii="Times New Roman" w:cs="Times New Roman" w:eastAsia="Times New Roman" w:hAnsi="Times New Roman"/>
                <w:sz w:val="14"/>
                <w:szCs w:val="14"/>
                <w:color w:val="B4B4B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975,409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220"/>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231"/>
        </w:trPr>
        <w:tc>
          <w:tcPr>
            <w:tcW w:w="3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Exercised </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0"/>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Forfeited </w:t>
            </w:r>
            <w:r>
              <w:rPr>
                <w:rFonts w:ascii="Times New Roman" w:cs="Times New Roman" w:eastAsia="Times New Roman" w:hAnsi="Times New Roman"/>
                <w:sz w:val="14"/>
                <w:szCs w:val="14"/>
                <w:color w:val="B4B4B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Outstanding at December 31, 2024 </w:t>
            </w:r>
            <w:r>
              <w:rPr>
                <w:rFonts w:ascii="Times New Roman" w:cs="Times New Roman" w:eastAsia="Times New Roman" w:hAnsi="Times New Roman"/>
                <w:sz w:val="14"/>
                <w:szCs w:val="14"/>
                <w:color w:val="B4B4B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Exercisable at December 31, 2024 </w:t>
            </w:r>
            <w:r>
              <w:rPr>
                <w:rFonts w:ascii="Times New Roman" w:cs="Times New Roman" w:eastAsia="Times New Roman" w:hAnsi="Times New Roman"/>
                <w:sz w:val="14"/>
                <w:szCs w:val="14"/>
                <w:color w:val="B4B4B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60" w:right="1379" w:firstLine="258"/>
        <w:spacing w:after="0" w:line="268" w:lineRule="auto"/>
        <w:rPr>
          <w:sz w:val="20"/>
          <w:szCs w:val="20"/>
          <w:color w:val="auto"/>
        </w:rPr>
      </w:pPr>
      <w:r>
        <w:rPr>
          <w:rFonts w:ascii="Times New Roman" w:cs="Times New Roman" w:eastAsia="Times New Roman" w:hAnsi="Times New Roman"/>
          <w:sz w:val="14"/>
          <w:szCs w:val="14"/>
          <w:color w:val="auto"/>
        </w:rPr>
        <w:t>During the Successor period from October 2, 2024 through December 31, 2024, the Company recognized compensation costs related to the stock options of $405 within General and administrative expense in the consolidated statements of operations and comprehensive income (loss). As of December 31, 2024, the Company had $6,063 in compensation expense remaining to be recognized over approximately 1.68 years.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Stock Appreciation Rights</w:t>
      </w:r>
    </w:p>
    <w:p>
      <w:pPr>
        <w:spacing w:after="0" w:line="142" w:lineRule="exact"/>
        <w:rPr>
          <w:sz w:val="20"/>
          <w:szCs w:val="20"/>
          <w:color w:val="auto"/>
        </w:rPr>
      </w:pPr>
    </w:p>
    <w:p>
      <w:pPr>
        <w:ind w:left="1160" w:right="1419" w:firstLine="258"/>
        <w:spacing w:after="0" w:line="262" w:lineRule="auto"/>
        <w:rPr>
          <w:sz w:val="20"/>
          <w:szCs w:val="20"/>
          <w:color w:val="auto"/>
        </w:rPr>
      </w:pPr>
      <w:r>
        <w:rPr>
          <w:rFonts w:ascii="Times New Roman" w:cs="Times New Roman" w:eastAsia="Times New Roman" w:hAnsi="Times New Roman"/>
          <w:sz w:val="14"/>
          <w:szCs w:val="14"/>
          <w:color w:val="auto"/>
        </w:rPr>
        <w:t>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Common Stock, or cash, equal to the value of the appreciation in Accelsius’ stock price over the base price of $12.175. Two Participants, who were considered non-employees, were granted cash-settled SARs and three Participants were granted stock-settled SARs. The cash-settled SARs are considered liability-classified and the stock-settled SARs are considered equity-classified</w:t>
      </w:r>
    </w:p>
    <w:p>
      <w:pPr>
        <w:spacing w:after="0" w:line="101" w:lineRule="exact"/>
        <w:rPr>
          <w:sz w:val="20"/>
          <w:szCs w:val="20"/>
          <w:color w:val="auto"/>
        </w:rPr>
      </w:pPr>
    </w:p>
    <w:p>
      <w:pPr>
        <w:ind w:left="1160" w:right="1779" w:firstLine="258"/>
        <w:spacing w:after="0" w:line="292" w:lineRule="auto"/>
        <w:rPr>
          <w:sz w:val="20"/>
          <w:szCs w:val="20"/>
          <w:color w:val="auto"/>
        </w:rPr>
      </w:pPr>
      <w:r>
        <w:rPr>
          <w:rFonts w:ascii="Times New Roman" w:cs="Times New Roman" w:eastAsia="Times New Roman" w:hAnsi="Times New Roman"/>
          <w:sz w:val="14"/>
          <w:szCs w:val="14"/>
          <w:color w:val="auto"/>
        </w:rPr>
        <w:t>Both the cash-settled SARs and stock-settled SARs will be automatically exercised upon the two-year anniversary of the date of grant. The weighted average contractual term is 2 years.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estimated grant date fair value of the cash-settled SARs and the stock-settled SARs was $1,160 and</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$12,371, respectively. The SARs were valued using the Black-Scholes option-pricing model based on an expected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volatility of 70%, an expected term of approximately 2 years, and risk-free rate of return of 4%. The SARs are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considered fully vested at the date of grant and compensation cost for both SARs was recognized immediately at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 of grant. During the Successor period from October 2, 2024 through December 31, 2024, the Company</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recorded $13,531 in compensation expense related to the SARs within General and administrative expense in the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income (loss).</w:t>
      </w:r>
    </w:p>
    <w:p>
      <w:pPr>
        <w:spacing w:after="0" w:line="126" w:lineRule="exact"/>
        <w:rPr>
          <w:sz w:val="20"/>
          <w:szCs w:val="20"/>
          <w:color w:val="auto"/>
        </w:rPr>
      </w:pPr>
    </w:p>
    <w:p>
      <w:pPr>
        <w:ind w:left="1160" w:right="1199" w:firstLine="258"/>
        <w:spacing w:after="0" w:line="292" w:lineRule="auto"/>
        <w:rPr>
          <w:sz w:val="20"/>
          <w:szCs w:val="20"/>
          <w:color w:val="auto"/>
        </w:rPr>
      </w:pPr>
      <w:r>
        <w:rPr>
          <w:rFonts w:ascii="Times New Roman" w:cs="Times New Roman" w:eastAsia="Times New Roman" w:hAnsi="Times New Roman"/>
          <w:sz w:val="14"/>
          <w:szCs w:val="14"/>
          <w:color w:val="auto"/>
        </w:rPr>
        <w:t>The summary of SARs activity for the Successor period from October 2, 2024 through December 31, 2024 is as follows:</w:t>
      </w:r>
    </w:p>
    <w:p>
      <w:pPr>
        <w:sectPr>
          <w:pgSz w:w="11900" w:h="16838" w:orient="portrait"/>
          <w:cols w:equalWidth="0" w:num="1">
            <w:col w:w="9019"/>
          </w:cols>
          <w:pgMar w:left="1440" w:top="168" w:right="1440" w:bottom="0" w:gutter="0" w:footer="0" w:header="0"/>
        </w:sectPr>
      </w:pPr>
    </w:p>
    <w:bookmarkStart w:id="103" w:name="page104"/>
    <w:bookmarkEnd w:id="103"/>
    <w:tbl>
      <w:tblPr>
        <w:tblLayout w:type="fixed"/>
        <w:tblInd w:w="1160" w:type="dxa"/>
        <w:tblCellMar>
          <w:top w:w="0" w:type="dxa"/>
          <w:left w:w="0" w:type="dxa"/>
          <w:bottom w:w="0" w:type="dxa"/>
          <w:right w:w="0" w:type="dxa"/>
        </w:tblCellMar>
      </w:tblPr>
      <w:tr>
        <w:trPr>
          <w:trHeight w:val="151"/>
        </w:trPr>
        <w:tc>
          <w:tcPr>
            <w:tcW w:w="1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Cash-settled SARs</w:t>
            </w:r>
          </w:p>
        </w:tc>
        <w:tc>
          <w:tcPr>
            <w:tcW w:w="80" w:type="dxa"/>
            <w:vAlign w:val="bottom"/>
          </w:tcPr>
          <w:p>
            <w:pPr>
              <w:spacing w:after="0"/>
              <w:rPr>
                <w:sz w:val="13"/>
                <w:szCs w:val="13"/>
                <w:color w:val="auto"/>
              </w:rPr>
            </w:pPr>
          </w:p>
        </w:tc>
        <w:tc>
          <w:tcPr>
            <w:tcW w:w="680" w:type="dxa"/>
            <w:vAlign w:val="bottom"/>
            <w:vMerge w:val="restart"/>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Stock-settled SARs</w:t>
            </w:r>
          </w:p>
        </w:tc>
        <w:tc>
          <w:tcPr>
            <w:tcW w:w="80" w:type="dxa"/>
            <w:vAlign w:val="bottom"/>
          </w:tcPr>
          <w:p>
            <w:pPr>
              <w:spacing w:after="0"/>
              <w:rPr>
                <w:sz w:val="13"/>
                <w:szCs w:val="13"/>
                <w:color w:val="auto"/>
              </w:rPr>
            </w:pPr>
          </w:p>
        </w:tc>
        <w:tc>
          <w:tcPr>
            <w:tcW w:w="680" w:type="dxa"/>
            <w:vAlign w:val="bottom"/>
            <w:vMerge w:val="restart"/>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97"/>
        </w:trPr>
        <w:tc>
          <w:tcPr>
            <w:tcW w:w="1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0"/>
                <w:szCs w:val="10"/>
                <w:color w:val="auto"/>
              </w:rPr>
            </w:pPr>
          </w:p>
        </w:tc>
        <w:tc>
          <w:tcPr>
            <w:tcW w:w="680" w:type="dxa"/>
            <w:vAlign w:val="bottom"/>
          </w:tcPr>
          <w:p>
            <w:pPr>
              <w:jc w:val="center"/>
              <w:ind w:right="55"/>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0"/>
        </w:trPr>
        <w:tc>
          <w:tcPr>
            <w:tcW w:w="1780" w:type="dxa"/>
            <w:vAlign w:val="bottom"/>
          </w:tcPr>
          <w:p>
            <w:pPr>
              <w:spacing w:after="0"/>
              <w:rPr>
                <w:sz w:val="9"/>
                <w:szCs w:val="9"/>
                <w:color w:val="auto"/>
              </w:rPr>
            </w:pP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55"/>
              <w:spacing w:after="0" w:line="110"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18"/>
        </w:trPr>
        <w:tc>
          <w:tcPr>
            <w:tcW w:w="17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2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80" w:type="dxa"/>
            <w:vAlign w:val="bottom"/>
          </w:tcPr>
          <w:p>
            <w:pPr>
              <w:spacing w:after="0"/>
              <w:rPr>
                <w:sz w:val="10"/>
                <w:szCs w:val="10"/>
                <w:color w:val="auto"/>
              </w:rPr>
            </w:pPr>
          </w:p>
        </w:tc>
        <w:tc>
          <w:tcPr>
            <w:tcW w:w="68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0"/>
        </w:trPr>
        <w:tc>
          <w:tcPr>
            <w:tcW w:w="1780" w:type="dxa"/>
            <w:vAlign w:val="bottom"/>
          </w:tcPr>
          <w:p>
            <w:pPr>
              <w:spacing w:after="0"/>
              <w:rPr>
                <w:sz w:val="13"/>
                <w:szCs w:val="13"/>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80" w:type="dxa"/>
            <w:vAlign w:val="bottom"/>
          </w:tcPr>
          <w:p>
            <w:pPr>
              <w:spacing w:after="0"/>
              <w:rPr>
                <w:sz w:val="13"/>
                <w:szCs w:val="13"/>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06"/>
        </w:trPr>
        <w:tc>
          <w:tcPr>
            <w:tcW w:w="17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Granted on December 9,</w:t>
            </w: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80" w:type="dxa"/>
            <w:vAlign w:val="bottom"/>
            <w:vMerge w:val="continue"/>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4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0" w:type="dxa"/>
            <w:vAlign w:val="bottom"/>
          </w:tcPr>
          <w:p>
            <w:pPr>
              <w:spacing w:after="0" w:line="20" w:lineRule="exact"/>
              <w:rPr>
                <w:sz w:val="1"/>
                <w:szCs w:val="1"/>
                <w:color w:val="auto"/>
              </w:rPr>
            </w:pPr>
          </w:p>
        </w:tc>
      </w:tr>
      <w:tr>
        <w:trPr>
          <w:trHeight w:val="186"/>
        </w:trPr>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4"/>
                <w:szCs w:val="14"/>
                <w:color w:val="B4B4B4"/>
              </w:rPr>
              <w:t>....................................</w:t>
            </w:r>
          </w:p>
        </w:tc>
        <w:tc>
          <w:tcPr>
            <w:tcW w:w="740" w:type="dxa"/>
            <w:vAlign w:val="bottom"/>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Vested </w:t>
            </w:r>
            <w:r>
              <w:rPr>
                <w:rFonts w:ascii="Times New Roman" w:cs="Times New Roman" w:eastAsia="Times New Roman" w:hAnsi="Times New Roman"/>
                <w:sz w:val="14"/>
                <w:szCs w:val="14"/>
                <w:color w:val="B4B4B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1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Exercised </w:t>
            </w:r>
            <w:r>
              <w:rPr>
                <w:rFonts w:ascii="Times New Roman" w:cs="Times New Roman" w:eastAsia="Times New Roman" w:hAnsi="Times New Roman"/>
                <w:sz w:val="14"/>
                <w:szCs w:val="14"/>
                <w:color w:val="B4B4B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1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Forfeited</w:t>
            </w:r>
            <w:r>
              <w:rPr>
                <w:rFonts w:ascii="Times New Roman" w:cs="Times New Roman" w:eastAsia="Times New Roman" w:hAnsi="Times New Roman"/>
                <w:sz w:val="14"/>
                <w:szCs w:val="14"/>
                <w:color w:val="B4B4B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1780" w:type="dxa"/>
            <w:vAlign w:val="bottom"/>
            <w:vMerge w:val="restart"/>
          </w:tcPr>
          <w:p>
            <w:pPr>
              <w:ind w:left="40"/>
              <w:spacing w:after="0" w:line="151" w:lineRule="exact"/>
              <w:rPr>
                <w:sz w:val="20"/>
                <w:szCs w:val="20"/>
                <w:color w:val="auto"/>
              </w:rPr>
            </w:pPr>
            <w:r>
              <w:rPr>
                <w:rFonts w:ascii="Times New Roman" w:cs="Times New Roman" w:eastAsia="Times New Roman" w:hAnsi="Times New Roman"/>
                <w:sz w:val="14"/>
                <w:szCs w:val="14"/>
                <w:color w:val="auto"/>
              </w:rPr>
              <w:t>Outstanding at December 31,</w:t>
            </w: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780" w:type="dxa"/>
            <w:vAlign w:val="bottom"/>
            <w:vMerge w:val="continue"/>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4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0" w:type="dxa"/>
            <w:vAlign w:val="bottom"/>
          </w:tcPr>
          <w:p>
            <w:pPr>
              <w:spacing w:after="0" w:line="20" w:lineRule="exact"/>
              <w:rPr>
                <w:sz w:val="1"/>
                <w:szCs w:val="1"/>
                <w:color w:val="auto"/>
              </w:rPr>
            </w:pPr>
          </w:p>
        </w:tc>
      </w:tr>
      <w:tr>
        <w:trPr>
          <w:trHeight w:val="186"/>
        </w:trPr>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4"/>
                <w:szCs w:val="14"/>
                <w:color w:val="B4B4B4"/>
              </w:rPr>
              <w:t>....................................</w:t>
            </w:r>
          </w:p>
        </w:tc>
        <w:tc>
          <w:tcPr>
            <w:tcW w:w="740" w:type="dxa"/>
            <w:vAlign w:val="bottom"/>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780" w:type="dxa"/>
            <w:vAlign w:val="bottom"/>
            <w:vMerge w:val="restart"/>
          </w:tcPr>
          <w:p>
            <w:pPr>
              <w:ind w:left="40"/>
              <w:spacing w:after="0" w:line="147" w:lineRule="exact"/>
              <w:rPr>
                <w:sz w:val="20"/>
                <w:szCs w:val="20"/>
                <w:color w:val="auto"/>
              </w:rPr>
            </w:pPr>
            <w:r>
              <w:rPr>
                <w:rFonts w:ascii="Times New Roman" w:cs="Times New Roman" w:eastAsia="Times New Roman" w:hAnsi="Times New Roman"/>
                <w:sz w:val="14"/>
                <w:szCs w:val="14"/>
                <w:color w:val="auto"/>
              </w:rPr>
              <w:t>Exercisable at December 31,</w:t>
            </w: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780" w:type="dxa"/>
            <w:vAlign w:val="bottom"/>
            <w:vMerge w:val="continue"/>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6"/>
        </w:trPr>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4"/>
                <w:szCs w:val="14"/>
                <w:color w:val="B4B4B4"/>
              </w:rPr>
              <w:t>....................................</w:t>
            </w: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-1467485</wp:posOffset>
            </wp:positionV>
            <wp:extent cx="716026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Subsidiary Equity Plans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Accelsius Subsidiary Equity Plan</w:t>
      </w:r>
    </w:p>
    <w:p>
      <w:pPr>
        <w:spacing w:after="0" w:line="142"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Accelsius, a subsidiary of the Company, adopted an equity incentive plan on March 24, 2022 (the “Accelsius Subsidiary Equity Plan”). In March 2023, the Accelsius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Accelsius has the option to repurchase all vested units upon an employee’s termination of employment or service.</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summary of Accelsius Subsidiary Equity Plan activity is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Successor Period</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Predecessor Period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7"/>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000" w:type="dxa"/>
            <w:vAlign w:val="bottom"/>
            <w:tcBorders>
              <w:right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7"/>
              <w:spacing w:after="0" w:line="119"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10"/>
                <w:szCs w:val="10"/>
                <w:color w:val="auto"/>
              </w:rPr>
            </w:pPr>
          </w:p>
        </w:tc>
        <w:tc>
          <w:tcPr>
            <w:tcW w:w="98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7"/>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6"/>
        </w:trPr>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Compensationexpense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1,341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Class C units granted</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rPr>
              <w:t>168,500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365,500</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grant date fair value per share </w:t>
            </w:r>
            <w:r>
              <w:rPr>
                <w:rFonts w:ascii="Times New Roman" w:cs="Times New Roman" w:eastAsia="Times New Roman" w:hAnsi="Times New Roman"/>
                <w:sz w:val="14"/>
                <w:szCs w:val="14"/>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46.38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Note: The grant date fair value per share for the year ended December 31, 2023 is an average amount.</w:t>
      </w:r>
    </w:p>
    <w:p>
      <w:pPr>
        <w:spacing w:after="0" w:line="115"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The Company recognizes compensation costs within General and administrative, Sales and marketing and Research and development expense in the consolidated statements of operations and comprehensive income (loss). As of December 31, 2024, the Company had $8,103 in unit-based compensation expense remaining to be recognized over approximately 2.42 years.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59" w:firstLine="258"/>
        <w:spacing w:after="0" w:line="268" w:lineRule="auto"/>
        <w:rPr>
          <w:sz w:val="20"/>
          <w:szCs w:val="20"/>
          <w:color w:val="auto"/>
        </w:rPr>
      </w:pPr>
      <w:r>
        <w:rPr>
          <w:rFonts w:ascii="Times New Roman" w:cs="Times New Roman" w:eastAsia="Times New Roman" w:hAnsi="Times New Roman"/>
          <w:sz w:val="14"/>
          <w:szCs w:val="14"/>
          <w:color w:val="auto"/>
        </w:rPr>
        <w:t>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Series A Issuance</w:t>
      </w:r>
    </w:p>
    <w:p>
      <w:pPr>
        <w:spacing w:after="0" w:line="142" w:lineRule="exact"/>
        <w:rPr>
          <w:sz w:val="20"/>
          <w:szCs w:val="20"/>
          <w:color w:val="auto"/>
        </w:rPr>
      </w:pPr>
    </w:p>
    <w:p>
      <w:pPr>
        <w:ind w:left="1160" w:right="1259" w:firstLine="258"/>
        <w:spacing w:after="0" w:line="263" w:lineRule="auto"/>
        <w:rPr>
          <w:sz w:val="20"/>
          <w:szCs w:val="20"/>
          <w:color w:val="auto"/>
        </w:rPr>
      </w:pPr>
      <w:r>
        <w:rPr>
          <w:rFonts w:ascii="Times New Roman" w:cs="Times New Roman" w:eastAsia="Times New Roman" w:hAnsi="Times New Roman"/>
          <w:sz w:val="14"/>
          <w:szCs w:val="14"/>
          <w:color w:val="auto"/>
        </w:rPr>
        <w:t>On October, 18 2024, Accelsius issued 16,427 equity classified Series A Preferred Units to an employee of the Company which was determined to be stock based payment. The grant date fair value of $616 was recognized as compensation cost (within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w:t>
      </w:r>
    </w:p>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15. Revenues</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2024, the Company began selling products and services in its technology segment.</w:t>
      </w:r>
    </w:p>
    <w:p>
      <w:pPr>
        <w:spacing w:after="0" w:line="140"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Successor period from October 2, 2024 through December 31, 2024, the Predecessor period from January 1, 2024 through October 1, 2024 and the Predecessor year ended December 31, 2023, as the amounts were probable of significant reversal given the consideration is highly susceptible to factors outside the Company's influence. Cumulative carried interest allocation amounts that are subject to restraint and as such are not yet recognized were $11,282 and $5,880 as of December 31, 2024 and 2023, respectively. The Company also provides management services to AeroFlexx, which do not have a carried interest feature.</w:t>
      </w:r>
    </w:p>
    <w:p>
      <w:pPr>
        <w:spacing w:after="0" w:line="1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following table represents the breakout of revenue by source:</w:t>
      </w:r>
    </w:p>
    <w:p>
      <w:pPr>
        <w:spacing w:after="0" w:line="199"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3"/>
        </w:trPr>
        <w:tc>
          <w:tcPr>
            <w:tcW w:w="3800" w:type="dxa"/>
            <w:vAlign w:val="bottom"/>
          </w:tcPr>
          <w:p>
            <w:pPr>
              <w:spacing w:after="0"/>
              <w:rPr>
                <w:sz w:val="9"/>
                <w:szCs w:val="9"/>
                <w:color w:val="auto"/>
              </w:rPr>
            </w:pPr>
          </w:p>
        </w:tc>
        <w:tc>
          <w:tcPr>
            <w:tcW w:w="980" w:type="dxa"/>
            <w:vAlign w:val="bottom"/>
            <w:gridSpan w:val="3"/>
          </w:tcPr>
          <w:p>
            <w:pPr>
              <w:jc w:val="center"/>
              <w:ind w:right="40"/>
              <w:spacing w:after="0" w:line="114"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5"/>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8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Productrevenue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Management fees - related party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Consulting revenue</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63"/>
        </w:trPr>
        <w:tc>
          <w:tcPr>
            <w:tcW w:w="380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ectPr>
          <w:pgSz w:w="11900" w:h="16838" w:orient="portrait"/>
          <w:cols w:equalWidth="0" w:num="1">
            <w:col w:w="9019"/>
          </w:cols>
          <w:pgMar w:left="1440" w:top="98" w:right="1440" w:bottom="0" w:gutter="0" w:footer="0" w:header="0"/>
        </w:sectPr>
      </w:pPr>
    </w:p>
    <w:p>
      <w:pPr>
        <w:ind w:left="1420"/>
        <w:spacing w:after="0"/>
        <w:rPr>
          <w:sz w:val="20"/>
          <w:szCs w:val="20"/>
          <w:color w:val="auto"/>
        </w:rPr>
      </w:pPr>
      <w:r>
        <w:rPr>
          <w:rFonts w:ascii="Times New Roman" w:cs="Times New Roman" w:eastAsia="Times New Roman" w:hAnsi="Times New Roman"/>
          <w:sz w:val="14"/>
          <w:szCs w:val="14"/>
          <w:color w:val="auto"/>
        </w:rPr>
        <w:t>The following table represents major customer concentration of revenue:</w:t>
      </w:r>
    </w:p>
    <w:p>
      <w:pPr>
        <w:sectPr>
          <w:pgSz w:w="11900" w:h="16838" w:orient="portrait"/>
          <w:cols w:equalWidth="0" w:num="1">
            <w:col w:w="9019"/>
          </w:cols>
          <w:pgMar w:left="1440" w:top="98" w:right="1440" w:bottom="0" w:gutter="0" w:footer="0" w:header="0"/>
          <w:type w:val="continuous"/>
        </w:sectPr>
      </w:pPr>
    </w:p>
    <w:bookmarkStart w:id="104" w:name="page105"/>
    <w:bookmarkEnd w:id="104"/>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920" w:type="dxa"/>
            <w:vAlign w:val="bottom"/>
            <w:gridSpan w:val="3"/>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40" w:type="dxa"/>
            <w:vAlign w:val="bottom"/>
          </w:tcPr>
          <w:p>
            <w:pPr>
              <w:spacing w:after="0"/>
              <w:rPr>
                <w:sz w:val="9"/>
                <w:szCs w:val="9"/>
                <w:color w:val="auto"/>
              </w:rPr>
            </w:pPr>
          </w:p>
        </w:tc>
        <w:tc>
          <w:tcPr>
            <w:tcW w:w="98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8"/>
        </w:trPr>
        <w:tc>
          <w:tcPr>
            <w:tcW w:w="3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through</w:t>
            </w:r>
          </w:p>
        </w:tc>
        <w:tc>
          <w:tcPr>
            <w:tcW w:w="98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9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540" w:type="dxa"/>
            <w:vAlign w:val="bottom"/>
            <w:gridSpan w:val="2"/>
          </w:tcPr>
          <w:p>
            <w:pPr>
              <w:jc w:val="center"/>
              <w:ind w:left="53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CustomerA-RelatedParty</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70.7 %</w:t>
            </w:r>
          </w:p>
        </w:tc>
        <w:tc>
          <w:tcPr>
            <w:tcW w:w="0" w:type="dxa"/>
            <w:vAlign w:val="bottom"/>
          </w:tcPr>
          <w:p>
            <w:pPr>
              <w:spacing w:after="0"/>
              <w:rPr>
                <w:sz w:val="1"/>
                <w:szCs w:val="1"/>
                <w:color w:val="auto"/>
              </w:rPr>
            </w:pPr>
          </w:p>
        </w:tc>
      </w:tr>
      <w:tr>
        <w:trPr>
          <w:trHeight w:val="198"/>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6"/>
              </w:rPr>
              <w:t>Customer B - Related Party</w:t>
            </w:r>
            <w:r>
              <w:rPr>
                <w:rFonts w:ascii="Times New Roman" w:cs="Times New Roman" w:eastAsia="Times New Roman" w:hAnsi="Times New Roman"/>
                <w:sz w:val="14"/>
                <w:szCs w:val="14"/>
                <w:color w:val="B4B4B4"/>
                <w:w w:val="86"/>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Customer C</w:t>
            </w:r>
            <w:r>
              <w:rPr>
                <w:rFonts w:ascii="Times New Roman" w:cs="Times New Roman" w:eastAsia="Times New Roman" w:hAnsi="Times New Roman"/>
                <w:sz w:val="14"/>
                <w:szCs w:val="14"/>
                <w:color w:val="B4B4B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0" w:type="dxa"/>
            <w:vAlign w:val="bottom"/>
          </w:tcPr>
          <w:p>
            <w:pPr>
              <w:spacing w:after="0"/>
              <w:rPr>
                <w:sz w:val="1"/>
                <w:szCs w:val="1"/>
                <w:color w:val="auto"/>
              </w:rPr>
            </w:pPr>
          </w:p>
        </w:tc>
      </w:tr>
      <w:tr>
        <w:trPr>
          <w:trHeight w:val="198"/>
        </w:trPr>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Customer D </w:t>
            </w:r>
            <w:r>
              <w:rPr>
                <w:rFonts w:ascii="Times New Roman" w:cs="Times New Roman" w:eastAsia="Times New Roman" w:hAnsi="Times New Roman"/>
                <w:sz w:val="14"/>
                <w:szCs w:val="14"/>
                <w:color w:val="B4B4B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 xml:space="preserve">Customer E </w:t>
            </w:r>
            <w:r>
              <w:rPr>
                <w:rFonts w:ascii="Times New Roman" w:cs="Times New Roman" w:eastAsia="Times New Roman" w:hAnsi="Times New Roman"/>
                <w:sz w:val="14"/>
                <w:szCs w:val="14"/>
                <w:color w:val="B4B4B4"/>
                <w:w w:val="85"/>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3"/>
        </w:trPr>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b w:val="1"/>
                <w:bCs w:val="1"/>
                <w:color w:val="000000"/>
              </w:rPr>
              <w:t>TotalRevenueConcentrationofMajorCustomers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97.8 %</w:t>
            </w:r>
          </w:p>
        </w:tc>
        <w:tc>
          <w:tcPr>
            <w:tcW w:w="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320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F-43</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16. Income Taxes</w:t>
      </w:r>
    </w:p>
    <w:p>
      <w:pPr>
        <w:spacing w:after="0" w:line="142" w:lineRule="exact"/>
        <w:rPr>
          <w:sz w:val="20"/>
          <w:szCs w:val="20"/>
          <w:color w:val="auto"/>
        </w:rPr>
      </w:pPr>
    </w:p>
    <w:p>
      <w:pPr>
        <w:ind w:left="1160" w:right="1299" w:firstLine="258"/>
        <w:spacing w:after="0" w:line="260" w:lineRule="auto"/>
        <w:rPr>
          <w:sz w:val="20"/>
          <w:szCs w:val="20"/>
          <w:color w:val="auto"/>
        </w:rPr>
      </w:pPr>
      <w:r>
        <w:rPr>
          <w:rFonts w:ascii="Times New Roman" w:cs="Times New Roman" w:eastAsia="Times New Roman" w:hAnsi="Times New Roman"/>
          <w:sz w:val="14"/>
          <w:szCs w:val="14"/>
          <w:color w:val="auto"/>
        </w:rPr>
        <w:t>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this structure to remain in existence for the foreseeable future.</w:t>
      </w:r>
    </w:p>
    <w:p>
      <w:pPr>
        <w:spacing w:after="0" w:line="10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provision for income taxes was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000" w:type="dxa"/>
            <w:vAlign w:val="bottom"/>
            <w:tcBorders>
              <w:right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3"/>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3"/>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jc w:val="center"/>
              <w:ind w:right="4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CurrentExpense:</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Federal</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State</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TotalCurrentExpense</w:t>
            </w: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Deferred Expense: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Federal</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(3,301)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State</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Foreign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TotalDeferredExpense</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(3,301)</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(3,282)</w:t>
            </w: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 reconciliation of the expected statutory federal tax and the total income tax expense (benefit) was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1"/>
        </w:trPr>
        <w:tc>
          <w:tcPr>
            <w:tcW w:w="3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Borders>
              <w:top w:val="single" w:sz="8" w:color="auto"/>
              <w:right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8"/>
                <w:szCs w:val="8"/>
                <w:color w:val="auto"/>
              </w:rPr>
            </w:pPr>
          </w:p>
        </w:tc>
        <w:tc>
          <w:tcPr>
            <w:tcW w:w="98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vMerge w:val="restart"/>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8"/>
        </w:trPr>
        <w:tc>
          <w:tcPr>
            <w:tcW w:w="3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2"/>
              <w:spacing w:after="0" w:line="119"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2"/>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1"/>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90"/>
        </w:trPr>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Pre-taxbookloss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(73,375)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198"/>
        </w:trPr>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Income taxes at federal statutory rate</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(15,405)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State taxes, net of federal benefit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Tax on pre-tax earnings of corporate subsidiaries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Warrant liability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Non-deductible expenses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Change in earnout fair value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Other permanent differences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(423)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Change in valuation allowance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11,664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198"/>
        </w:trPr>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R&amp;D credit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(294)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Totalprovision(benefit)forincometaxes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(3,282)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200" w:type="dxa"/>
            <w:vAlign w:val="bottom"/>
          </w:tcPr>
          <w:p>
            <w:pPr>
              <w:spacing w:after="0"/>
              <w:rPr>
                <w:sz w:val="24"/>
                <w:szCs w:val="24"/>
                <w:color w:val="auto"/>
              </w:rPr>
            </w:pPr>
          </w:p>
        </w:tc>
        <w:tc>
          <w:tcPr>
            <w:tcW w:w="680" w:type="dxa"/>
            <w:vAlign w:val="bottom"/>
            <w:gridSpan w:val="2"/>
          </w:tcPr>
          <w:p>
            <w:pPr>
              <w:jc w:val="right"/>
              <w:ind w:right="333"/>
              <w:spacing w:after="0"/>
              <w:rPr>
                <w:sz w:val="20"/>
                <w:szCs w:val="20"/>
                <w:color w:val="auto"/>
              </w:rPr>
            </w:pPr>
            <w:r>
              <w:rPr>
                <w:rFonts w:ascii="Times New Roman" w:cs="Times New Roman" w:eastAsia="Times New Roman" w:hAnsi="Times New Roman"/>
                <w:sz w:val="14"/>
                <w:szCs w:val="14"/>
                <w:color w:val="auto"/>
                <w:w w:val="98"/>
              </w:rPr>
              <w:t>F-44</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159" w:firstLine="258"/>
        <w:spacing w:after="0" w:line="268" w:lineRule="auto"/>
        <w:rPr>
          <w:sz w:val="20"/>
          <w:szCs w:val="20"/>
          <w:color w:val="auto"/>
        </w:rPr>
      </w:pPr>
      <w:r>
        <w:rPr>
          <w:rFonts w:ascii="Times New Roman" w:cs="Times New Roman" w:eastAsia="Times New Roman" w:hAnsi="Times New Roman"/>
          <w:sz w:val="14"/>
          <w:szCs w:val="14"/>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w:t>
      </w:r>
    </w:p>
    <w:p>
      <w:pPr>
        <w:sectPr>
          <w:pgSz w:w="11900" w:h="16949" w:orient="portrait"/>
          <w:cols w:equalWidth="0" w:num="1">
            <w:col w:w="9019"/>
          </w:cols>
          <w:pgMar w:left="1440" w:top="174" w:right="1440" w:bottom="0" w:gutter="0" w:footer="0" w:header="0"/>
        </w:sectPr>
      </w:pPr>
    </w:p>
    <w:bookmarkStart w:id="105" w:name="page106"/>
    <w:bookmarkEnd w:id="105"/>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Significant components of deferred tax assets and liabilities as of December 31, 2024 and 2023 are as follows:</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47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Deferred lease liabilities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Capitalized R&amp;D expense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Fixed assets and intangibles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Reserves and other accruals</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Loss carry-forwards and other tax attributes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w:t>
            </w: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TotalDeferredTaxAssets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w:t>
            </w: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Less: Valuation allowance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(5,910)</w:t>
            </w:r>
          </w:p>
        </w:tc>
      </w:tr>
      <w:tr>
        <w:trPr>
          <w:trHeight w:val="193"/>
        </w:trPr>
        <w:tc>
          <w:tcPr>
            <w:tcW w:w="4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NetDeferredTaxAssets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14,704</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4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04"/>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8"/>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Amortization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(38,443)</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1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Investment in Partnerships</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Right of use assets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90"/>
        </w:trPr>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TotalDeferredTaxLiabilities</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(42,057)</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63"/>
        </w:trPr>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NetDeferredTaxLiabilities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(27,353)</w:t>
            </w:r>
          </w:p>
        </w:tc>
        <w:tc>
          <w:tcPr>
            <w:tcW w:w="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w:t>
      </w:r>
    </w:p>
    <w:p>
      <w:pPr>
        <w:spacing w:after="0" w:line="1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Valuation allowances are established when it is more likely than not that all or a portion of a deferred tax asset</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will not be realized. The valuation allowance on deferred tax assets was $11,664 as of December 31, 2024 and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$5,910 as of December 31, 2023, resulting in a net change of $5,754. The increase in valuation allowance of</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$15,115 during the period mainly relates to U.S. federal and state operating loss carryforwards and equity based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compensation deferred tax assets that were deemed unrealizable. During this period, Accelsius recognized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significant deferred tax liabilities from acquired intangible assets as part of the Business Combination. The deferred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tax liability provided a new source of income to realize the existing deferred tax assets, which provided enough</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positive evidence to release the valuation allowance of $9,361. The Company and the remaining corporate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subsidiaries maintained the valuation allowance as the entities have been in a pre-tax loss position, with insufficient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projected taxable income (exclusive of reversing taxable temporary differences) to recognize the benefit of net</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deferred tax assets as of the end of the year.</w:t>
      </w:r>
    </w:p>
    <w:p>
      <w:pPr>
        <w:spacing w:after="0" w:line="126" w:lineRule="exact"/>
        <w:rPr>
          <w:sz w:val="20"/>
          <w:szCs w:val="20"/>
          <w:color w:val="auto"/>
        </w:rPr>
      </w:pPr>
    </w:p>
    <w:p>
      <w:pPr>
        <w:ind w:left="1160" w:right="1259" w:firstLine="258"/>
        <w:spacing w:after="0" w:line="268" w:lineRule="auto"/>
        <w:rPr>
          <w:sz w:val="20"/>
          <w:szCs w:val="20"/>
          <w:color w:val="auto"/>
        </w:rPr>
      </w:pPr>
      <w:r>
        <w:rPr>
          <w:rFonts w:ascii="Times New Roman" w:cs="Times New Roman" w:eastAsia="Times New Roman" w:hAnsi="Times New Roman"/>
          <w:sz w:val="14"/>
          <w:szCs w:val="14"/>
          <w:color w:val="auto"/>
        </w:rPr>
        <w:t>As of December 31, 2024, the taxable entity had net operating loss carryforwards for income tax purposes of approximately $62,653 related to federal taxes, all of which may be carried forward indefinitely. The Company and certain subsidiaries also have state net operating loss (“NOL”) carryforwards in the amount of $39,262. The state NOL carryforwards begin to expire in 2038, however, some state NOL’s are able to be carried forward indefinitely.</w:t>
      </w:r>
    </w:p>
    <w:p>
      <w:pPr>
        <w:spacing w:after="0" w:line="97" w:lineRule="exact"/>
        <w:rPr>
          <w:sz w:val="20"/>
          <w:szCs w:val="20"/>
          <w:color w:val="auto"/>
        </w:rPr>
      </w:pPr>
    </w:p>
    <w:p>
      <w:pPr>
        <w:ind w:left="1160" w:right="125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2024 and 2023, the Company had no material unrecognized income tax benefits or uncertain tax positions. Also, we do not expect to incur interest charges or penalties related to our tax positions, but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699"/>
        <w:spacing w:after="0" w:line="292" w:lineRule="auto"/>
        <w:rPr>
          <w:sz w:val="20"/>
          <w:szCs w:val="20"/>
          <w:color w:val="auto"/>
        </w:rPr>
      </w:pPr>
      <w:r>
        <w:rPr>
          <w:rFonts w:ascii="Times New Roman" w:cs="Times New Roman" w:eastAsia="Times New Roman" w:hAnsi="Times New Roman"/>
          <w:sz w:val="14"/>
          <w:szCs w:val="14"/>
          <w:color w:val="auto"/>
        </w:rPr>
        <w:t>if such charges or penalties are incurred, our policy is to account for interest charges as interest expense and penalties as tax expense in the consolidated statements of operations.</w:t>
      </w:r>
    </w:p>
    <w:p>
      <w:pPr>
        <w:spacing w:after="0" w:line="81" w:lineRule="exact"/>
        <w:rPr>
          <w:sz w:val="20"/>
          <w:szCs w:val="20"/>
          <w:color w:val="auto"/>
        </w:rPr>
      </w:pPr>
    </w:p>
    <w:p>
      <w:pPr>
        <w:ind w:left="1160" w:right="1239" w:firstLine="258"/>
        <w:spacing w:after="0" w:line="292" w:lineRule="auto"/>
        <w:rPr>
          <w:sz w:val="20"/>
          <w:szCs w:val="20"/>
          <w:color w:val="auto"/>
        </w:rPr>
      </w:pPr>
      <w:r>
        <w:rPr>
          <w:rFonts w:ascii="Times New Roman" w:cs="Times New Roman" w:eastAsia="Times New Roman" w:hAnsi="Times New Roman"/>
          <w:sz w:val="14"/>
          <w:szCs w:val="14"/>
          <w:color w:val="auto"/>
        </w:rPr>
        <w:t>As of December 31, 2024, tax years 2022 through 2024 remain open and subject to examination by the Internal Revenue Service and the states where the Company has nexus.</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17. Net Loss Per Share</w:t>
      </w:r>
    </w:p>
    <w:p>
      <w:pPr>
        <w:spacing w:after="0" w:line="142"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and WTI warrants, which are determined to be participating securities, do not have a contractual obligation to fund losses, undistributed net losses are not allocated to them for purposes of the loss per share calculation.</w:t>
      </w:r>
    </w:p>
    <w:p>
      <w:pPr>
        <w:spacing w:after="0" w:line="103" w:lineRule="exact"/>
        <w:rPr>
          <w:sz w:val="20"/>
          <w:szCs w:val="20"/>
          <w:color w:val="auto"/>
        </w:rPr>
      </w:pPr>
    </w:p>
    <w:p>
      <w:pPr>
        <w:jc w:val="both"/>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93" w:lineRule="exact"/>
        <w:rPr>
          <w:sz w:val="20"/>
          <w:szCs w:val="20"/>
          <w:color w:val="auto"/>
        </w:rPr>
      </w:pPr>
    </w:p>
    <w:p>
      <w:pPr>
        <w:ind w:left="1160" w:right="1339" w:firstLine="258"/>
        <w:spacing w:after="0" w:line="292" w:lineRule="auto"/>
        <w:rPr>
          <w:sz w:val="20"/>
          <w:szCs w:val="20"/>
          <w:color w:val="auto"/>
        </w:rPr>
      </w:pPr>
      <w:r>
        <w:rPr>
          <w:rFonts w:ascii="Times New Roman" w:cs="Times New Roman" w:eastAsia="Times New Roman" w:hAnsi="Times New Roman"/>
          <w:sz w:val="14"/>
          <w:szCs w:val="14"/>
          <w:color w:val="auto"/>
        </w:rPr>
        <w:t>Presented in the table below is a reconciliation of the numerator and denominator for the EPS calculations for the Successor period from October 2, 2024 through December 31, 2024:</w:t>
      </w:r>
    </w:p>
    <w:p>
      <w:pPr>
        <w:spacing w:after="0" w:line="141"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1"/>
          <w:szCs w:val="11"/>
          <w:b w:val="1"/>
          <w:bCs w:val="1"/>
          <w:color w:val="auto"/>
        </w:rPr>
        <w:t>Successor</w:t>
      </w:r>
    </w:p>
    <w:p>
      <w:pPr>
        <w:spacing w:after="0" w:line="40"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1"/>
          <w:szCs w:val="11"/>
          <w:b w:val="1"/>
          <w:bCs w:val="1"/>
          <w:color w:val="auto"/>
        </w:rPr>
        <w:t>October 2, 2024</w:t>
      </w:r>
    </w:p>
    <w:p>
      <w:pPr>
        <w:jc w:val="center"/>
        <w:ind w:left="5480"/>
        <w:spacing w:after="0" w:line="224" w:lineRule="auto"/>
        <w:rPr>
          <w:sz w:val="20"/>
          <w:szCs w:val="20"/>
          <w:color w:val="auto"/>
        </w:rPr>
      </w:pPr>
      <w:r>
        <w:rPr>
          <w:rFonts w:ascii="Times New Roman" w:cs="Times New Roman" w:eastAsia="Times New Roman" w:hAnsi="Times New Roman"/>
          <w:sz w:val="11"/>
          <w:szCs w:val="11"/>
          <w:b w:val="1"/>
          <w:bCs w:val="1"/>
          <w:color w:val="auto"/>
        </w:rPr>
        <w:t>through</w:t>
      </w:r>
    </w:p>
    <w:p>
      <w:pPr>
        <w:jc w:val="center"/>
        <w:ind w:left="5480"/>
        <w:spacing w:after="0" w:line="224" w:lineRule="auto"/>
        <w:rPr>
          <w:sz w:val="20"/>
          <w:szCs w:val="20"/>
          <w:color w:val="auto"/>
        </w:rPr>
      </w:pPr>
      <w:r>
        <w:rPr>
          <w:rFonts w:ascii="Times New Roman" w:cs="Times New Roman" w:eastAsia="Times New Roman" w:hAnsi="Times New Roman"/>
          <w:sz w:val="11"/>
          <w:szCs w:val="11"/>
          <w:b w:val="1"/>
          <w:bCs w:val="1"/>
          <w:color w:val="auto"/>
        </w:rPr>
        <w:t>December 31,</w:t>
      </w:r>
    </w:p>
    <w:p>
      <w:pPr>
        <w:jc w:val="center"/>
        <w:ind w:left="5480"/>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Numerator:</w:t>
      </w:r>
    </w:p>
    <w:p>
      <w:pPr>
        <w:sectPr>
          <w:pgSz w:w="11900" w:h="16917" w:orient="portrait"/>
          <w:cols w:equalWidth="0" w:num="1">
            <w:col w:w="9019"/>
          </w:cols>
          <w:pgMar w:left="1440" w:top="146" w:right="1440" w:bottom="0" w:gutter="0" w:footer="0" w:header="0"/>
        </w:sectPr>
      </w:pPr>
    </w:p>
    <w:p>
      <w:pPr>
        <w:spacing w:after="0" w:line="4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Net loss attributable to Innventure, Inc. shareholders</w:t>
      </w: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(61,754)</w:t>
      </w:r>
    </w:p>
    <w:p>
      <w:pPr>
        <w:spacing w:after="0" w:line="43" w:lineRule="exact"/>
        <w:rPr>
          <w:sz w:val="20"/>
          <w:szCs w:val="20"/>
          <w:color w:val="auto"/>
        </w:rPr>
      </w:pPr>
    </w:p>
    <w:p>
      <w:pPr>
        <w:sectPr>
          <w:pgSz w:w="11900" w:h="16917" w:orient="portrait"/>
          <w:cols w:equalWidth="0" w:num="2">
            <w:col w:w="6880" w:space="340"/>
            <w:col w:w="1799"/>
          </w:cols>
          <w:pgMar w:left="1440" w:top="146" w:right="1440" w:bottom="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 xml:space="preserve">Less: Cumulative earnings to participating securities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217</w:t>
      </w:r>
    </w:p>
    <w:p>
      <w:pPr>
        <w:spacing w:after="0" w:line="43" w:lineRule="exact"/>
        <w:rPr>
          <w:sz w:val="20"/>
          <w:szCs w:val="20"/>
          <w:color w:val="auto"/>
        </w:rPr>
      </w:pPr>
    </w:p>
    <w:p>
      <w:pPr>
        <w:sectPr>
          <w:pgSz w:w="11900" w:h="16917" w:orient="portrait"/>
          <w:cols w:equalWidth="0" w:num="2">
            <w:col w:w="6740" w:space="700"/>
            <w:col w:w="1579"/>
          </w:cols>
          <w:pgMar w:left="1440" w:top="146" w:right="1440" w:bottom="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 xml:space="preserve">Undistributed loss for participating securities  </w:t>
      </w:r>
      <w:r>
        <w:rPr>
          <w:rFonts w:ascii="Times New Roman" w:cs="Times New Roman" w:eastAsia="Times New Roman" w:hAnsi="Times New Roman"/>
          <w:sz w:val="14"/>
          <w:szCs w:val="14"/>
          <w:color w:val="B4B4B4"/>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(61,971)</w:t>
      </w:r>
    </w:p>
    <w:p>
      <w:pPr>
        <w:spacing w:after="0" w:line="43" w:lineRule="exact"/>
        <w:rPr>
          <w:sz w:val="20"/>
          <w:szCs w:val="20"/>
          <w:color w:val="auto"/>
        </w:rPr>
      </w:pPr>
    </w:p>
    <w:p>
      <w:pPr>
        <w:sectPr>
          <w:pgSz w:w="11900" w:h="16917" w:orient="portrait"/>
          <w:cols w:equalWidth="0" w:num="2">
            <w:col w:w="6740" w:space="480"/>
            <w:col w:w="1799"/>
          </w:cols>
          <w:pgMar w:left="1440" w:top="146" w:right="1440" w:bottom="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Less: Undistributed loss attributable to participating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41" w:lineRule="exact"/>
        <w:rPr>
          <w:sz w:val="20"/>
          <w:szCs w:val="20"/>
          <w:color w:val="auto"/>
        </w:rPr>
      </w:pPr>
    </w:p>
    <w:p>
      <w:pPr>
        <w:sectPr>
          <w:pgSz w:w="11900" w:h="16917" w:orient="portrait"/>
          <w:cols w:equalWidth="0" w:num="2">
            <w:col w:w="6800" w:space="720"/>
            <w:col w:w="1499"/>
          </w:cols>
          <w:pgMar w:left="1440" w:top="146" w:right="1440" w:bottom="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b w:val="1"/>
          <w:bCs w:val="1"/>
          <w:color w:val="auto"/>
        </w:rPr>
        <w:t xml:space="preserve">Net Loss attributable to common shareholders, basic and diluted </w:t>
      </w:r>
      <w:r>
        <w:rPr>
          <w:rFonts w:ascii="Times New Roman" w:cs="Times New Roman" w:eastAsia="Times New Roman" w:hAnsi="Times New Roman"/>
          <w:sz w:val="14"/>
          <w:szCs w:val="14"/>
          <w:b w:val="1"/>
          <w:bCs w:val="1"/>
          <w:color w:val="B4B4B4"/>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(61,971)</w:t>
      </w:r>
    </w:p>
    <w:p>
      <w:pPr>
        <w:sectPr>
          <w:pgSz w:w="11900" w:h="16917" w:orient="portrait"/>
          <w:cols w:equalWidth="0" w:num="3">
            <w:col w:w="6740" w:space="80"/>
            <w:col w:w="60" w:space="340"/>
            <w:col w:w="1799"/>
          </w:cols>
          <w:pgMar w:left="1440" w:top="146" w:right="1440" w:bottom="0" w:gutter="0" w:footer="0" w:header="0"/>
          <w:type w:val="continuous"/>
        </w:sectPr>
      </w:pPr>
    </w:p>
    <w:bookmarkStart w:id="106" w:name="page107"/>
    <w:bookmarkEnd w:id="106"/>
    <w:tbl>
      <w:tblPr>
        <w:tblLayout w:type="fixed"/>
        <w:tblInd w:w="1160" w:type="dxa"/>
        <w:tblCellMar>
          <w:top w:w="0" w:type="dxa"/>
          <w:left w:w="0" w:type="dxa"/>
          <w:bottom w:w="0" w:type="dxa"/>
          <w:right w:w="0" w:type="dxa"/>
        </w:tblCellMar>
      </w:tblPr>
      <w:tr>
        <w:trPr>
          <w:trHeight w:val="186"/>
        </w:trPr>
        <w:tc>
          <w:tcPr>
            <w:tcW w:w="5620" w:type="dxa"/>
            <w:vAlign w:val="bottom"/>
          </w:tcPr>
          <w:p>
            <w:pPr>
              <w:jc w:val="right"/>
              <w:ind w:right="4728"/>
              <w:spacing w:after="0"/>
              <w:rPr>
                <w:sz w:val="20"/>
                <w:szCs w:val="20"/>
                <w:color w:val="auto"/>
              </w:rPr>
            </w:pPr>
            <w:r>
              <w:rPr>
                <w:rFonts w:ascii="Times New Roman" w:cs="Times New Roman" w:eastAsia="Times New Roman" w:hAnsi="Times New Roman"/>
                <w:sz w:val="14"/>
                <w:szCs w:val="14"/>
                <w:color w:val="auto"/>
              </w:rPr>
              <w:t>Denominator:</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4"/>
        </w:trPr>
        <w:tc>
          <w:tcPr>
            <w:tcW w:w="5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Weighted average number of units outstanding, basic and diluted </w:t>
            </w:r>
            <w:r>
              <w:rPr>
                <w:rFonts w:ascii="Times New Roman" w:cs="Times New Roman" w:eastAsia="Times New Roman" w:hAnsi="Times New Roman"/>
                <w:sz w:val="14"/>
                <w:szCs w:val="14"/>
                <w:color w:val="B4B4B4"/>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43,951</w:t>
            </w: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4"/>
        </w:trPr>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Netlosspershareattributabletocommonshareholders,basicanddiluted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r>
    </w:tbl>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right="1499" w:firstLine="258"/>
        <w:spacing w:after="0" w:line="292" w:lineRule="auto"/>
        <w:rPr>
          <w:sz w:val="20"/>
          <w:szCs w:val="20"/>
          <w:color w:val="auto"/>
        </w:rPr>
      </w:pPr>
      <w:r>
        <w:rPr>
          <w:rFonts w:ascii="Times New Roman" w:cs="Times New Roman" w:eastAsia="Times New Roman" w:hAnsi="Times New Roman"/>
          <w:sz w:val="14"/>
          <w:szCs w:val="14"/>
          <w:color w:val="auto"/>
        </w:rPr>
        <w:t>Basic and diluted net loss per share was the same for each period presented as the inclusion of all potential common stock outstanding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19" w:firstLine="258"/>
        <w:spacing w:after="0" w:line="274" w:lineRule="auto"/>
        <w:rPr>
          <w:sz w:val="20"/>
          <w:szCs w:val="20"/>
          <w:color w:val="auto"/>
        </w:rPr>
      </w:pPr>
      <w:r>
        <w:rPr>
          <w:rFonts w:ascii="Times New Roman" w:cs="Times New Roman" w:eastAsia="Times New Roman" w:hAnsi="Times New Roman"/>
          <w:sz w:val="14"/>
          <w:szCs w:val="14"/>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Successor</w:t>
            </w:r>
          </w:p>
        </w:tc>
      </w:tr>
      <w:tr>
        <w:trPr>
          <w:trHeight w:val="115"/>
        </w:trPr>
        <w:tc>
          <w:tcPr>
            <w:tcW w:w="5760" w:type="dxa"/>
            <w:vAlign w:val="bottom"/>
          </w:tcPr>
          <w:p>
            <w:pPr>
              <w:spacing w:after="0"/>
              <w:rPr>
                <w:sz w:val="10"/>
                <w:szCs w:val="10"/>
                <w:color w:val="auto"/>
              </w:rPr>
            </w:pPr>
          </w:p>
        </w:tc>
        <w:tc>
          <w:tcPr>
            <w:tcW w:w="9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57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89"/>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B4B4B4"/>
              </w:rPr>
              <w:t>......................................................................................................................................</w:t>
            </w:r>
            <w:r>
              <w:rPr>
                <w:rFonts w:ascii="Times New Roman" w:cs="Times New Roman" w:eastAsia="Times New Roman" w:hAnsi="Times New Roman"/>
                <w:sz w:val="14"/>
                <w:szCs w:val="14"/>
                <w:color w:val="000000"/>
              </w:rPr>
              <w:t>Publicwarrants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11,500,000</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Private placement warrants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7,146,000</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WTI warrants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Series B preferred shares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1,011,869</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Share options</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975,409</w:t>
            </w:r>
          </w:p>
        </w:tc>
      </w:tr>
      <w:tr>
        <w:trPr>
          <w:trHeight w:val="198"/>
        </w:trPr>
        <w:tc>
          <w:tcPr>
            <w:tcW w:w="5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4"/>
                <w:szCs w:val="14"/>
                <w:color w:val="B4B4B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2,036,476</w:t>
            </w:r>
          </w:p>
        </w:tc>
      </w:tr>
      <w:tr>
        <w:trPr>
          <w:trHeight w:val="210"/>
        </w:trPr>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SARs </w:t>
            </w:r>
            <w:r>
              <w:rPr>
                <w:rFonts w:ascii="Times New Roman" w:cs="Times New Roman" w:eastAsia="Times New Roman" w:hAnsi="Times New Roman"/>
                <w:sz w:val="14"/>
                <w:szCs w:val="14"/>
                <w:color w:val="B4B4B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r>
    </w:tbl>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18. Related Party Transactions</w:t>
      </w:r>
    </w:p>
    <w:p>
      <w:pPr>
        <w:spacing w:after="0" w:line="142"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As more fully described in Note 5. Borrowings, the Company has various notes with affiliates, including short-term notes with three separate related parties. In addition, the Company had a convertible note to the ESG Fund as part of the 2025 Notes which was converted during the Predecessor period from January 1, 2024 through October 1, 2024.</w:t>
      </w:r>
    </w:p>
    <w:p>
      <w:pPr>
        <w:spacing w:after="0" w:line="9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Directors</w:t>
      </w:r>
    </w:p>
    <w:p>
      <w:pPr>
        <w:spacing w:after="0" w:line="144" w:lineRule="exact"/>
        <w:rPr>
          <w:sz w:val="20"/>
          <w:szCs w:val="20"/>
          <w:color w:val="auto"/>
        </w:rPr>
      </w:pPr>
    </w:p>
    <w:p>
      <w:pPr>
        <w:ind w:left="1160" w:right="1199" w:firstLine="258"/>
        <w:spacing w:after="0" w:line="263" w:lineRule="auto"/>
        <w:rPr>
          <w:sz w:val="20"/>
          <w:szCs w:val="20"/>
          <w:color w:val="auto"/>
        </w:rPr>
      </w:pPr>
      <w:r>
        <w:rPr>
          <w:rFonts w:ascii="Times New Roman" w:cs="Times New Roman" w:eastAsia="Times New Roman" w:hAnsi="Times New Roman"/>
          <w:sz w:val="14"/>
          <w:szCs w:val="14"/>
          <w:color w:val="auto"/>
        </w:rPr>
        <w:t>As more fully described in Note 14. Stock-based Compensation, the Company issued various equity awards to related parties throughout 2024. On December 9, 2024, the Company issued 1,246,722 RSUs with a grant date fair value of $15,210, and 590,163 stock options with a grant date fair value of $3,913 to a cumulative of 8 directors. On December 31, 2024, the Company issued 200,000 SARs with a grant date fair value of $7,820 to 4 directors and former directors. On March 22, 2024, the Company issued 100,000 Class C Units with a grant date fair value of $441 to 1 director under the Accelsius Subsidiary Equity Plan.</w:t>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Innventure1</w:t>
      </w:r>
    </w:p>
    <w:p>
      <w:pPr>
        <w:spacing w:after="0" w:line="144"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In 2022, Innventure1 assigned its ownership interest in a portion of the Company’s PCT common stock to investors who are considered related parties of Innventure1 and the Company. The related party liability established in connection with this assignment was revalued to $53 on December 31, 2023. The change in value was included in Net gain on investments - due to related parties in the consolidated statements of operations and comprehensive income (loss).</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the ESG Fund</w:t>
      </w:r>
    </w:p>
    <w:p>
      <w:pPr>
        <w:spacing w:after="0" w:line="144" w:lineRule="exact"/>
        <w:rPr>
          <w:sz w:val="20"/>
          <w:szCs w:val="20"/>
          <w:color w:val="auto"/>
        </w:rPr>
      </w:pPr>
    </w:p>
    <w:p>
      <w:pPr>
        <w:ind w:left="1160" w:right="1239" w:firstLine="258"/>
        <w:spacing w:after="0" w:line="262" w:lineRule="auto"/>
        <w:rPr>
          <w:sz w:val="20"/>
          <w:szCs w:val="20"/>
          <w:color w:val="auto"/>
        </w:rPr>
      </w:pPr>
      <w:r>
        <w:rPr>
          <w:rFonts w:ascii="Times New Roman" w:cs="Times New Roman" w:eastAsia="Times New Roman" w:hAnsi="Times New Roman"/>
          <w:sz w:val="14"/>
          <w:szCs w:val="14"/>
          <w:color w:val="auto"/>
        </w:rPr>
        <w:t>In the normal course of business, the Company advances certain expenses on behalf of the ESG Fund. Certain expenses paid by the Company, which meet certain criteria, are reimbursed to the Company by the ESG Fund. Amounts paid by the Company and reimbursable by the ESG Fund were $105 for the Successor period from October 2, 2024 through December 31, 2024, and $50 for the Predecessor period from January 1, 2024 through October 1, 2024, and $48 for the Predecessor year ended December 31, 2023. There was a receivable of $64 and $2 as of December 31, 2024 and 2023, respectively, related to those expenses included in Due from related parties in the consolidated balance sheets.</w:t>
      </w:r>
    </w:p>
    <w:p>
      <w:pPr>
        <w:spacing w:after="0" w:line="101" w:lineRule="exact"/>
        <w:rPr>
          <w:sz w:val="20"/>
          <w:szCs w:val="20"/>
          <w:color w:val="auto"/>
        </w:rPr>
      </w:pPr>
    </w:p>
    <w:p>
      <w:pPr>
        <w:ind w:left="1160" w:right="1219" w:firstLine="258"/>
        <w:spacing w:after="0" w:line="263" w:lineRule="auto"/>
        <w:rPr>
          <w:sz w:val="20"/>
          <w:szCs w:val="20"/>
          <w:color w:val="auto"/>
        </w:rPr>
      </w:pPr>
      <w:r>
        <w:rPr>
          <w:rFonts w:ascii="Times New Roman" w:cs="Times New Roman" w:eastAsia="Times New Roman" w:hAnsi="Times New Roman"/>
          <w:sz w:val="14"/>
          <w:szCs w:val="14"/>
          <w:color w:val="auto"/>
        </w:rPr>
        <w:t>As more fully described in Note 2. Accounting Policies, the Company earns a 1-2% management fee for administrative, finance and accounting, and other back-office functions from the ESG Fund. Management fees earned from the ESG Fund were $196 for the Successor period from October 2, 2024 through December 31, 2024, and $588 for the Predecessor period from January 1, 2024 through October 1, 2024. Management fees earned from the ESG Fund totaled $789 for the Predecessor year ended December 31, 2023, which is recorded as Revenue in the consolidated statements of operations and comprehensive income (loss).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9019"/>
          </w:cols>
          <w:pgMar w:left="1440" w:top="415" w:right="1440" w:bottom="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-90805</wp:posOffset>
            </wp:positionV>
            <wp:extent cx="716026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39" w:firstLine="258"/>
        <w:spacing w:after="0" w:line="264" w:lineRule="auto"/>
        <w:rPr>
          <w:sz w:val="20"/>
          <w:szCs w:val="20"/>
          <w:color w:val="auto"/>
        </w:rPr>
      </w:pPr>
      <w:r>
        <w:rPr>
          <w:rFonts w:ascii="Times New Roman" w:cs="Times New Roman" w:eastAsia="Times New Roman" w:hAnsi="Times New Roman"/>
          <w:sz w:val="14"/>
          <w:szCs w:val="14"/>
          <w:color w:val="auto"/>
        </w:rPr>
        <w:t>In March 2021, the Company entered into a purchase option agreement with the ESG Fund to sell 145,161 shares of PCT common stock with an exercise price of $1. The option period would have expired on July 22, 2024 and the Company measured the derivative liability at fair value, as further described in Note 4. Fair Value . The option was exercised in March 2022 and the shares are subject to the lock-up provisions. The liability due to the ESG Fund as of December 31, 2023 was $294 and is included in Related party payables in the consolidated balance sheets.</w:t>
      </w:r>
    </w:p>
    <w:p>
      <w:pPr>
        <w:spacing w:after="0" w:line="274"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In 2023, the Company sold 23,712 of Accelsius Class A Series 2 Units to the ESG Fund for aggregate proceeds of approximately $104. This amount is reflected in Non-controlling interests in the consolidated statements of changes in stockholders' equity (deficit).</w:t>
      </w:r>
    </w:p>
    <w:p>
      <w:pPr>
        <w:spacing w:after="0" w:line="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AeroFlexx</w:t>
      </w:r>
    </w:p>
    <w:p>
      <w:pPr>
        <w:spacing w:after="0" w:line="144"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Company’s related party transactions with AeroFlexx are described in Note 3. Investments. Additionally, in the normal course of business, the Company advances certain expenses on behalf of AeroFlexx. Amounts paid by the Company and reimbursable by AeroFlexx were $27 for the Successor period from October 2, 2024 through December 31, 2024, and $84 for the Predecessor period from January 1, 2024 through October 1, 2024, and $116 for the Predecessor year ended December 31, 2023. There was a receivable of $97 and $— as of December 31, 2024 and 2023, respectively, related to those expenses included in Due from related parties in the consolidated balance sheets.</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3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PCT Guaranty</w:t>
      </w:r>
    </w:p>
    <w:p>
      <w:pPr>
        <w:spacing w:after="0" w:line="144" w:lineRule="exact"/>
        <w:rPr>
          <w:sz w:val="20"/>
          <w:szCs w:val="20"/>
          <w:color w:val="auto"/>
        </w:rPr>
      </w:pPr>
    </w:p>
    <w:p>
      <w:pPr>
        <w:ind w:left="1160" w:right="1339" w:firstLine="258"/>
        <w:spacing w:after="0" w:line="265" w:lineRule="auto"/>
        <w:rPr>
          <w:sz w:val="20"/>
          <w:szCs w:val="20"/>
          <w:color w:val="auto"/>
        </w:rPr>
      </w:pPr>
      <w:r>
        <w:rPr>
          <w:rFonts w:ascii="Times New Roman" w:cs="Times New Roman" w:eastAsia="Times New Roman" w:hAnsi="Times New Roman"/>
          <w:sz w:val="14"/>
          <w:szCs w:val="14"/>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2024 and 2023, there was no principal outstanding under the guaranty.</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Patent Agreement Contingent Fees</w:t>
      </w:r>
    </w:p>
    <w:p>
      <w:pPr>
        <w:spacing w:after="0" w:line="144" w:lineRule="exact"/>
        <w:rPr>
          <w:sz w:val="20"/>
          <w:szCs w:val="20"/>
          <w:color w:val="auto"/>
        </w:rPr>
      </w:pPr>
    </w:p>
    <w:p>
      <w:pPr>
        <w:ind w:left="1160" w:right="1459" w:firstLine="258"/>
        <w:spacing w:after="0" w:line="274" w:lineRule="auto"/>
        <w:rPr>
          <w:sz w:val="20"/>
          <w:szCs w:val="20"/>
          <w:color w:val="auto"/>
        </w:rPr>
      </w:pPr>
      <w:r>
        <w:rPr>
          <w:rFonts w:ascii="Times New Roman" w:cs="Times New Roman" w:eastAsia="Times New Roman" w:hAnsi="Times New Roman"/>
          <w:sz w:val="14"/>
          <w:szCs w:val="14"/>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93" w:lineRule="exact"/>
        <w:rPr>
          <w:sz w:val="20"/>
          <w:szCs w:val="20"/>
          <w:color w:val="auto"/>
        </w:rPr>
      </w:pPr>
    </w:p>
    <w:p>
      <w:pPr>
        <w:ind w:left="1160" w:right="1219" w:firstLine="258"/>
        <w:spacing w:after="0" w:line="268" w:lineRule="auto"/>
        <w:rPr>
          <w:sz w:val="20"/>
          <w:szCs w:val="20"/>
          <w:color w:val="auto"/>
        </w:rPr>
      </w:pPr>
      <w:r>
        <w:rPr>
          <w:rFonts w:ascii="Times New Roman" w:cs="Times New Roman" w:eastAsia="Times New Roman" w:hAnsi="Times New Roman"/>
          <w:sz w:val="14"/>
          <w:szCs w:val="14"/>
          <w:color w:val="auto"/>
        </w:rPr>
        <w:t>Under the terms of the agreements, the Company is required to make minimum installment payments, as disclosed below, for each year of the agreement through February 1, 2040. Each installment payment shall be credited towards and set off against any royalty payments (described below) which may become due. As such, these installment payments serve as minimum amounts due to the MNC each calendar year.</w:t>
      </w:r>
    </w:p>
    <w:p>
      <w:pPr>
        <w:spacing w:after="0" w:line="97" w:lineRule="exact"/>
        <w:rPr>
          <w:sz w:val="20"/>
          <w:szCs w:val="20"/>
          <w:color w:val="auto"/>
        </w:rPr>
      </w:pPr>
    </w:p>
    <w:p>
      <w:pPr>
        <w:ind w:left="1160" w:right="1619" w:firstLine="258"/>
        <w:spacing w:after="0" w:line="292" w:lineRule="auto"/>
        <w:rPr>
          <w:sz w:val="20"/>
          <w:szCs w:val="20"/>
          <w:color w:val="auto"/>
        </w:rPr>
      </w:pPr>
      <w:r>
        <w:rPr>
          <w:rFonts w:ascii="Times New Roman" w:cs="Times New Roman" w:eastAsia="Times New Roman" w:hAnsi="Times New Roman"/>
          <w:sz w:val="14"/>
          <w:szCs w:val="14"/>
          <w:color w:val="auto"/>
        </w:rPr>
        <w:t>Minimum royalties included in Patent installment payables on the consolidated balance sheets are due as follows: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Years Ending December 31,</w:t>
            </w:r>
          </w:p>
        </w:tc>
        <w:tc>
          <w:tcPr>
            <w:tcW w:w="180" w:type="dxa"/>
            <w:vAlign w:val="bottom"/>
          </w:tcPr>
          <w:p>
            <w:pPr>
              <w:spacing w:after="0"/>
              <w:rPr>
                <w:sz w:val="13"/>
                <w:szCs w:val="13"/>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9"/>
        </w:trPr>
        <w:tc>
          <w:tcPr>
            <w:tcW w:w="5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2025 </w:t>
            </w:r>
            <w:r>
              <w:rPr>
                <w:rFonts w:ascii="Times New Roman" w:cs="Times New Roman" w:eastAsia="Times New Roman" w:hAnsi="Times New Roman"/>
                <w:sz w:val="14"/>
                <w:szCs w:val="14"/>
                <w:color w:val="B4B4B4"/>
              </w:rPr>
              <w:t>.....................................................................................................................................................</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r>
      <w:tr>
        <w:trPr>
          <w:trHeight w:val="198"/>
        </w:trPr>
        <w:tc>
          <w:tcPr>
            <w:tcW w:w="5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2026 </w:t>
            </w:r>
            <w:r>
              <w:rPr>
                <w:rFonts w:ascii="Times New Roman" w:cs="Times New Roman" w:eastAsia="Times New Roman" w:hAnsi="Times New Roman"/>
                <w:sz w:val="14"/>
                <w:szCs w:val="14"/>
                <w:color w:val="B4B4B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210"/>
        </w:trPr>
        <w:tc>
          <w:tcPr>
            <w:tcW w:w="5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2027 </w:t>
            </w:r>
            <w:r>
              <w:rPr>
                <w:rFonts w:ascii="Times New Roman" w:cs="Times New Roman" w:eastAsia="Times New Roman" w:hAnsi="Times New Roman"/>
                <w:sz w:val="14"/>
                <w:szCs w:val="14"/>
                <w:color w:val="B4B4B4"/>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198"/>
        </w:trPr>
        <w:tc>
          <w:tcPr>
            <w:tcW w:w="5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2028 </w:t>
            </w:r>
            <w:r>
              <w:rPr>
                <w:rFonts w:ascii="Times New Roman" w:cs="Times New Roman" w:eastAsia="Times New Roman" w:hAnsi="Times New Roman"/>
                <w:sz w:val="14"/>
                <w:szCs w:val="14"/>
                <w:color w:val="B4B4B4"/>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210"/>
        </w:trPr>
        <w:tc>
          <w:tcPr>
            <w:tcW w:w="5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2029 </w:t>
            </w:r>
            <w:r>
              <w:rPr>
                <w:rFonts w:ascii="Times New Roman" w:cs="Times New Roman" w:eastAsia="Times New Roman" w:hAnsi="Times New Roman"/>
                <w:sz w:val="14"/>
                <w:szCs w:val="14"/>
                <w:color w:val="B4B4B4"/>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198"/>
        </w:trPr>
        <w:tc>
          <w:tcPr>
            <w:tcW w:w="57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Thereafter</w:t>
            </w:r>
            <w:r>
              <w:rPr>
                <w:rFonts w:ascii="Times New Roman" w:cs="Times New Roman" w:eastAsia="Times New Roman" w:hAnsi="Times New Roman"/>
                <w:sz w:val="14"/>
                <w:szCs w:val="14"/>
                <w:color w:val="B4B4B4"/>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9,075</w:t>
            </w:r>
          </w:p>
        </w:tc>
      </w:tr>
      <w:tr>
        <w:trPr>
          <w:trHeight w:val="193"/>
        </w:trPr>
        <w:tc>
          <w:tcPr>
            <w:tcW w:w="5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13,600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199" w:firstLine="258"/>
        <w:spacing w:after="0" w:line="265" w:lineRule="auto"/>
        <w:rPr>
          <w:sz w:val="20"/>
          <w:szCs w:val="20"/>
          <w:color w:val="auto"/>
        </w:rPr>
      </w:pPr>
      <w:r>
        <w:rPr>
          <w:rFonts w:ascii="Times New Roman" w:cs="Times New Roman" w:eastAsia="Times New Roman" w:hAnsi="Times New Roman"/>
          <w:sz w:val="14"/>
          <w:szCs w:val="14"/>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License and Royalty Commitments</w:t>
      </w:r>
    </w:p>
    <w:p>
      <w:pPr>
        <w:spacing w:after="0" w:line="144"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$500 contingent upon achievement of a commercial milestone, which is not yet probable.</w:t>
      </w:r>
    </w:p>
    <w:p>
      <w:pPr>
        <w:spacing w:after="0" w:line="97" w:lineRule="exact"/>
        <w:rPr>
          <w:sz w:val="20"/>
          <w:szCs w:val="20"/>
          <w:color w:val="auto"/>
        </w:rPr>
      </w:pPr>
    </w:p>
    <w:p>
      <w:pPr>
        <w:ind w:left="1160" w:right="1179" w:firstLine="258"/>
        <w:spacing w:after="0" w:line="262" w:lineRule="auto"/>
        <w:rPr>
          <w:sz w:val="20"/>
          <w:szCs w:val="20"/>
          <w:color w:val="auto"/>
        </w:rPr>
      </w:pPr>
      <w:r>
        <w:rPr>
          <w:rFonts w:ascii="Times New Roman" w:cs="Times New Roman" w:eastAsia="Times New Roman" w:hAnsi="Times New Roman"/>
          <w:sz w:val="14"/>
          <w:szCs w:val="14"/>
          <w:color w:val="auto"/>
        </w:rPr>
        <w:t>The Company incurred a nonrefundable upfront fee of $500 under the Technology License, which is immediately expensed as incurred on December 12, 2024 and presented as an expense in the consolidated statements of operations and comprehensive income (loss) for the period ended December 31, 2024. Additionally, the Company committed to pay a semi-annual fee of $65 until ownership transfers or the Technology is no longer licensed, which is accrued on a monthly basis. During the Successor period from October 2, 2024 through December 31, 2024, $11 was recognized within General and administrative expense in the consolidated statements of operations and comprehensive income (loss).</w:t>
      </w:r>
    </w:p>
    <w:p>
      <w:pPr>
        <w:spacing w:after="0" w:line="101" w:lineRule="exact"/>
        <w:rPr>
          <w:sz w:val="20"/>
          <w:szCs w:val="20"/>
          <w:color w:val="auto"/>
        </w:rPr>
      </w:pPr>
    </w:p>
    <w:p>
      <w:pPr>
        <w:ind w:left="1160" w:right="1219" w:firstLine="258"/>
        <w:spacing w:after="0" w:line="274" w:lineRule="auto"/>
        <w:rPr>
          <w:sz w:val="20"/>
          <w:szCs w:val="20"/>
          <w:color w:val="auto"/>
        </w:rPr>
      </w:pPr>
      <w:r>
        <w:rPr>
          <w:rFonts w:ascii="Times New Roman" w:cs="Times New Roman" w:eastAsia="Times New Roman" w:hAnsi="Times New Roman"/>
          <w:sz w:val="14"/>
          <w:szCs w:val="14"/>
          <w:color w:val="auto"/>
        </w:rPr>
        <w:t>Under the Technology License, the Company is committed to pay annual royalties based on Refinity related gross sales and licensing revenue starting in 2025. As of December 31, 2024, no royalty payments were made to the third party.</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20. Business Segment Data</w:t>
      </w:r>
    </w:p>
    <w:p>
      <w:pPr>
        <w:sectPr>
          <w:pgSz w:w="11900" w:h="16838" w:orient="portrait"/>
          <w:cols w:equalWidth="0" w:num="1">
            <w:col w:w="9019"/>
          </w:cols>
          <w:pgMar w:left="1440" w:top="123" w:right="1440" w:bottom="0" w:gutter="0" w:footer="0" w:header="0"/>
        </w:sectPr>
      </w:pPr>
    </w:p>
    <w:bookmarkStart w:id="108" w:name="page109"/>
    <w:bookmarkEnd w:id="108"/>
    <w:p>
      <w:pPr>
        <w:ind w:left="1160" w:right="1279" w:firstLine="258"/>
        <w:spacing w:after="0" w:line="201" w:lineRule="auto"/>
        <w:rPr>
          <w:sz w:val="20"/>
          <w:szCs w:val="20"/>
          <w:color w:val="auto"/>
        </w:rPr>
      </w:pPr>
      <w:r>
        <w:rPr>
          <w:rFonts w:ascii="Times New Roman" w:cs="Times New Roman" w:eastAsia="Times New Roman" w:hAnsi="Times New Roman"/>
          <w:sz w:val="14"/>
          <w:szCs w:val="14"/>
          <w:color w:val="auto"/>
        </w:rPr>
        <w:t>The Company’s Chief Executive Officer is the Chief Operating Decision Maker (“CODM”) of the Company. The CODM makes operating decisions, allocates resources and assesses performance based on review of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-141605</wp:posOffset>
            </wp:positionV>
            <wp:extent cx="7160260"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4"/>
          <w:szCs w:val="14"/>
          <w:color w:val="auto"/>
        </w:rPr>
        <w:t>and potential future product sales, operating expenses, and net income (loss).</w:t>
      </w:r>
    </w:p>
    <w:p>
      <w:pPr>
        <w:spacing w:after="0" w:line="126" w:lineRule="exact"/>
        <w:rPr>
          <w:sz w:val="20"/>
          <w:szCs w:val="20"/>
          <w:color w:val="auto"/>
        </w:rPr>
      </w:pPr>
    </w:p>
    <w:p>
      <w:pPr>
        <w:ind w:left="1160" w:right="1379" w:firstLine="258"/>
        <w:spacing w:after="0" w:line="265" w:lineRule="auto"/>
        <w:rPr>
          <w:sz w:val="20"/>
          <w:szCs w:val="20"/>
          <w:color w:val="auto"/>
        </w:rPr>
      </w:pPr>
      <w:r>
        <w:rPr>
          <w:rFonts w:ascii="Times New Roman" w:cs="Times New Roman" w:eastAsia="Times New Roman" w:hAnsi="Times New Roman"/>
          <w:sz w:val="14"/>
          <w:szCs w:val="14"/>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99" w:lineRule="exact"/>
        <w:rPr>
          <w:sz w:val="20"/>
          <w:szCs w:val="20"/>
          <w:color w:val="auto"/>
        </w:rPr>
      </w:pPr>
    </w:p>
    <w:p>
      <w:pPr>
        <w:ind w:left="1160" w:right="1239" w:firstLine="258"/>
        <w:spacing w:after="0" w:line="265"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359"/>
        <w:spacing w:after="0" w:line="292" w:lineRule="auto"/>
        <w:rPr>
          <w:sz w:val="20"/>
          <w:szCs w:val="20"/>
          <w:color w:val="auto"/>
        </w:rPr>
      </w:pPr>
      <w:r>
        <w:rPr>
          <w:rFonts w:ascii="Times New Roman" w:cs="Times New Roman" w:eastAsia="Times New Roman" w:hAnsi="Times New Roman"/>
          <w:sz w:val="14"/>
          <w:szCs w:val="14"/>
          <w:color w:val="auto"/>
        </w:rPr>
        <w:t>are not eliminated from segment results when management considers those transactions in assessing the results of the Technology segment.</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000" w:type="dxa"/>
            <w:vAlign w:val="bottom"/>
            <w:tcBorders>
              <w:right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20" w:type="dxa"/>
            <w:vAlign w:val="bottom"/>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tcPr>
          <w:p>
            <w:pPr>
              <w:jc w:val="center"/>
              <w:ind w:right="111"/>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2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tcPr>
          <w:p>
            <w:pPr>
              <w:jc w:val="center"/>
              <w:ind w:right="111"/>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0"/>
                <w:szCs w:val="10"/>
                <w:color w:val="auto"/>
              </w:rPr>
            </w:pPr>
          </w:p>
        </w:tc>
        <w:tc>
          <w:tcPr>
            <w:tcW w:w="98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1"/>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Revenuefromexternalcustomers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233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Interest income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Cost of sales </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3,752</w:t>
            </w:r>
          </w:p>
        </w:tc>
        <w:tc>
          <w:tcPr>
            <w:tcW w:w="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Employee costs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3,933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Facilities, equipment &amp; supplies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General and administrative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Outside services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3,224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Sales and marketing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Depreciation expense *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8"/>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4"/>
                <w:szCs w:val="14"/>
                <w:color w:val="B4B4B4"/>
              </w:rPr>
              <w:t>.............................................................................</w:t>
            </w:r>
          </w:p>
        </w:tc>
        <w:tc>
          <w:tcPr>
            <w:tcW w:w="120" w:type="dxa"/>
            <w:vAlign w:val="bottom"/>
          </w:tcPr>
          <w:p>
            <w:pPr>
              <w:spacing w:after="0"/>
              <w:rPr>
                <w:sz w:val="17"/>
                <w:szCs w:val="17"/>
                <w:color w:val="auto"/>
              </w:rPr>
            </w:pP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Income tax expense (benefit) </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Other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168</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90"/>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TotalExpenses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8,991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16,754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10,631</w:t>
            </w:r>
          </w:p>
        </w:tc>
        <w:tc>
          <w:tcPr>
            <w:tcW w:w="0" w:type="dxa"/>
            <w:vAlign w:val="bottom"/>
          </w:tcPr>
          <w:p>
            <w:pPr>
              <w:spacing w:after="0"/>
              <w:rPr>
                <w:sz w:val="1"/>
                <w:szCs w:val="1"/>
                <w:color w:val="auto"/>
              </w:rPr>
            </w:pPr>
          </w:p>
        </w:tc>
      </w:tr>
      <w:tr>
        <w:trPr>
          <w:trHeight w:val="226"/>
        </w:trPr>
        <w:tc>
          <w:tcPr>
            <w:tcW w:w="37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NetLoss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(8,758)</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(16,652)</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jc w:val="right"/>
              <w:ind w:right="2669"/>
              <w:spacing w:after="0"/>
              <w:rPr>
                <w:sz w:val="20"/>
                <w:szCs w:val="20"/>
                <w:color w:val="auto"/>
              </w:rPr>
            </w:pPr>
            <w:r>
              <w:rPr>
                <w:rFonts w:ascii="Times New Roman" w:cs="Times New Roman" w:eastAsia="Times New Roman" w:hAnsi="Times New Roman"/>
                <w:sz w:val="11"/>
                <w:szCs w:val="11"/>
                <w:color w:val="auto"/>
              </w:rPr>
              <w:t>__________________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420" w:hanging="267"/>
        <w:spacing w:after="0"/>
        <w:tabs>
          <w:tab w:leader="none" w:pos="142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depreciation not already included in Cost of sales.</w:t>
      </w:r>
    </w:p>
    <w:p>
      <w:pPr>
        <w:spacing w:after="0" w:line="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1"/>
          <w:szCs w:val="11"/>
          <w:color w:val="auto"/>
        </w:rPr>
        <w:t>** Other - change in fair value of financial liabilities, loss on conversion of promissory notes, travel and other miscellaneous expenses.</w:t>
      </w:r>
    </w:p>
    <w:p>
      <w:pPr>
        <w:sectPr>
          <w:pgSz w:w="11900" w:h="16838" w:orient="portrait"/>
          <w:cols w:equalWidth="0" w:num="1">
            <w:col w:w="9019"/>
          </w:cols>
          <w:pgMar w:left="1440" w:top="94" w:right="1440" w:bottom="1440" w:gutter="0" w:footer="0" w:header="0"/>
        </w:sectPr>
      </w:pPr>
    </w:p>
    <w:bookmarkStart w:id="109" w:name="page110"/>
    <w:bookmarkEnd w:id="109"/>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-92075</wp:posOffset>
            </wp:positionV>
            <wp:extent cx="7160260"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659" w:firstLine="258"/>
        <w:spacing w:after="0" w:line="292" w:lineRule="auto"/>
        <w:rPr>
          <w:sz w:val="20"/>
          <w:szCs w:val="20"/>
          <w:color w:val="auto"/>
        </w:rPr>
      </w:pPr>
      <w:r>
        <w:rPr>
          <w:rFonts w:ascii="Times New Roman" w:cs="Times New Roman" w:eastAsia="Times New Roman" w:hAnsi="Times New Roman"/>
          <w:sz w:val="14"/>
          <w:szCs w:val="14"/>
          <w:color w:val="auto"/>
        </w:rPr>
        <w:t>The following table reconciles the reportable segment to amounts reflected in our consolidated financial statements.</w:t>
      </w:r>
    </w:p>
    <w:p>
      <w:pPr>
        <w:spacing w:after="0" w:line="173" w:lineRule="exact"/>
        <w:rPr>
          <w:sz w:val="20"/>
          <w:szCs w:val="20"/>
          <w:color w:val="auto"/>
        </w:rPr>
      </w:pPr>
    </w:p>
    <w:tbl>
      <w:tblPr>
        <w:tblLayout w:type="fixed"/>
        <w:tblInd w:w="1160" w:type="dxa"/>
        <w:tblCellMar>
          <w:top w:w="0" w:type="dxa"/>
          <w:left w:w="0" w:type="dxa"/>
          <w:bottom w:w="0" w:type="dxa"/>
          <w:right w:w="0" w:type="dxa"/>
        </w:tblCellMar>
      </w:tblPr>
      <w:tr>
        <w:trPr>
          <w:trHeight w:val="154"/>
        </w:trPr>
        <w:tc>
          <w:tcPr>
            <w:tcW w:w="3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13"/>
        </w:trPr>
        <w:tc>
          <w:tcPr>
            <w:tcW w:w="3760" w:type="dxa"/>
            <w:vAlign w:val="bottom"/>
          </w:tcPr>
          <w:p>
            <w:pPr>
              <w:spacing w:after="0"/>
              <w:rPr>
                <w:sz w:val="9"/>
                <w:szCs w:val="9"/>
                <w:color w:val="auto"/>
              </w:rPr>
            </w:pPr>
          </w:p>
        </w:tc>
        <w:tc>
          <w:tcPr>
            <w:tcW w:w="1020" w:type="dxa"/>
            <w:vAlign w:val="bottom"/>
            <w:gridSpan w:val="3"/>
          </w:tcPr>
          <w:p>
            <w:pPr>
              <w:jc w:val="center"/>
              <w:ind w:right="80"/>
              <w:spacing w:after="0" w:line="114" w:lineRule="exact"/>
              <w:rPr>
                <w:sz w:val="20"/>
                <w:szCs w:val="20"/>
                <w:color w:val="auto"/>
              </w:rPr>
            </w:pPr>
            <w:r>
              <w:rPr>
                <w:rFonts w:ascii="Times New Roman" w:cs="Times New Roman" w:eastAsia="Times New Roman" w:hAnsi="Times New Roman"/>
                <w:sz w:val="11"/>
                <w:szCs w:val="11"/>
                <w:b w:val="1"/>
                <w:bCs w:val="1"/>
                <w:color w:val="auto"/>
              </w:rPr>
              <w:t>October 2, 2024</w:t>
            </w: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20" w:type="dxa"/>
            <w:vAlign w:val="bottom"/>
          </w:tcPr>
          <w:p>
            <w:pPr>
              <w:spacing w:after="0"/>
              <w:rPr>
                <w:sz w:val="9"/>
                <w:szCs w:val="9"/>
                <w:color w:val="auto"/>
              </w:rPr>
            </w:pPr>
          </w:p>
        </w:tc>
        <w:tc>
          <w:tcPr>
            <w:tcW w:w="820" w:type="dxa"/>
            <w:vAlign w:val="bottom"/>
            <w:vMerge w:val="restart"/>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10"/>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200"/>
              <w:spacing w:after="0" w:line="110" w:lineRule="exact"/>
              <w:rPr>
                <w:sz w:val="20"/>
                <w:szCs w:val="20"/>
                <w:color w:val="auto"/>
              </w:rPr>
            </w:pPr>
            <w:r>
              <w:rPr>
                <w:rFonts w:ascii="Times New Roman" w:cs="Times New Roman" w:eastAsia="Times New Roman" w:hAnsi="Times New Roman"/>
                <w:sz w:val="11"/>
                <w:szCs w:val="11"/>
                <w:b w:val="1"/>
                <w:bCs w:val="1"/>
                <w:color w:val="auto"/>
              </w:rPr>
              <w:t>through</w:t>
            </w:r>
          </w:p>
        </w:tc>
        <w:tc>
          <w:tcPr>
            <w:tcW w:w="9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through October</w:t>
            </w:r>
          </w:p>
        </w:tc>
        <w:tc>
          <w:tcPr>
            <w:tcW w:w="120" w:type="dxa"/>
            <w:vAlign w:val="bottom"/>
          </w:tcPr>
          <w:p>
            <w:pPr>
              <w:spacing w:after="0"/>
              <w:rPr>
                <w:sz w:val="10"/>
                <w:szCs w:val="10"/>
                <w:color w:val="auto"/>
              </w:rPr>
            </w:pPr>
          </w:p>
        </w:tc>
        <w:tc>
          <w:tcPr>
            <w:tcW w:w="820" w:type="dxa"/>
            <w:vAlign w:val="bottom"/>
          </w:tcPr>
          <w:p>
            <w:pPr>
              <w:jc w:val="center"/>
              <w:ind w:right="50"/>
              <w:spacing w:after="0" w:line="11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3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1, 2024</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 xml:space="preserve">Elimination of management services provided to Technology </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7"/>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ConsolidatedRevenues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456</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1,117</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1,240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1"/>
        </w:trPr>
        <w:tc>
          <w:tcPr>
            <w:tcW w:w="3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ConsolidatedInterestExpense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1,330</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1,633</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1,367</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4"/>
                <w:szCs w:val="14"/>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7"/>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ConsolidatedInterestIncome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198</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 and Amortization Expense:</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5,455</w:t>
            </w:r>
          </w:p>
        </w:tc>
        <w:tc>
          <w:tcPr>
            <w:tcW w:w="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ConsolidatedDepreciationandAmortizationExpense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5,455</w:t>
            </w: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4"/>
                <w:szCs w:val="14"/>
                <w:color w:val="B4B4B4"/>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(8,758)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w:t>
            </w:r>
          </w:p>
        </w:tc>
        <w:tc>
          <w:tcPr>
            <w:tcW w:w="0" w:type="dxa"/>
            <w:vAlign w:val="bottom"/>
          </w:tcPr>
          <w:p>
            <w:pPr>
              <w:spacing w:after="0"/>
              <w:rPr>
                <w:sz w:val="1"/>
                <w:szCs w:val="1"/>
                <w:color w:val="auto"/>
              </w:rPr>
            </w:pPr>
          </w:p>
        </w:tc>
      </w:tr>
      <w:tr>
        <w:trPr>
          <w:trHeight w:val="198"/>
        </w:trPr>
        <w:tc>
          <w:tcPr>
            <w:tcW w:w="37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(61,335)</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0" w:type="dxa"/>
            <w:vAlign w:val="bottom"/>
          </w:tcPr>
          <w:p>
            <w:pPr>
              <w:spacing w:after="0"/>
              <w:rPr>
                <w:sz w:val="1"/>
                <w:szCs w:val="1"/>
                <w:color w:val="auto"/>
              </w:rPr>
            </w:pPr>
          </w:p>
        </w:tc>
      </w:tr>
      <w:tr>
        <w:trPr>
          <w:trHeight w:val="187"/>
        </w:trPr>
        <w:tc>
          <w:tcPr>
            <w:tcW w:w="3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ConsolidatedNetLoss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(70,093)</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(28,198)</w:t>
            </w: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4"/>
                <w:szCs w:val="14"/>
                <w:color w:val="B4B4B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4"/>
                <w:szCs w:val="14"/>
                <w:color w:val="B4B4B4"/>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B4B4B4"/>
              </w:rPr>
              <w:t>...........................................</w:t>
            </w:r>
            <w:r>
              <w:rPr>
                <w:rFonts w:ascii="Times New Roman" w:cs="Times New Roman" w:eastAsia="Times New Roman" w:hAnsi="Times New Roman"/>
                <w:sz w:val="14"/>
                <w:szCs w:val="14"/>
                <w:b w:val="1"/>
                <w:bCs w:val="1"/>
                <w:color w:val="000000"/>
              </w:rPr>
              <w:t>ConsolidatedCapitalExpenditures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266</w:t>
            </w: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160" w:right="1659" w:firstLine="258"/>
        <w:spacing w:after="0" w:line="292" w:lineRule="auto"/>
        <w:rPr>
          <w:sz w:val="20"/>
          <w:szCs w:val="20"/>
          <w:color w:val="auto"/>
        </w:rPr>
      </w:pPr>
      <w:r>
        <w:rPr>
          <w:rFonts w:ascii="Times New Roman" w:cs="Times New Roman" w:eastAsia="Times New Roman" w:hAnsi="Times New Roman"/>
          <w:sz w:val="14"/>
          <w:szCs w:val="14"/>
          <w:color w:val="auto"/>
        </w:rPr>
        <w:t>All long-lived assets are located entirely in the United States of America (USA). Segment assets are not reviewed by the CODM and therefore are not disclosed.</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Note 21. Subsequent Events</w:t>
      </w:r>
    </w:p>
    <w:p>
      <w:pPr>
        <w:spacing w:after="0" w:line="142" w:lineRule="exact"/>
        <w:rPr>
          <w:sz w:val="20"/>
          <w:szCs w:val="20"/>
          <w:color w:val="auto"/>
        </w:rPr>
      </w:pPr>
    </w:p>
    <w:p>
      <w:pPr>
        <w:ind w:left="1160" w:right="1179" w:firstLine="258"/>
        <w:spacing w:after="0" w:line="274" w:lineRule="auto"/>
        <w:rPr>
          <w:sz w:val="20"/>
          <w:szCs w:val="20"/>
          <w:color w:val="auto"/>
        </w:rPr>
      </w:pPr>
      <w:r>
        <w:rPr>
          <w:rFonts w:ascii="Times New Roman" w:cs="Times New Roman" w:eastAsia="Times New Roman" w:hAnsi="Times New Roman"/>
          <w:sz w:val="14"/>
          <w:szCs w:val="14"/>
          <w:color w:val="auto"/>
        </w:rPr>
        <w:t>In connection with the preparation of the consolidated financial statements and related disclosures for the period ended December 31, 2024, management has evaluated events through April 14, 2025, which is the date the consolidated financial statements were available to be issued. Events occurring after December 31, 2024 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99" w:firstLine="258"/>
        <w:spacing w:after="0" w:line="274" w:lineRule="auto"/>
        <w:rPr>
          <w:sz w:val="20"/>
          <w:szCs w:val="20"/>
          <w:color w:val="auto"/>
        </w:rPr>
      </w:pPr>
      <w:r>
        <w:rPr>
          <w:rFonts w:ascii="Times New Roman" w:cs="Times New Roman" w:eastAsia="Times New Roman" w:hAnsi="Times New Roman"/>
          <w:sz w:val="14"/>
          <w:szCs w:val="14"/>
          <w:color w:val="auto"/>
        </w:rPr>
        <w:t>The Company sold 422,999 of Accelsius Series A Units for aggregate proceeds of approximately $5,150. This amount will be reflected in non-controlling interests in the consolidated statements of changes in stockholders' equity (deficit) in future periods.</w:t>
      </w:r>
    </w:p>
    <w:p>
      <w:pPr>
        <w:spacing w:after="0" w:line="93" w:lineRule="exact"/>
        <w:rPr>
          <w:sz w:val="20"/>
          <w:szCs w:val="20"/>
          <w:color w:val="auto"/>
        </w:rPr>
      </w:pPr>
    </w:p>
    <w:p>
      <w:pPr>
        <w:ind w:left="1160" w:right="1279" w:firstLine="258"/>
        <w:spacing w:after="0" w:line="265" w:lineRule="auto"/>
        <w:rPr>
          <w:sz w:val="20"/>
          <w:szCs w:val="20"/>
          <w:color w:val="auto"/>
        </w:rPr>
      </w:pPr>
      <w:r>
        <w:rPr>
          <w:rFonts w:ascii="Times New Roman" w:cs="Times New Roman" w:eastAsia="Times New Roman" w:hAnsi="Times New Roman"/>
          <w:sz w:val="14"/>
          <w:szCs w:val="14"/>
          <w:color w:val="auto"/>
        </w:rPr>
        <w:t>As part of the term loan agreement with AeroFlexx, AeroFlexx did not raise equity financing up to the target amount by January 1, 2025 as discussed in Note 3. Investments. Therefore, on January 2, 2025, $7,250 of outstanding principal and accrued interest was subject to mandatory conversion. Using the price per unit of $6.83, the Company obtained 1,060,747 Class D preferred units through the mandatory conversion. Based on the increase of Class D preferred units, the Company’s updated ownership percentage in AeroFlexx is 38%.</w:t>
      </w:r>
    </w:p>
    <w:p>
      <w:pPr>
        <w:spacing w:after="0" w:line="99" w:lineRule="exact"/>
        <w:rPr>
          <w:sz w:val="20"/>
          <w:szCs w:val="20"/>
          <w:color w:val="auto"/>
        </w:rPr>
      </w:pPr>
    </w:p>
    <w:p>
      <w:pPr>
        <w:ind w:left="1160" w:right="1539" w:firstLine="258"/>
        <w:spacing w:after="0" w:line="292" w:lineRule="auto"/>
        <w:rPr>
          <w:sz w:val="20"/>
          <w:szCs w:val="20"/>
          <w:color w:val="auto"/>
        </w:rPr>
      </w:pPr>
      <w:r>
        <w:rPr>
          <w:rFonts w:ascii="Times New Roman" w:cs="Times New Roman" w:eastAsia="Times New Roman" w:hAnsi="Times New Roman"/>
          <w:sz w:val="14"/>
          <w:szCs w:val="14"/>
          <w:color w:val="auto"/>
        </w:rPr>
        <w:t>On January 7, 2025, the VWAP Completion Event, as discussed in Note 10. Earnout Shares, occurred and 344,828 Sponsor Earnout Shares vested and were no longer subject to contingencies.</w:t>
      </w:r>
    </w:p>
    <w:p>
      <w:pPr>
        <w:spacing w:after="0" w:line="81" w:lineRule="exact"/>
        <w:rPr>
          <w:sz w:val="20"/>
          <w:szCs w:val="20"/>
          <w:color w:val="auto"/>
        </w:rPr>
      </w:pPr>
    </w:p>
    <w:p>
      <w:pPr>
        <w:ind w:left="1160" w:right="1399" w:firstLine="258"/>
        <w:spacing w:after="0" w:line="265" w:lineRule="auto"/>
        <w:rPr>
          <w:sz w:val="20"/>
          <w:szCs w:val="20"/>
          <w:color w:val="auto"/>
        </w:rPr>
      </w:pPr>
      <w:r>
        <w:rPr>
          <w:rFonts w:ascii="Times New Roman" w:cs="Times New Roman" w:eastAsia="Times New Roman" w:hAnsi="Times New Roman"/>
          <w:sz w:val="14"/>
          <w:szCs w:val="14"/>
          <w:color w:val="auto"/>
        </w:rPr>
        <w:t>As part of the Company’s SEPA with Yorkville, on January 7, 2025, the Company sold 50,000 shares of Common Stock to Yorkville for aggregate proceeds of approximately $633. On January 22, 2025, the Company issued and sold 4,617 Common Shares for aggregate proceeds of approximately $57. On January 30, 2025, the Company issued and sold 19,376 Common Shares for aggregate proceeds of approximately $235. The remaining shares that could be sold to Yorkville are 4,209,314.</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Board determined that as of January 8, 2025, the creation of Refinity, a consolidated subsidiary of the</w:t>
      </w:r>
    </w:p>
    <w:p>
      <w:pPr>
        <w:sectPr>
          <w:pgSz w:w="11900" w:h="16917" w:orient="portrait"/>
          <w:cols w:equalWidth="0" w:num="1">
            <w:col w:w="9019"/>
          </w:cols>
          <w:pgMar w:left="1440" w:top="125" w:right="1440" w:bottom="0" w:gutter="0" w:footer="0" w:header="0"/>
        </w:sectPr>
      </w:pPr>
    </w:p>
    <w:bookmarkStart w:id="110" w:name="page111"/>
    <w:bookmarkEnd w:id="110"/>
    <w:p>
      <w:pPr>
        <w:ind w:left="1160" w:right="1299"/>
        <w:spacing w:after="0" w:line="29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0515600"/>
                    </a:xfrm>
                    <a:prstGeom prst="rect">
                      <a:avLst/>
                    </a:prstGeom>
                    <a:noFill/>
                  </pic:spPr>
                </pic:pic>
              </a:graphicData>
            </a:graphic>
          </wp:anchor>
        </w:drawing>
        <w:t>Company, satisfied the vesting condition applicable to Milestone 2 of the Company Earnout Shares. As such, 2,000,000 shares of common stock were issued on February 4, 2025 as a result of the satisfaction of the Milestone.</w:t>
      </w:r>
    </w:p>
    <w:p>
      <w:pPr>
        <w:spacing w:after="0" w:line="81" w:lineRule="exact"/>
        <w:rPr>
          <w:sz w:val="20"/>
          <w:szCs w:val="20"/>
          <w:color w:val="auto"/>
        </w:rPr>
      </w:pPr>
    </w:p>
    <w:p>
      <w:pPr>
        <w:ind w:left="1160" w:right="1359" w:firstLine="258"/>
        <w:spacing w:after="0" w:line="265" w:lineRule="auto"/>
        <w:rPr>
          <w:sz w:val="20"/>
          <w:szCs w:val="20"/>
          <w:color w:val="auto"/>
        </w:rPr>
      </w:pPr>
      <w:r>
        <w:rPr>
          <w:rFonts w:ascii="Times New Roman" w:cs="Times New Roman" w:eastAsia="Times New Roman" w:hAnsi="Times New Roman"/>
          <w:sz w:val="14"/>
          <w:szCs w:val="14"/>
          <w:color w:val="auto"/>
        </w:rPr>
        <w:t>On January 22, 2025, Refinity entered into a framework agreement with a third party for research services focusing on the further development and optimization of licensed technology, as well as the enhancement and improvement of plastic recycling through pyrolysis. As part of this agreement, Refinity has agreed to pay a minimum fee of €5,000 during the period beginning May 1, 2025, and ending April 30, 2027, with the stipulation that €2,000 be paid in the first 12-month period and €3,000 in the second 12-month period.</w:t>
      </w:r>
    </w:p>
    <w:p>
      <w:pPr>
        <w:spacing w:after="0" w:line="99" w:lineRule="exact"/>
        <w:rPr>
          <w:sz w:val="20"/>
          <w:szCs w:val="20"/>
          <w:color w:val="auto"/>
        </w:rPr>
      </w:pPr>
    </w:p>
    <w:p>
      <w:pPr>
        <w:ind w:left="1160" w:right="1179" w:firstLine="258"/>
        <w:spacing w:after="0" w:line="268" w:lineRule="auto"/>
        <w:rPr>
          <w:sz w:val="20"/>
          <w:szCs w:val="20"/>
          <w:color w:val="auto"/>
        </w:rPr>
      </w:pPr>
      <w:r>
        <w:rPr>
          <w:rFonts w:ascii="Times New Roman" w:cs="Times New Roman" w:eastAsia="Times New Roman" w:hAnsi="Times New Roman"/>
          <w:sz w:val="14"/>
          <w:szCs w:val="14"/>
          <w:color w:val="auto"/>
        </w:rPr>
        <w:t>On February 1, 2025, the Company entered into a consulting agreement with a third party for services in respect of public relations and investor communications. The agreement includes monthly compensation of 2,500 shares of the Company's common stock issued each month services are provided. The initial term of the agreement is for one year and may be terminated by either party upon seven days’ notice.</w:t>
      </w:r>
    </w:p>
    <w:p>
      <w:pPr>
        <w:spacing w:after="0" w:line="97" w:lineRule="exact"/>
        <w:rPr>
          <w:sz w:val="20"/>
          <w:szCs w:val="20"/>
          <w:color w:val="auto"/>
        </w:rPr>
      </w:pPr>
    </w:p>
    <w:p>
      <w:pPr>
        <w:ind w:left="1160" w:right="1399" w:firstLine="258"/>
        <w:spacing w:after="0" w:line="292" w:lineRule="auto"/>
        <w:rPr>
          <w:sz w:val="20"/>
          <w:szCs w:val="20"/>
          <w:color w:val="auto"/>
        </w:rPr>
      </w:pPr>
      <w:r>
        <w:rPr>
          <w:rFonts w:ascii="Times New Roman" w:cs="Times New Roman" w:eastAsia="Times New Roman" w:hAnsi="Times New Roman"/>
          <w:sz w:val="14"/>
          <w:szCs w:val="14"/>
          <w:color w:val="auto"/>
        </w:rPr>
        <w:t>On February 3, 2025, and February 27, 2025, two of the Company’s Series 1 Promissory Notes, discussed in Note 5. Borrowings, matured in an aggregate amount of $300 and were paid as they became due.</w:t>
      </w:r>
    </w:p>
    <w:p>
      <w:pPr>
        <w:spacing w:after="0" w:line="81" w:lineRule="exact"/>
        <w:rPr>
          <w:sz w:val="20"/>
          <w:szCs w:val="20"/>
          <w:color w:val="auto"/>
        </w:rPr>
      </w:pPr>
    </w:p>
    <w:p>
      <w:pPr>
        <w:ind w:left="1160" w:right="1759" w:firstLine="258"/>
        <w:spacing w:after="0" w:line="292" w:lineRule="auto"/>
        <w:rPr>
          <w:sz w:val="20"/>
          <w:szCs w:val="20"/>
          <w:color w:val="auto"/>
        </w:rPr>
      </w:pPr>
      <w:r>
        <w:rPr>
          <w:rFonts w:ascii="Times New Roman" w:cs="Times New Roman" w:eastAsia="Times New Roman" w:hAnsi="Times New Roman"/>
          <w:sz w:val="14"/>
          <w:szCs w:val="14"/>
          <w:color w:val="auto"/>
        </w:rPr>
        <w:t>On February 3, 2025, the Company issued 85,471 shares of Common Stock for financial advisory and investment banking services rendered.</w:t>
      </w:r>
    </w:p>
    <w:p>
      <w:pPr>
        <w:spacing w:after="0" w:line="81" w:lineRule="exact"/>
        <w:rPr>
          <w:sz w:val="20"/>
          <w:szCs w:val="20"/>
          <w:color w:val="auto"/>
        </w:rPr>
      </w:pPr>
    </w:p>
    <w:p>
      <w:pPr>
        <w:ind w:left="1160" w:right="1179" w:firstLine="258"/>
        <w:spacing w:after="0" w:line="261" w:lineRule="auto"/>
        <w:rPr>
          <w:sz w:val="20"/>
          <w:szCs w:val="20"/>
          <w:color w:val="auto"/>
        </w:rPr>
      </w:pPr>
      <w:r>
        <w:rPr>
          <w:rFonts w:ascii="Times New Roman" w:cs="Times New Roman" w:eastAsia="Times New Roman" w:hAnsi="Times New Roman"/>
          <w:sz w:val="14"/>
          <w:szCs w:val="14"/>
          <w:color w:val="auto"/>
        </w:rPr>
        <w:t>On February 26, 2025, the Company entered into two Nonqualified Stock Option Agreements, which granted 140,000 nonqualified option rights (the “Option”) to two individuals, pursuant to the terms of the Plan. According to the Nonqualified Stock Option Agreements, and subject to the terms and conditions of the Nonqualified Stock Option Agreements and the Plan, upon vesting of the Options, the holders will have the option to purchase Common Stock of the Company, at an exercise price of $8.84 per share (which is equal to the Fair Market Value of the stock on the grant date). The Options have a term of ten years and will vest and become exercisable with respect to 25% of the shares of Common Stock underlying the Option on February 26, 2026 and 75% of the shares of Common Stock underlying the Option in eight substantially equal installments on each three-month anniversary thereafter.</w:t>
      </w:r>
    </w:p>
    <w:p>
      <w:pPr>
        <w:spacing w:after="0" w:line="103" w:lineRule="exact"/>
        <w:rPr>
          <w:sz w:val="20"/>
          <w:szCs w:val="20"/>
          <w:color w:val="auto"/>
        </w:rPr>
      </w:pPr>
    </w:p>
    <w:p>
      <w:pPr>
        <w:ind w:left="1160" w:right="1239" w:firstLine="258"/>
        <w:spacing w:after="0" w:line="263" w:lineRule="auto"/>
        <w:rPr>
          <w:sz w:val="20"/>
          <w:szCs w:val="20"/>
          <w:color w:val="auto"/>
        </w:rPr>
      </w:pPr>
      <w:r>
        <w:rPr>
          <w:rFonts w:ascii="Times New Roman" w:cs="Times New Roman" w:eastAsia="Times New Roman" w:hAnsi="Times New Roman"/>
          <w:sz w:val="14"/>
          <w:szCs w:val="14"/>
          <w:color w:val="auto"/>
        </w:rPr>
        <w:t>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This action follows the terms outlined in the Certificate of Designation dated October 2, 2024, with a record date for the dividend set for March 5, 2025. Approved by the Board of Directors, this dividend payment is in accordance with the Investment Agreement dated September 27, 2024.</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83" w:lineRule="exact"/>
        <w:rPr>
          <w:sz w:val="20"/>
          <w:szCs w:val="20"/>
          <w:color w:val="auto"/>
        </w:rPr>
      </w:pPr>
    </w:p>
    <w:p>
      <w:pPr>
        <w:ind w:left="1160" w:right="1239" w:firstLine="258"/>
        <w:spacing w:after="0" w:line="268" w:lineRule="auto"/>
        <w:rPr>
          <w:sz w:val="20"/>
          <w:szCs w:val="20"/>
          <w:color w:val="auto"/>
        </w:rPr>
      </w:pPr>
      <w:r>
        <w:rPr>
          <w:rFonts w:ascii="Times New Roman" w:cs="Times New Roman" w:eastAsia="Times New Roman" w:hAnsi="Times New Roman"/>
          <w:sz w:val="14"/>
          <w:szCs w:val="14"/>
          <w:color w:val="auto"/>
        </w:rPr>
        <w:t>On March 20, 2025, the Company converted and repaid the $14,000 aggregate principal of Related party notes, as discussed in Note 5. Borrowings. The Company issued 1,732,554 of Series C Preferred Stock and paid $375 to the respective parties to settle the Related party notes. Additionally, the Company issued 578,294 of Series C Preferred Stock to settle outstanding debt for AeroFlexx.</w:t>
      </w:r>
    </w:p>
    <w:p>
      <w:pPr>
        <w:spacing w:after="0" w:line="97" w:lineRule="exact"/>
        <w:rPr>
          <w:sz w:val="20"/>
          <w:szCs w:val="20"/>
          <w:color w:val="auto"/>
        </w:rPr>
      </w:pPr>
    </w:p>
    <w:p>
      <w:pPr>
        <w:ind w:left="1160" w:right="1179" w:firstLine="258"/>
        <w:spacing w:after="0" w:line="260" w:lineRule="auto"/>
        <w:rPr>
          <w:sz w:val="20"/>
          <w:szCs w:val="20"/>
          <w:color w:val="auto"/>
        </w:rPr>
      </w:pPr>
      <w:r>
        <w:rPr>
          <w:rFonts w:ascii="Times New Roman" w:cs="Times New Roman" w:eastAsia="Times New Roman" w:hAnsi="Times New Roman"/>
          <w:sz w:val="14"/>
          <w:szCs w:val="14"/>
          <w:color w:val="auto"/>
        </w:rPr>
        <w:t>On March 24, 2025, the Company entered into the Series C Purchase Agreements with certain purchasers (the “Purchasers”), pursuant to which the Company agreed to issue and sell to the Purchasers an aggregate of up to 275,000 shares of Series C Preferred Stock in a private placement, at a price of $10.00 per share of Series C Preferred Stock, resulting in an aggregate purchase price of approximately $2,750 before deducting fees and other estimated offering expenses. These shares are issued with an 8.0% annual cumulative dividend, a mandatory conversion to Common Stock five years after issuance, and an optional conversion, at the election of the holder, at any time prior to the Maturity Date upon the effectiveness of a registration statement by the Company registering the underlying shares of Common Stock issuable upon conversion. In connection with the Series C Purchase Agreements, the Company received an aggregate amount of $1,500 in advanced funds. In consideration of these funds, the Company issued 150,000 shares of Series C Preferred Stock to the respective parties.</w:t>
      </w:r>
    </w:p>
    <w:p>
      <w:pPr>
        <w:spacing w:after="0" w:line="103" w:lineRule="exact"/>
        <w:rPr>
          <w:sz w:val="20"/>
          <w:szCs w:val="20"/>
          <w:color w:val="auto"/>
        </w:rPr>
      </w:pPr>
    </w:p>
    <w:p>
      <w:pPr>
        <w:ind w:left="1160" w:right="1639" w:firstLine="258"/>
        <w:spacing w:after="0" w:line="292" w:lineRule="auto"/>
        <w:rPr>
          <w:sz w:val="20"/>
          <w:szCs w:val="20"/>
          <w:color w:val="auto"/>
        </w:rPr>
      </w:pPr>
      <w:r>
        <w:rPr>
          <w:rFonts w:ascii="Times New Roman" w:cs="Times New Roman" w:eastAsia="Times New Roman" w:hAnsi="Times New Roman"/>
          <w:sz w:val="14"/>
          <w:szCs w:val="14"/>
          <w:color w:val="auto"/>
        </w:rPr>
        <w:t>On March 24, 2025, the Company issued an aggregate of 300,000 shares of Series C Preferred Stock for financial advisory and merchant banking services rendered.</w:t>
      </w:r>
    </w:p>
    <w:p>
      <w:pPr>
        <w:spacing w:after="0" w:line="81" w:lineRule="exact"/>
        <w:rPr>
          <w:sz w:val="20"/>
          <w:szCs w:val="20"/>
          <w:color w:val="auto"/>
        </w:rPr>
      </w:pPr>
    </w:p>
    <w:p>
      <w:pPr>
        <w:ind w:left="1160" w:right="1179" w:firstLine="258"/>
        <w:spacing w:after="0" w:line="258" w:lineRule="auto"/>
        <w:rPr>
          <w:sz w:val="20"/>
          <w:szCs w:val="20"/>
          <w:color w:val="auto"/>
        </w:rPr>
      </w:pPr>
      <w:r>
        <w:rPr>
          <w:rFonts w:ascii="Times New Roman" w:cs="Times New Roman" w:eastAsia="Times New Roman" w:hAnsi="Times New Roman"/>
          <w:sz w:val="14"/>
          <w:szCs w:val="14"/>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(as converted, the “Conversion Shares”). On the first business day after certain closing conditions are met, including the timely filing of the Company’s Annual Report on Form 10-K for the year ended December 31, 2024,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they will bear interest at an annual rate of 18%. They will mature 15 months after the First Closing Date and can be converted into shares of the Company’s Common Stock at a conversion price to be determined. These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w:t>
      </w:r>
    </w:p>
    <w:p>
      <w:pPr>
        <w:sectPr>
          <w:pgSz w:w="11900" w:h="16838" w:orient="portrait"/>
          <w:cols w:equalWidth="0" w:num="1">
            <w:col w:w="9019"/>
          </w:cols>
          <w:pgMar w:left="1440" w:top="157"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128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1285240"/>
                    </a:xfrm>
                    <a:prstGeom prst="rect">
                      <a:avLst/>
                    </a:prstGeom>
                    <a:noFill/>
                  </pic:spPr>
                </pic:pic>
              </a:graphicData>
            </a:graphic>
          </wp:anchor>
        </w:drawing>
        <w:t>F-53</w:t>
      </w:r>
    </w:p>
    <w:sectPr>
      <w:pgSz w:w="11900" w:h="16838" w:orient="portrait"/>
      <w:cols w:equalWidth="0" w:num="1">
        <w:col w:w="9019"/>
      </w:cols>
      <w:pgMar w:left="1440" w:top="13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lowerRoman"/>
      <w:start w:val="2"/>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lowerRoman"/>
      <w:start w:val="2"/>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lowerRoman"/>
      <w:start w:val="2"/>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2"/>
    </w:lvl>
  </w:abstractNum>
  <w:abstractNum w:abstractNumId="44">
    <w:nsid w:val="77AE35EB"/>
    <w:multiLevelType w:val="hybridMultilevel"/>
    <w:lvl w:ilvl="0">
      <w:lvlJc w:val="left"/>
      <w:lvlText w:val="(%1)"/>
      <w:numFmt w:val="decimal"/>
      <w:start w:val="4"/>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7"/>
    </w:lvl>
  </w:abstractNum>
  <w:abstractNum w:abstractNumId="48">
    <w:nsid w:val="2F305DEF"/>
    <w:multiLevelType w:val="hybridMultilevel"/>
    <w:lvl w:ilvl="0">
      <w:lvlJc w:val="left"/>
      <w:lvlText w:val="(%1)"/>
      <w:numFmt w:val="decimal"/>
      <w:start w:val="8"/>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6"/>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6"/>
    </w:lvl>
  </w:abstractNum>
  <w:abstractNum w:abstractNumId="69">
    <w:nsid w:val="51D9C564"/>
    <w:multiLevelType w:val="hybridMultilevel"/>
    <w:lvl w:ilvl="0">
      <w:lvlJc w:val="left"/>
      <w:lvlText w:val="(%1)"/>
      <w:numFmt w:val="decimal"/>
      <w:start w:val="7"/>
    </w:lvl>
  </w:abstractNum>
  <w:abstractNum w:abstractNumId="70">
    <w:nsid w:val="613EFDC5"/>
    <w:multiLevelType w:val="hybridMultilevel"/>
    <w:lvl w:ilvl="0">
      <w:lvlJc w:val="left"/>
      <w:lvlText w:val="(%1)"/>
      <w:numFmt w:val="lowerRoman"/>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2025-04-23T15:34:39Z</dcterms:created>
  <dcterms:modified xsi:type="dcterms:W3CDTF">2025-04-23T15:34:39Z</dcterms:modified>
</cp:coreProperties>
</file>