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11,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4"/>
          <w:szCs w:val="24"/>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April 11, 2025, Innventure, Inc. (the “Company”) issued a press release, attached hereto as Exhibit 99.1 and incorporated herein by reference, announcing the Company’s financial results for the fourth quarter and full year ended December 31, 2024, and certain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220"/>
          </w:cols>
          <w:pgMar w:left="320" w:top="1080" w:right="359" w:bottom="1440" w:gutter="0" w:footer="0" w:header="0"/>
        </w:sectPr>
      </w:pPr>
    </w:p>
    <w:p>
      <w:pPr>
        <w:spacing w:after="0" w:line="293" w:lineRule="exact"/>
        <w:rPr>
          <w:sz w:val="20"/>
          <w:szCs w:val="20"/>
          <w:color w:val="auto"/>
        </w:rPr>
      </w:pPr>
    </w:p>
    <w:p>
      <w:pPr>
        <w:jc w:val="center"/>
        <w:ind w:left="40"/>
        <w:spacing w:after="0" w:line="283" w:lineRule="auto"/>
        <w:rPr>
          <w:sz w:val="20"/>
          <w:szCs w:val="20"/>
          <w:color w:val="auto"/>
        </w:rPr>
      </w:pPr>
      <w:r>
        <w:rPr>
          <w:rFonts w:ascii="Times New Roman" w:cs="Times New Roman" w:eastAsia="Times New Roman" w:hAnsi="Times New Roman"/>
          <w:sz w:val="22"/>
          <w:szCs w:val="22"/>
          <w:b w:val="1"/>
          <w:bCs w:val="1"/>
          <w:color w:val="auto"/>
        </w:rPr>
        <w:t xml:space="preserve">Exhibit Number </w:t>
      </w:r>
      <w:r>
        <w:rPr>
          <w:rFonts w:ascii="Times New Roman" w:cs="Times New Roman" w:eastAsia="Times New Roman" w:hAnsi="Times New Roman"/>
          <w:sz w:val="19"/>
          <w:szCs w:val="19"/>
          <w:color w:val="auto"/>
        </w:rPr>
        <w:t>99.1</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b w:val="1"/>
          <w:bCs w:val="1"/>
          <w:color w:val="auto"/>
        </w:rPr>
        <w:t>Description of Exhibit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 Release by Innventure, Inc. dated April 11, 2025</w:t>
      </w:r>
    </w:p>
    <w:p>
      <w:pPr>
        <w:spacing w:after="0" w:line="43" w:lineRule="exact"/>
        <w:rPr>
          <w:sz w:val="20"/>
          <w:szCs w:val="20"/>
          <w:color w:val="auto"/>
        </w:rPr>
      </w:pPr>
    </w:p>
    <w:p>
      <w:pPr>
        <w:sectPr>
          <w:pgSz w:w="11900" w:h="16838" w:orient="portrait"/>
          <w:cols w:equalWidth="0" w:num="2">
            <w:col w:w="1540" w:space="40"/>
            <w:col w:w="9640"/>
          </w:cols>
          <w:pgMar w:left="320" w:top="1080" w:right="359" w:bottom="1440" w:gutter="0" w:footer="0" w:header="0"/>
          <w:type w:val="continuous"/>
        </w:sectPr>
      </w:pPr>
    </w:p>
    <w:p>
      <w:pPr>
        <w:ind w:left="1580" w:hanging="944"/>
        <w:spacing w:after="0"/>
        <w:tabs>
          <w:tab w:leader="none" w:pos="158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Cover Page Interactive Data File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11, 2025</w:t>
            </w:r>
          </w:p>
        </w:tc>
        <w:tc>
          <w:tcPr>
            <w:tcW w:w="30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720" w:type="dxa"/>
            <w:vAlign w:val="bottom"/>
          </w:tcPr>
          <w:p>
            <w:pPr>
              <w:spacing w:after="0"/>
              <w:rPr>
                <w:sz w:val="3"/>
                <w:szCs w:val="3"/>
                <w:color w:val="auto"/>
              </w:rPr>
            </w:pPr>
          </w:p>
        </w:tc>
        <w:tc>
          <w:tcPr>
            <w:tcW w:w="3020" w:type="dxa"/>
            <w:vAlign w:val="bottom"/>
            <w:vMerge w:val="restart"/>
          </w:tcPr>
          <w:p>
            <w:pPr>
              <w:ind w:left="226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302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720" w:type="dxa"/>
            <w:vAlign w:val="bottom"/>
          </w:tcPr>
          <w:p>
            <w:pPr>
              <w:spacing w:after="0"/>
              <w:rPr>
                <w:sz w:val="24"/>
                <w:szCs w:val="24"/>
                <w:color w:val="auto"/>
              </w:rPr>
            </w:pPr>
          </w:p>
        </w:tc>
        <w:tc>
          <w:tcPr>
            <w:tcW w:w="30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3" w:name="page4"/>
    <w:bookmarkEnd w:id="3"/>
    <w:p>
      <w:pPr>
        <w:jc w:val="center"/>
        <w:ind w:right="-39"/>
        <w:spacing w:after="0"/>
        <w:rPr>
          <w:sz w:val="20"/>
          <w:szCs w:val="20"/>
          <w:color w:val="auto"/>
        </w:rPr>
      </w:pPr>
      <w:r>
        <w:rPr>
          <w:rFonts w:ascii="Calibri" w:cs="Calibri" w:eastAsia="Calibri" w:hAnsi="Calibri"/>
          <w:sz w:val="25"/>
          <w:szCs w:val="25"/>
          <w:b w:val="1"/>
          <w:bCs w:val="1"/>
          <w:color w:val="auto"/>
        </w:rPr>
        <w:t>Innventure Reports Fourth Quarter and Full Year 2024 Results</w:t>
      </w:r>
    </w:p>
    <w:p>
      <w:pPr>
        <w:spacing w:after="0" w:line="241"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i w:val="1"/>
          <w:iCs w:val="1"/>
          <w:color w:val="auto"/>
        </w:rPr>
        <w:t>Accelsius and AeroFlexx started generatng revenue with expectatons to grow in 2025</w:t>
      </w:r>
    </w:p>
    <w:p>
      <w:pPr>
        <w:spacing w:after="0" w:line="211" w:lineRule="exact"/>
        <w:rPr>
          <w:sz w:val="20"/>
          <w:szCs w:val="20"/>
          <w:color w:val="auto"/>
        </w:rPr>
      </w:pPr>
    </w:p>
    <w:p>
      <w:pPr>
        <w:jc w:val="center"/>
        <w:ind w:left="380" w:right="200"/>
        <w:spacing w:after="0" w:line="221" w:lineRule="auto"/>
        <w:rPr>
          <w:sz w:val="20"/>
          <w:szCs w:val="20"/>
          <w:color w:val="auto"/>
        </w:rPr>
      </w:pPr>
      <w:r>
        <w:rPr>
          <w:rFonts w:ascii="Calibri" w:cs="Calibri" w:eastAsia="Calibri" w:hAnsi="Calibri"/>
          <w:sz w:val="20"/>
          <w:szCs w:val="20"/>
          <w:i w:val="1"/>
          <w:iCs w:val="1"/>
          <w:color w:val="auto"/>
        </w:rPr>
        <w:t>Founded fourth company, Refnity, to commercialize cost-efectve conversion of mixed plastc wastes to petrochemical feedstocks in collaboraton with The Dow Chemical Company</w:t>
      </w:r>
    </w:p>
    <w:p>
      <w:pPr>
        <w:spacing w:after="0" w:line="225" w:lineRule="exact"/>
        <w:rPr>
          <w:sz w:val="20"/>
          <w:szCs w:val="20"/>
          <w:color w:val="auto"/>
        </w:rPr>
      </w:pPr>
    </w:p>
    <w:p>
      <w:pPr>
        <w:ind w:right="660"/>
        <w:spacing w:after="0" w:line="214" w:lineRule="auto"/>
        <w:rPr>
          <w:sz w:val="20"/>
          <w:szCs w:val="20"/>
          <w:color w:val="auto"/>
        </w:rPr>
      </w:pPr>
      <w:r>
        <w:rPr>
          <w:rFonts w:ascii="Calibri" w:cs="Calibri" w:eastAsia="Calibri" w:hAnsi="Calibri"/>
          <w:sz w:val="20"/>
          <w:szCs w:val="20"/>
          <w:color w:val="auto"/>
        </w:rPr>
        <w:t>ORLANDO, Fla. (April 11, 2025) – Innventure, Inc. (NASDAQ: INV) (“Innventure”), a technology commercializaton platorm, today announced fnancial results for the quarter and year ended December 31, 2024.</w:t>
      </w:r>
    </w:p>
    <w:p>
      <w:pPr>
        <w:spacing w:after="0" w:line="240" w:lineRule="exact"/>
        <w:rPr>
          <w:sz w:val="20"/>
          <w:szCs w:val="20"/>
          <w:color w:val="auto"/>
        </w:rPr>
      </w:pPr>
    </w:p>
    <w:p>
      <w:pPr>
        <w:ind w:right="200"/>
        <w:spacing w:after="0" w:line="233" w:lineRule="auto"/>
        <w:rPr>
          <w:sz w:val="20"/>
          <w:szCs w:val="20"/>
          <w:color w:val="auto"/>
        </w:rPr>
      </w:pPr>
      <w:r>
        <w:rPr>
          <w:rFonts w:ascii="Calibri" w:cs="Calibri" w:eastAsia="Calibri" w:hAnsi="Calibri"/>
          <w:sz w:val="20"/>
          <w:szCs w:val="20"/>
          <w:color w:val="auto"/>
        </w:rPr>
        <w:t>“2024 was a seminal year for Innventure, highlighted by commercial delivery of product for both Accelsius and AeroFlexx, the October close of our business combinaton and subsequent public listng, and the launch of our fourth operatng company, Refnity, in mid-December.” said Bill Haskell, Innventure’s Chief Executve Ofcer. “Momentum has contnued into 2025 and we expect even more excitng developments throughout the year as we contnue our journey as a publicly traded technology commercializaton platorm.”</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Conference Call and Webcast</w:t>
      </w:r>
    </w:p>
    <w:p>
      <w:pPr>
        <w:spacing w:after="0" w:line="238" w:lineRule="exact"/>
        <w:rPr>
          <w:sz w:val="20"/>
          <w:szCs w:val="20"/>
          <w:color w:val="auto"/>
        </w:rPr>
      </w:pPr>
    </w:p>
    <w:p>
      <w:pPr>
        <w:ind w:right="260"/>
        <w:spacing w:after="0" w:line="221" w:lineRule="auto"/>
        <w:rPr>
          <w:sz w:val="20"/>
          <w:szCs w:val="20"/>
          <w:color w:val="auto"/>
        </w:rPr>
      </w:pPr>
      <w:r>
        <w:rPr>
          <w:rFonts w:ascii="Calibri" w:cs="Calibri" w:eastAsia="Calibri" w:hAnsi="Calibri"/>
          <w:sz w:val="20"/>
          <w:szCs w:val="20"/>
          <w:color w:val="auto"/>
        </w:rPr>
        <w:t>A conference call to discuss these results has been scheduled for 11:00 a.m. ET on April 11, 2025. The event will be webcasted live via Innventure’s investor relatons website htps://ir.innventure.com/ or via this link.</w:t>
      </w:r>
    </w:p>
    <w:p>
      <w:pPr>
        <w:spacing w:after="0" w:line="239" w:lineRule="exact"/>
        <w:rPr>
          <w:sz w:val="20"/>
          <w:szCs w:val="20"/>
          <w:color w:val="auto"/>
        </w:rPr>
      </w:pPr>
    </w:p>
    <w:p>
      <w:pPr>
        <w:ind w:right="2840"/>
        <w:spacing w:after="0" w:line="221" w:lineRule="auto"/>
        <w:rPr>
          <w:sz w:val="20"/>
          <w:szCs w:val="20"/>
          <w:color w:val="auto"/>
        </w:rPr>
      </w:pPr>
      <w:r>
        <w:rPr>
          <w:rFonts w:ascii="Calibri" w:cs="Calibri" w:eastAsia="Calibri" w:hAnsi="Calibri"/>
          <w:sz w:val="20"/>
          <w:szCs w:val="20"/>
          <w:color w:val="auto"/>
        </w:rPr>
        <w:t>Partes interested in joining via teleconference can register using this link: htps://register-conf.media-server.com/register/BIf41bc3411b8f4b8c935d6895015728c1</w:t>
      </w:r>
    </w:p>
    <w:p>
      <w:pPr>
        <w:spacing w:after="0" w:line="239" w:lineRule="exact"/>
        <w:rPr>
          <w:sz w:val="20"/>
          <w:szCs w:val="20"/>
          <w:color w:val="auto"/>
        </w:rPr>
      </w:pPr>
    </w:p>
    <w:p>
      <w:pPr>
        <w:ind w:right="40"/>
        <w:spacing w:after="0" w:line="221" w:lineRule="auto"/>
        <w:rPr>
          <w:sz w:val="20"/>
          <w:szCs w:val="20"/>
          <w:color w:val="auto"/>
        </w:rPr>
      </w:pPr>
      <w:r>
        <w:rPr>
          <w:rFonts w:ascii="Calibri" w:cs="Calibri" w:eastAsia="Calibri" w:hAnsi="Calibri"/>
          <w:sz w:val="20"/>
          <w:szCs w:val="20"/>
          <w:color w:val="auto"/>
        </w:rPr>
        <w:t>Afer registering, you will be provided dial in details and a unique dial-in PIN. Registraton is open through the live call, but to ensure you are connected for the full call, we suggest registering in advance.</w:t>
      </w:r>
    </w:p>
    <w:p>
      <w:pPr>
        <w:spacing w:after="0" w:line="239" w:lineRule="exact"/>
        <w:rPr>
          <w:sz w:val="20"/>
          <w:szCs w:val="20"/>
          <w:color w:val="auto"/>
        </w:rPr>
      </w:pPr>
    </w:p>
    <w:p>
      <w:pPr>
        <w:ind w:right="1880"/>
        <w:spacing w:after="0" w:line="221" w:lineRule="auto"/>
        <w:rPr>
          <w:sz w:val="20"/>
          <w:szCs w:val="20"/>
          <w:color w:val="auto"/>
        </w:rPr>
      </w:pPr>
      <w:r>
        <w:rPr>
          <w:rFonts w:ascii="Calibri" w:cs="Calibri" w:eastAsia="Calibri" w:hAnsi="Calibri"/>
          <w:sz w:val="20"/>
          <w:szCs w:val="20"/>
          <w:color w:val="auto"/>
        </w:rPr>
        <w:t xml:space="preserve">Innventure will also post a slide presentaton to accompany the prepared remarks to its investor relatons website </w:t>
      </w:r>
      <w:r>
        <w:rPr>
          <w:rFonts w:ascii="Calibri" w:cs="Calibri" w:eastAsia="Calibri" w:hAnsi="Calibri"/>
          <w:sz w:val="20"/>
          <w:szCs w:val="20"/>
          <w:b w:val="1"/>
          <w:bCs w:val="1"/>
          <w:color w:val="467886"/>
        </w:rPr>
        <w:t xml:space="preserve">htps://ir.innventure.com/ </w:t>
      </w:r>
      <w:r>
        <w:rPr>
          <w:rFonts w:ascii="Calibri" w:cs="Calibri" w:eastAsia="Calibri" w:hAnsi="Calibri"/>
          <w:sz w:val="20"/>
          <w:szCs w:val="20"/>
          <w:color w:val="000000"/>
        </w:rPr>
        <w:t>shortly before the of the start of the event.</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Innventure</w:t>
      </w:r>
    </w:p>
    <w:p>
      <w:pPr>
        <w:spacing w:after="0" w:line="238" w:lineRule="exact"/>
        <w:rPr>
          <w:sz w:val="20"/>
          <w:szCs w:val="20"/>
          <w:color w:val="auto"/>
        </w:rPr>
      </w:pPr>
    </w:p>
    <w:p>
      <w:pPr>
        <w:spacing w:after="0" w:line="218" w:lineRule="auto"/>
        <w:rPr>
          <w:sz w:val="20"/>
          <w:szCs w:val="20"/>
          <w:color w:val="auto"/>
        </w:rPr>
      </w:pPr>
      <w:r>
        <w:rPr>
          <w:rFonts w:ascii="Calibri" w:cs="Calibri" w:eastAsia="Calibri" w:hAnsi="Calibri"/>
          <w:sz w:val="20"/>
          <w:szCs w:val="20"/>
          <w:color w:val="auto"/>
        </w:rPr>
        <w:t>Innventure founds, funds, and operates companies with a focus on transformatve, sustainable technology solutons acquired or licensed from multnatonal corporatons. As owner-operators, Innventure takes what it believes to be breakthrough technologies from early evaluaton to scaled commercializaton utlizing an approach designed to help mitgate risk as it builds disruptve companies it believes have the potental to achieve a target enterprise value of at least $1 billion. Innventure defnes ‘‘disruptve’’ as innovatons that have the ability to signifcantly change the way businesses, industries, markets and/or consumers operate.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Non-GAAP Financial Measures</w:t>
      </w:r>
    </w:p>
    <w:p>
      <w:pPr>
        <w:spacing w:after="0" w:line="225" w:lineRule="exact"/>
        <w:rPr>
          <w:sz w:val="20"/>
          <w:szCs w:val="20"/>
          <w:color w:val="auto"/>
        </w:rPr>
      </w:pPr>
    </w:p>
    <w:p>
      <w:pPr>
        <w:spacing w:after="0" w:line="221" w:lineRule="auto"/>
        <w:rPr>
          <w:sz w:val="20"/>
          <w:szCs w:val="20"/>
          <w:color w:val="auto"/>
        </w:rPr>
      </w:pPr>
      <w:r>
        <w:rPr>
          <w:rFonts w:ascii="Calibri" w:cs="Calibri" w:eastAsia="Calibri" w:hAnsi="Calibri"/>
          <w:sz w:val="20"/>
          <w:szCs w:val="20"/>
          <w:color w:val="auto"/>
        </w:rPr>
        <w:t>We use certain fnancial measures that are not calculated in accordance with generally accepted accountng principles in the U.S. (GAAP) to supplement our consolidated fnancial statements. These non-GAAP fnancial measures provide additonal informaton to investors to facilitate comparisons of past and present operatng results, identfy trends in our underlying operatng performance, and ofer greater transparency on how we evaluate our business actvites. These measures are integral to our processes for budgetng, managing operatons, making strategic decisions, and evaluatng our performance.</w:t>
      </w:r>
    </w:p>
    <w:p>
      <w:pPr>
        <w:spacing w:after="0" w:line="226" w:lineRule="exact"/>
        <w:rPr>
          <w:sz w:val="20"/>
          <w:szCs w:val="20"/>
          <w:color w:val="auto"/>
        </w:rPr>
      </w:pPr>
    </w:p>
    <w:p>
      <w:pPr>
        <w:spacing w:after="0" w:line="221" w:lineRule="auto"/>
        <w:rPr>
          <w:sz w:val="20"/>
          <w:szCs w:val="20"/>
          <w:color w:val="auto"/>
        </w:rPr>
      </w:pPr>
      <w:r>
        <w:rPr>
          <w:rFonts w:ascii="Calibri" w:cs="Calibri" w:eastAsia="Calibri" w:hAnsi="Calibri"/>
          <w:sz w:val="20"/>
          <w:szCs w:val="20"/>
          <w:color w:val="auto"/>
        </w:rPr>
        <w:t>Our primary non-GAAP fnancial measures are EBITDA and Adjusted EBITDA. We defne EBITDA as net income before interest, income taxes, and depreciaton and amortzaton. Adjusted EBITDA is defned as EBITDA further adjusted to exclude certain non-cash items, non-recurring expenses, and other items that are not indicatve of our core operatng actvites. These may include stock-based compensaton, acquisiton costs, and other fnancial items. We believe Adjusted EBITDA is valuable for investors and analysts as it provides additonal insight into our operatonal performance, excluding the impacts of certain fnancing, investng, and other non-operatonal actvites. This measure helps in comparing our</w:t>
      </w:r>
    </w:p>
    <w:p>
      <w:pPr>
        <w:sectPr>
          <w:pgSz w:w="11900" w:h="16838" w:orient="portrait"/>
          <w:cols w:equalWidth="0" w:num="1">
            <w:col w:w="11200"/>
          </w:cols>
          <w:pgMar w:left="320" w:top="1003" w:right="379" w:bottom="1440" w:gutter="0" w:footer="0" w:header="0"/>
        </w:sectPr>
      </w:pPr>
    </w:p>
    <w:bookmarkStart w:id="4" w:name="page5"/>
    <w:bookmarkEnd w:id="4"/>
    <w:p>
      <w:pPr>
        <w:jc w:val="both"/>
        <w:ind w:right="220"/>
        <w:spacing w:after="0" w:line="222" w:lineRule="auto"/>
        <w:rPr>
          <w:sz w:val="20"/>
          <w:szCs w:val="20"/>
          <w:color w:val="auto"/>
        </w:rPr>
      </w:pPr>
      <w:r>
        <w:rPr>
          <w:rFonts w:ascii="Calibri" w:cs="Calibri" w:eastAsia="Calibri" w:hAnsi="Calibri"/>
          <w:sz w:val="20"/>
          <w:szCs w:val="20"/>
          <w:color w:val="auto"/>
        </w:rPr>
        <w:t>current operatng results with prior periods and with those of other companies in our industry. It is also used internally for allocatng resources efciently, assessing the economic outcomes of acquisitons and strategic decisions, and evaluatng the performance of our management team.</w:t>
      </w:r>
    </w:p>
    <w:p>
      <w:pPr>
        <w:spacing w:after="0" w:line="227" w:lineRule="exact"/>
        <w:rPr>
          <w:sz w:val="20"/>
          <w:szCs w:val="20"/>
          <w:color w:val="auto"/>
        </w:rPr>
      </w:pPr>
    </w:p>
    <w:p>
      <w:pPr>
        <w:ind w:right="60"/>
        <w:spacing w:after="0" w:line="221" w:lineRule="auto"/>
        <w:rPr>
          <w:sz w:val="20"/>
          <w:szCs w:val="20"/>
          <w:color w:val="auto"/>
        </w:rPr>
      </w:pPr>
      <w:r>
        <w:rPr>
          <w:rFonts w:ascii="Calibri" w:cs="Calibri" w:eastAsia="Calibri" w:hAnsi="Calibri"/>
          <w:sz w:val="20"/>
          <w:szCs w:val="20"/>
          <w:color w:val="auto"/>
        </w:rPr>
        <w:t>There are limitatons to Adjusted EBITDA, including its exclusion of cash expenditures, future requirements for capital expenditures and contractual commitments, and changes in or cash requirements for working capital needs. Adjusted EBITDA also omits signifcant interest expenses and related cash requirements for interest and payments. While depreciaton and amortzaton are non-cash charges, the associated assets will ofen need to be replaced in the future, and Adjusted EBITDA does not refect the cash required for such replacements. Additonally, Adjusted EBITDA does not account for income or other taxes or necessary cash tax payments.</w:t>
      </w:r>
    </w:p>
    <w:p>
      <w:pPr>
        <w:spacing w:after="0" w:line="239" w:lineRule="exact"/>
        <w:rPr>
          <w:sz w:val="20"/>
          <w:szCs w:val="20"/>
          <w:color w:val="auto"/>
        </w:rPr>
      </w:pPr>
    </w:p>
    <w:p>
      <w:pPr>
        <w:ind w:right="320"/>
        <w:spacing w:after="0" w:line="221" w:lineRule="auto"/>
        <w:rPr>
          <w:sz w:val="20"/>
          <w:szCs w:val="20"/>
          <w:color w:val="auto"/>
        </w:rPr>
      </w:pPr>
      <w:r>
        <w:rPr>
          <w:rFonts w:ascii="Calibri" w:cs="Calibri" w:eastAsia="Calibri" w:hAnsi="Calibri"/>
          <w:sz w:val="20"/>
          <w:szCs w:val="20"/>
          <w:color w:val="auto"/>
        </w:rPr>
        <w:t>Investors should use cauton when comparing our non-GAAP measure to similar metrics used by other companies, as defnitons can vary. Adjusted EBITDA should not be considered in isolaton or as a substtute for GAAP fnancial measures.</w:t>
      </w:r>
    </w:p>
    <w:p>
      <w:pPr>
        <w:spacing w:after="0" w:line="225" w:lineRule="exact"/>
        <w:rPr>
          <w:sz w:val="20"/>
          <w:szCs w:val="20"/>
          <w:color w:val="auto"/>
        </w:rPr>
      </w:pPr>
    </w:p>
    <w:p>
      <w:pPr>
        <w:jc w:val="both"/>
        <w:ind w:right="260"/>
        <w:spacing w:after="0" w:line="222" w:lineRule="auto"/>
        <w:rPr>
          <w:sz w:val="20"/>
          <w:szCs w:val="20"/>
          <w:color w:val="auto"/>
        </w:rPr>
      </w:pPr>
      <w:r>
        <w:rPr>
          <w:rFonts w:ascii="Calibri" w:cs="Calibri" w:eastAsia="Calibri" w:hAnsi="Calibri"/>
          <w:sz w:val="20"/>
          <w:szCs w:val="20"/>
          <w:color w:val="auto"/>
        </w:rPr>
        <w:t>In presentng Adjusted EBITDA, we aim to provide investors with an additonal tool for assessing the operatonal performance of our business. It serves as a useful complement to our GAAP results, ofering a more comprehensive understanding of our fnancial health and operatonal efciencies.</w:t>
      </w: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Cautonary Statement Regarding Forward-Looking Statements</w:t>
      </w:r>
    </w:p>
    <w:p>
      <w:pPr>
        <w:spacing w:after="0" w:line="225" w:lineRule="exact"/>
        <w:rPr>
          <w:sz w:val="20"/>
          <w:szCs w:val="20"/>
          <w:color w:val="auto"/>
        </w:rPr>
      </w:pPr>
    </w:p>
    <w:p>
      <w:pPr>
        <w:ind w:right="20"/>
        <w:spacing w:after="0" w:line="219" w:lineRule="auto"/>
        <w:rPr>
          <w:sz w:val="20"/>
          <w:szCs w:val="20"/>
          <w:color w:val="auto"/>
        </w:rPr>
      </w:pPr>
      <w:r>
        <w:rPr>
          <w:rFonts w:ascii="Calibri" w:cs="Calibri" w:eastAsia="Calibri" w:hAnsi="Calibri"/>
          <w:sz w:val="20"/>
          <w:szCs w:val="20"/>
          <w:color w:val="auto"/>
        </w:rPr>
        <w:t>Certain statements in this press release are "forward-looking statements" within the meaning of the federal securites laws, including Secton 27A of the Securites Act of 1933, as amended, and Secton 21E of the Securites Exchange Act of 1934, as amended. Forward-looking statements generally relate to future events or Innventure’s (the “Company’s”) future fnancial or operatng performance, expectatons regarding new contractual arrangements, antcipated product line expansions and product testng and market acceptance, and these statements may refer to projectons and forecasts. Forward-looking statements are ofen identfed by future or conditonal words such as “plan,” “believe,” “expect,” “antcipate,” “intend,” “outlook,” “estmate,” “forecast,” “project,” “contnue,” “could,” “may,” “might,” “possible,” “will,” “potental,” “predict,” “should,” “would” and other similar words and expressions (or the negatve versions of such words or expressions), but the absence of these words does not mean that a statement is not forward-looking.</w:t>
      </w:r>
    </w:p>
    <w:p>
      <w:pPr>
        <w:spacing w:after="0" w:line="229" w:lineRule="exact"/>
        <w:rPr>
          <w:sz w:val="20"/>
          <w:szCs w:val="20"/>
          <w:color w:val="auto"/>
        </w:rPr>
      </w:pPr>
    </w:p>
    <w:p>
      <w:pPr>
        <w:spacing w:after="0" w:line="228" w:lineRule="auto"/>
        <w:rPr>
          <w:sz w:val="20"/>
          <w:szCs w:val="20"/>
          <w:color w:val="auto"/>
        </w:rPr>
      </w:pPr>
      <w:r>
        <w:rPr>
          <w:rFonts w:ascii="Calibri" w:cs="Calibri" w:eastAsia="Calibri" w:hAnsi="Calibri"/>
          <w:sz w:val="20"/>
          <w:szCs w:val="20"/>
          <w:color w:val="auto"/>
        </w:rPr>
        <w:t>The forward-looking statements are based on the current assumptons and expectatons of future events that are inherently subject to uncertaintes and changes in circumstances and their potental efects and speak only as of the date of this press release. There can be no assurance that future developments will be those that have been antcipated. These forward-looking statements involve a number of risks, uncertaintes (some of which are beyond the control of the partes) or other assumptons that may cause actual results or performance to be materially diferent from those expressed or implied by these forward-looking statements. These risks and uncertaintes include, but are not limited to, those factors described in the Company’s public flings made with the Securites and Exchange Commission and the following: (a) the Company’s and its subsidiaries’ ability to execute on strategies and achieve future fnancial performance, including their respectve future business plans, expansion and acquisiton plans or objectves, prospectve performance and opportunites and compettors, revenues, products and services, pricing, operatng expenses, market trends, liquidity, cash fows and uses of cash, capital expenditures, and the Company’s and its subsidiaries’ ability to invest in growth initatves; (b) the implementaton, market acceptance and success of the Company’s and its subsidiaries’ business models and growth strategies; (c) the Company’s and its subsidiaries’ future capital requirements and sources and uses of cash; (d) the Company’s access to funds under the Standby Equity Purchase Agreement with YA II PN, Ltd. (“YA”) or the Securites Purchase Agreement and related convertble debentures with YA due to certain conditons, restrictons and limitatons set forth therein; (e) certain restrictons and limitatons set forth in the Company’s debt instruments, which may impair the Company’s fnancial and operatng fexibility; (f) the Company and its subsidiaries ability to generate liquidity and maintain sufcient capital to operate as antcipated; (g) the Company’s and its subsidiaries’ ability to obtain funding for their operatons and future growth and to contnue as going concerns; (h) the risk that the technology solutons that the Company and its subsidiaries license or acquire from third partes or develop internally may not functon as antcipated or provide the benefts antcipated; (i) developments and projectons relatng to the Company’s and its subsidiaries’ compettors and industry; (j) the ability of the Company and its subsidiaries to scale the operatons of their businesses; (k) the ability of the Company and its subsidiaries to establish substantal commercial sales of their products; (l) the ability of the Company and its subsidiaries to compete against companies with greater capital and other resources or superior technology or products; (m) the Company and its subsidiaries’ ability to meet, and to contnue to meet, applicable regulatory requirements for the use of their respectve products and the numerous regulatory requirements generally</w:t>
      </w:r>
    </w:p>
    <w:p>
      <w:pPr>
        <w:sectPr>
          <w:pgSz w:w="11900" w:h="16838" w:orient="portrait"/>
          <w:cols w:equalWidth="0" w:num="1">
            <w:col w:w="11160"/>
          </w:cols>
          <w:pgMar w:left="320" w:top="1006" w:right="419" w:bottom="1440" w:gutter="0" w:footer="0" w:header="0"/>
        </w:sectPr>
      </w:pPr>
    </w:p>
    <w:bookmarkStart w:id="5" w:name="page6"/>
    <w:bookmarkEnd w:id="5"/>
    <w:p>
      <w:pPr>
        <w:spacing w:after="0" w:line="218" w:lineRule="auto"/>
        <w:rPr>
          <w:sz w:val="20"/>
          <w:szCs w:val="20"/>
          <w:color w:val="auto"/>
        </w:rPr>
      </w:pPr>
      <w:r>
        <w:rPr>
          <w:rFonts w:ascii="Calibri" w:cs="Calibri" w:eastAsia="Calibri" w:hAnsi="Calibri"/>
          <w:sz w:val="20"/>
          <w:szCs w:val="20"/>
          <w:color w:val="auto"/>
        </w:rPr>
        <w:t>applicable to their businesses; (m) the outcome of any legal proceedings against the Company or its subsidiaries; (o) the Company’s ability to fnd future opportunites to license or acquire breakthrough technology solutons from multnatonal corporatons or other third partes (“Technology Solutons Provider”) and to satsfy the requirements imposed by or to avoid disagreements with its current and future Technology Solutons Providers; (p) the risk that the launch of new companies distracts the Company’s management from its other subsidiaries and their operatons; (q) the risk that the Company may be deemed an investment company under the Investment Company Act, which would impose burdensome compliance requirements and restrictons on its actvites; (r) the ability of the Company and its subsidiaries to sufciently protect their intellectual property rights and to avoid or resolve in a tmely and cost-efectve manner any disputes that may arise relatng to its use of the intellectual property of third partes; (s) the risk of a cyber-atack or a failure of the Company’s or its subsidiaries’ informaton technology and data security infrastructure; (t) geopolitcal risk and changes in applicable laws or regulatons; (u) potental adverse efects of other economic, business, and/or compettve factors; (v) operatonal risks related to the Company and its subsidiaries that have limited or no operatng history; and (w) limited liquidity and trading of the Company’s securites.</w:t>
      </w:r>
    </w:p>
    <w:p>
      <w:pPr>
        <w:spacing w:after="0" w:line="247" w:lineRule="exact"/>
        <w:rPr>
          <w:sz w:val="20"/>
          <w:szCs w:val="20"/>
          <w:color w:val="auto"/>
        </w:rPr>
      </w:pPr>
    </w:p>
    <w:p>
      <w:pPr>
        <w:ind w:right="360"/>
        <w:spacing w:after="0" w:line="221" w:lineRule="auto"/>
        <w:rPr>
          <w:sz w:val="20"/>
          <w:szCs w:val="20"/>
          <w:color w:val="auto"/>
        </w:rPr>
      </w:pPr>
      <w:r>
        <w:rPr>
          <w:rFonts w:ascii="Calibri" w:cs="Calibri" w:eastAsia="Calibri" w:hAnsi="Calibri"/>
          <w:sz w:val="20"/>
          <w:szCs w:val="20"/>
          <w:color w:val="auto"/>
        </w:rPr>
        <w:t>Except to the extent required by applicable law or regulaton, the Company undertakes no obligaton to update statements to refect events or circumstances afer the date of this press release or to refect the occurrence of unantcipated events.</w:t>
      </w:r>
    </w:p>
    <w:p>
      <w:pPr>
        <w:spacing w:after="0" w:line="200" w:lineRule="exact"/>
        <w:rPr>
          <w:sz w:val="20"/>
          <w:szCs w:val="20"/>
          <w:color w:val="auto"/>
        </w:rPr>
      </w:pPr>
    </w:p>
    <w:p>
      <w:pPr>
        <w:spacing w:after="0" w:line="282" w:lineRule="exact"/>
        <w:rPr>
          <w:sz w:val="20"/>
          <w:szCs w:val="20"/>
          <w:color w:val="auto"/>
        </w:rPr>
      </w:pPr>
    </w:p>
    <w:p>
      <w:pPr>
        <w:ind w:right="5540"/>
        <w:spacing w:after="0" w:line="221" w:lineRule="auto"/>
        <w:rPr>
          <w:sz w:val="20"/>
          <w:szCs w:val="20"/>
          <w:color w:val="auto"/>
        </w:rPr>
      </w:pPr>
      <w:r>
        <w:rPr>
          <w:rFonts w:ascii="Calibri" w:cs="Calibri" w:eastAsia="Calibri" w:hAnsi="Calibri"/>
          <w:sz w:val="20"/>
          <w:szCs w:val="20"/>
          <w:b w:val="1"/>
          <w:bCs w:val="1"/>
          <w:color w:val="auto"/>
        </w:rPr>
        <w:t xml:space="preserve">Media Contact: </w:t>
      </w:r>
      <w:r>
        <w:rPr>
          <w:rFonts w:ascii="Calibri" w:cs="Calibri" w:eastAsia="Calibri" w:hAnsi="Calibri"/>
          <w:sz w:val="20"/>
          <w:szCs w:val="20"/>
          <w:color w:val="auto"/>
        </w:rPr>
        <w:t>Laurie Steinberg, Solebury Strategic Communicatons</w:t>
      </w:r>
      <w:r>
        <w:rPr>
          <w:rFonts w:ascii="Calibri" w:cs="Calibri" w:eastAsia="Calibri" w:hAnsi="Calibri"/>
          <w:sz w:val="20"/>
          <w:szCs w:val="20"/>
          <w:b w:val="1"/>
          <w:bCs w:val="1"/>
          <w:color w:val="auto"/>
        </w:rPr>
        <w:t xml:space="preserve"> </w:t>
      </w:r>
      <w:r>
        <w:rPr>
          <w:rFonts w:ascii="Calibri" w:cs="Calibri" w:eastAsia="Calibri" w:hAnsi="Calibri"/>
          <w:sz w:val="20"/>
          <w:szCs w:val="20"/>
          <w:color w:val="0563C1"/>
        </w:rPr>
        <w:t>press@innventure.com</w:t>
      </w:r>
    </w:p>
    <w:p>
      <w:pPr>
        <w:spacing w:after="0" w:line="239" w:lineRule="exact"/>
        <w:rPr>
          <w:sz w:val="20"/>
          <w:szCs w:val="20"/>
          <w:color w:val="auto"/>
        </w:rPr>
      </w:pPr>
    </w:p>
    <w:p>
      <w:pPr>
        <w:ind w:right="4840"/>
        <w:spacing w:after="0" w:line="221" w:lineRule="auto"/>
        <w:rPr>
          <w:sz w:val="20"/>
          <w:szCs w:val="20"/>
          <w:color w:val="auto"/>
        </w:rPr>
      </w:pPr>
      <w:r>
        <w:rPr>
          <w:rFonts w:ascii="Calibri" w:cs="Calibri" w:eastAsia="Calibri" w:hAnsi="Calibri"/>
          <w:sz w:val="20"/>
          <w:szCs w:val="20"/>
          <w:b w:val="1"/>
          <w:bCs w:val="1"/>
          <w:color w:val="auto"/>
        </w:rPr>
        <w:t xml:space="preserve">Investor Relatons Contact: </w:t>
      </w:r>
      <w:r>
        <w:rPr>
          <w:rFonts w:ascii="Calibri" w:cs="Calibri" w:eastAsia="Calibri" w:hAnsi="Calibri"/>
          <w:sz w:val="20"/>
          <w:szCs w:val="20"/>
          <w:color w:val="auto"/>
        </w:rPr>
        <w:t>Sloan Bohlen, Solebury Strategic Communicatons</w:t>
      </w:r>
      <w:r>
        <w:rPr>
          <w:rFonts w:ascii="Calibri" w:cs="Calibri" w:eastAsia="Calibri" w:hAnsi="Calibri"/>
          <w:sz w:val="20"/>
          <w:szCs w:val="20"/>
          <w:b w:val="1"/>
          <w:bCs w:val="1"/>
          <w:color w:val="auto"/>
        </w:rPr>
        <w:t xml:space="preserve"> </w:t>
      </w:r>
      <w:r>
        <w:rPr>
          <w:rFonts w:ascii="Calibri" w:cs="Calibri" w:eastAsia="Calibri" w:hAnsi="Calibri"/>
          <w:sz w:val="20"/>
          <w:szCs w:val="20"/>
          <w:color w:val="0563C1"/>
        </w:rPr>
        <w:t>investorrelatons@innventure.com</w:t>
      </w:r>
    </w:p>
    <w:p>
      <w:pPr>
        <w:sectPr>
          <w:pgSz w:w="11900" w:h="16838" w:orient="portrait"/>
          <w:cols w:equalWidth="0" w:num="1">
            <w:col w:w="11220"/>
          </w:cols>
          <w:pgMar w:left="320" w:top="1006"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20" w:type="dxa"/>
            <w:vAlign w:val="bottom"/>
          </w:tcPr>
          <w:p>
            <w:pPr>
              <w:spacing w:after="0"/>
              <w:rPr>
                <w:sz w:val="15"/>
                <w:szCs w:val="15"/>
                <w:color w:val="auto"/>
              </w:rPr>
            </w:pPr>
          </w:p>
        </w:tc>
        <w:tc>
          <w:tcPr>
            <w:tcW w:w="120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Predecessor</w:t>
            </w:r>
          </w:p>
        </w:tc>
      </w:tr>
      <w:tr>
        <w:trPr>
          <w:trHeight w:val="171"/>
        </w:trPr>
        <w:tc>
          <w:tcPr>
            <w:tcW w:w="84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1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r>
      <w:tr>
        <w:trPr>
          <w:trHeight w:val="16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70"/>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11,119</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2,575</w:t>
            </w:r>
          </w:p>
        </w:tc>
      </w:tr>
      <w:tr>
        <w:trPr>
          <w:trHeight w:val="181"/>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Due from related parties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2,602</w:t>
            </w:r>
          </w:p>
        </w:tc>
      </w:tr>
      <w:tr>
        <w:trPr>
          <w:trHeight w:val="181"/>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Inventories</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5,178</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-892175</wp:posOffset>
            </wp:positionV>
            <wp:extent cx="8890" cy="6197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6197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8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24,286</w:t>
            </w:r>
          </w:p>
        </w:tc>
        <w:tc>
          <w:tcPr>
            <w:tcW w:w="16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5,664</w:t>
            </w:r>
          </w:p>
        </w:tc>
      </w:tr>
      <w:tr>
        <w:trPr>
          <w:trHeight w:val="170"/>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Investments</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28,734</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14,167</w:t>
            </w:r>
          </w:p>
        </w:tc>
      </w:tr>
      <w:tr>
        <w:trPr>
          <w:trHeight w:val="181"/>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w:t>
            </w:r>
          </w:p>
        </w:tc>
      </w:tr>
      <w:tr>
        <w:trPr>
          <w:trHeight w:val="170"/>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Intangible assets, net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182,153</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Goodwill</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667,936</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assets</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460" w:type="dxa"/>
            <w:vAlign w:val="bottom"/>
            <w:tcBorders>
              <w:top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905,289</w:t>
            </w: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21,564</w:t>
            </w:r>
          </w:p>
        </w:tc>
      </w:tr>
      <w:tr>
        <w:trPr>
          <w:trHeight w:val="171"/>
        </w:trPr>
        <w:tc>
          <w:tcPr>
            <w:tcW w:w="8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Deficit</w:t>
            </w: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0"/>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4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3,248</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0"/>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employee benefits</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9,273</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3,779</w:t>
            </w:r>
          </w:p>
        </w:tc>
      </w:tr>
      <w:tr>
        <w:trPr>
          <w:trHeight w:val="181"/>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expenses</w:t>
            </w: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2,477</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w:t>
            </w:r>
          </w:p>
        </w:tc>
      </w:tr>
      <w:tr>
        <w:trPr>
          <w:trHeight w:val="170"/>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Related party payables</w:t>
            </w:r>
          </w:p>
        </w:tc>
        <w:tc>
          <w:tcPr>
            <w:tcW w:w="46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r>
      <w:tr>
        <w:trPr>
          <w:trHeight w:val="181"/>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Related party notes payable - current</w:t>
            </w: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14,000</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70"/>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Notes payable - current</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w:t>
            </w:r>
          </w:p>
        </w:tc>
      </w:tr>
      <w:tr>
        <w:trPr>
          <w:trHeight w:val="181"/>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Patent installment payable - current</w:t>
            </w: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w:t>
            </w:r>
          </w:p>
        </w:tc>
      </w:tr>
      <w:tr>
        <w:trPr>
          <w:trHeight w:val="170"/>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Obligation to issue equity</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4,158</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Warrant liability</w:t>
            </w: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34,023</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69,347</w:t>
            </w:r>
          </w:p>
        </w:tc>
        <w:tc>
          <w:tcPr>
            <w:tcW w:w="16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8,168</w:t>
            </w:r>
          </w:p>
        </w:tc>
      </w:tr>
      <w:tr>
        <w:trPr>
          <w:trHeight w:val="170"/>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Notes payable, net of current portion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13,654</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w:t>
            </w:r>
          </w:p>
        </w:tc>
      </w:tr>
      <w:tr>
        <w:trPr>
          <w:trHeight w:val="181"/>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Convertible promissory note,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w:t>
            </w:r>
          </w:p>
        </w:tc>
      </w:tr>
      <w:tr>
        <w:trPr>
          <w:trHeight w:val="170"/>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Convertible promissory note due to related party,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3,381</w:t>
            </w:r>
          </w:p>
        </w:tc>
      </w:tr>
      <w:tr>
        <w:trPr>
          <w:trHeight w:val="181"/>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Embedded derivative liability</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w:t>
            </w:r>
          </w:p>
        </w:tc>
      </w:tr>
      <w:tr>
        <w:trPr>
          <w:trHeight w:val="170"/>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Earnout liability</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14,752</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 liability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Patent installment payable, net of current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12,375</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13,075</w:t>
            </w:r>
          </w:p>
        </w:tc>
      </w:tr>
      <w:tr>
        <w:trPr>
          <w:trHeight w:val="181"/>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income taxes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27,893</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liabilities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139,536</w:t>
            </w:r>
          </w:p>
        </w:tc>
        <w:tc>
          <w:tcPr>
            <w:tcW w:w="16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29,420</w:t>
            </w:r>
          </w:p>
        </w:tc>
      </w:tr>
      <w:tr>
        <w:trPr>
          <w:trHeight w:val="171"/>
        </w:trPr>
        <w:tc>
          <w:tcPr>
            <w:tcW w:w="8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(Note 19)</w:t>
            </w: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Mezzanine Capital</w:t>
            </w: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70"/>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Redeemable Class I Units, no par value, 1,000,000 units authorized, issued and outstanding as of December 31, 2023</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2,912</w:t>
            </w:r>
          </w:p>
        </w:tc>
      </w:tr>
      <w:tr>
        <w:trPr>
          <w:trHeight w:val="181"/>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Redeemable Class PCTA Units, no par value, 3,982,675 units authorized, issued and outstanding as of December 31, 2023</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7,718</w:t>
            </w:r>
          </w:p>
        </w:tc>
      </w:tr>
      <w:tr>
        <w:trPr>
          <w:trHeight w:val="171"/>
        </w:trPr>
        <w:tc>
          <w:tcPr>
            <w:tcW w:w="8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 / Unitholders' Deficit</w:t>
            </w: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0"/>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B Preferred Units, no par value, 4,639,557 units authorized, and 4,109,961 units issued and outstanding as of December 31, 2023</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38,122</w:t>
            </w:r>
          </w:p>
        </w:tc>
      </w:tr>
      <w:tr>
        <w:trPr>
          <w:trHeight w:val="170"/>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Class B-1 Preferred Units, no par value, 2,600,000 units authorized, and 342,608 units issued and outstanding as of December 31, 2023</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3,323</w:t>
            </w:r>
          </w:p>
        </w:tc>
      </w:tr>
      <w:tr>
        <w:trPr>
          <w:trHeight w:val="181"/>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 Units, no par value, 10,975,000 units authorized, and 10,875,000 units issued and outstanding as of December 31, 2023</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1,950</w:t>
            </w:r>
          </w:p>
        </w:tc>
      </w:tr>
      <w:tr>
        <w:trPr>
          <w:trHeight w:val="170"/>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Class C Units, no par value, 1,585,125 units authorized, and 1,570,125 units issued and outstanding as of December 31, 2023</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w:t>
            </w:r>
          </w:p>
        </w:tc>
      </w:tr>
      <w:tr>
        <w:trPr>
          <w:trHeight w:val="181"/>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Preferred Stock, $0.0001 par value, 25,000,000 shares authorized, and 1,102,000 shares issued and outstanding as of December 31, 2024</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Common Stock, $0.0001 par value, 250,000,000 shares authorized, and 44,597,154 shares issued and outstanding as of December 31,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502,865</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8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gain (loss)</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Accumulated deficit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(78,802)</w:t>
            </w:r>
          </w:p>
        </w:tc>
        <w:tc>
          <w:tcPr>
            <w:tcW w:w="16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(64,284)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Innventure, Inc., Stockholders’ Equity/ Innventure LLC Unitholders' Deficit</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424,976</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(20,045)</w:t>
            </w:r>
          </w:p>
        </w:tc>
      </w:tr>
      <w:tr>
        <w:trPr>
          <w:trHeight w:val="180"/>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Non-controlling interest</w:t>
            </w:r>
          </w:p>
        </w:tc>
        <w:tc>
          <w:tcPr>
            <w:tcW w:w="4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340,777</w:t>
            </w:r>
          </w:p>
        </w:tc>
        <w:tc>
          <w:tcPr>
            <w:tcW w:w="16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w:t>
            </w:r>
          </w:p>
        </w:tc>
      </w:tr>
      <w:tr>
        <w:trPr>
          <w:trHeight w:val="164"/>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Stockholders' Equity/ Unitholders' Deficit</w:t>
            </w: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765,753</w:t>
            </w: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(18,486)</w:t>
            </w:r>
          </w:p>
        </w:tc>
      </w:tr>
      <w:tr>
        <w:trPr>
          <w:trHeight w:val="16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Mezzanine Capital and Equity</w:t>
            </w:r>
          </w:p>
        </w:tc>
        <w:tc>
          <w:tcPr>
            <w:tcW w:w="460" w:type="dxa"/>
            <w:vAlign w:val="bottom"/>
            <w:tcBorders>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905,289</w:t>
            </w:r>
          </w:p>
        </w:tc>
        <w:tc>
          <w:tcPr>
            <w:tcW w:w="16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21,564</w:t>
            </w:r>
          </w:p>
        </w:tc>
      </w:tr>
    </w:tbl>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20"/>
          </w:cols>
          <w:pgMar w:left="320" w:top="1022" w:right="359" w:bottom="1440" w:gutter="0" w:footer="0" w:header="0"/>
        </w:sectPr>
      </w:pPr>
    </w:p>
    <w:bookmarkStart w:id="7" w:name="page8"/>
    <w:bookmarkEnd w:id="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4"/>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50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600" w:type="dxa"/>
            <w:vAlign w:val="bottom"/>
            <w:tcBorders>
              <w:right w:val="single" w:sz="8" w:color="auto"/>
            </w:tcBorders>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through December 31,</w:t>
            </w:r>
          </w:p>
        </w:tc>
        <w:tc>
          <w:tcPr>
            <w:tcW w:w="80" w:type="dxa"/>
            <w:vAlign w:val="bottom"/>
          </w:tcPr>
          <w:p>
            <w:pPr>
              <w:spacing w:after="0"/>
              <w:rPr>
                <w:sz w:val="12"/>
                <w:szCs w:val="12"/>
                <w:color w:val="auto"/>
              </w:rPr>
            </w:pPr>
          </w:p>
        </w:tc>
        <w:tc>
          <w:tcPr>
            <w:tcW w:w="14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through October 1,</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456</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1,117</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 of sales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29,652</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17,589</w:t>
            </w:r>
          </w:p>
        </w:tc>
        <w:tc>
          <w:tcPr>
            <w:tcW w:w="0" w:type="dxa"/>
            <w:vAlign w:val="bottom"/>
          </w:tcPr>
          <w:p>
            <w:pPr>
              <w:spacing w:after="0"/>
              <w:rPr>
                <w:sz w:val="1"/>
                <w:szCs w:val="1"/>
                <w:color w:val="auto"/>
              </w:rPr>
            </w:pPr>
          </w:p>
        </w:tc>
      </w:tr>
      <w:tr>
        <w:trPr>
          <w:trHeight w:val="195"/>
        </w:trPr>
        <w:tc>
          <w:tcPr>
            <w:tcW w:w="5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Sales and marketing</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3,205</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4,001</w:t>
            </w:r>
          </w:p>
        </w:tc>
        <w:tc>
          <w:tcPr>
            <w:tcW w:w="0" w:type="dxa"/>
            <w:vAlign w:val="bottom"/>
          </w:tcPr>
          <w:p>
            <w:pPr>
              <w:spacing w:after="0"/>
              <w:rPr>
                <w:sz w:val="1"/>
                <w:szCs w:val="1"/>
                <w:color w:val="auto"/>
              </w:rPr>
            </w:pPr>
          </w:p>
        </w:tc>
      </w:t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40,753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37,541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24,795</w:t>
            </w:r>
          </w:p>
        </w:tc>
        <w:tc>
          <w:tcPr>
            <w:tcW w:w="0" w:type="dxa"/>
            <w:vAlign w:val="bottom"/>
          </w:tcPr>
          <w:p>
            <w:pPr>
              <w:spacing w:after="0"/>
              <w:rPr>
                <w:sz w:val="1"/>
                <w:szCs w:val="1"/>
                <w:color w:val="auto"/>
              </w:rPr>
            </w:pPr>
          </w:p>
        </w:tc>
      </w:tr>
      <w:tr>
        <w:trPr>
          <w:trHeight w:val="276"/>
        </w:trPr>
        <w:tc>
          <w:tcPr>
            <w:tcW w:w="5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(40,297)</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(36,777)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(23,678)</w:t>
            </w:r>
          </w:p>
        </w:tc>
        <w:tc>
          <w:tcPr>
            <w:tcW w:w="0" w:type="dxa"/>
            <w:vAlign w:val="bottom"/>
          </w:tcPr>
          <w:p>
            <w:pPr>
              <w:spacing w:after="0"/>
              <w:rPr>
                <w:sz w:val="1"/>
                <w:szCs w:val="1"/>
                <w:color w:val="auto"/>
              </w:rPr>
            </w:pPr>
          </w:p>
        </w:tc>
      </w:tr>
      <w:tr>
        <w:trPr>
          <w:trHeight w:val="276"/>
        </w:trPr>
        <w:tc>
          <w:tcPr>
            <w:tcW w:w="5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Non-operating (Expense) and Income</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expense, net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0" w:type="dxa"/>
            <w:vAlign w:val="bottom"/>
          </w:tcPr>
          <w:p>
            <w:pPr>
              <w:spacing w:after="0"/>
              <w:rPr>
                <w:sz w:val="1"/>
                <w:szCs w:val="1"/>
                <w:color w:val="auto"/>
              </w:rPr>
            </w:pPr>
          </w:p>
        </w:tc>
      </w:tr>
      <w:tr>
        <w:trPr>
          <w:trHeight w:val="195"/>
        </w:trPr>
        <w:tc>
          <w:tcPr>
            <w:tcW w:w="5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gain (loss) from investments</w:t>
            </w:r>
          </w:p>
        </w:tc>
        <w:tc>
          <w:tcPr>
            <w:tcW w:w="180" w:type="dxa"/>
            <w:vAlign w:val="bottom"/>
          </w:tcPr>
          <w:p>
            <w:pPr>
              <w:spacing w:after="0"/>
              <w:rPr>
                <w:sz w:val="16"/>
                <w:szCs w:val="16"/>
                <w:color w:val="auto"/>
              </w:rPr>
            </w:pPr>
          </w:p>
        </w:tc>
        <w:tc>
          <w:tcPr>
            <w:tcW w:w="14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(6,448)</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(loss) gain on investments - due to related parties</w:t>
            </w:r>
          </w:p>
        </w:tc>
        <w:tc>
          <w:tcPr>
            <w:tcW w:w="180" w:type="dxa"/>
            <w:vAlign w:val="bottom"/>
            <w:shd w:val="clear" w:color="auto" w:fill="CCEEFF"/>
          </w:tcPr>
          <w:p>
            <w:pPr>
              <w:spacing w:after="0"/>
              <w:rPr>
                <w:sz w:val="18"/>
                <w:szCs w:val="18"/>
                <w:color w:val="auto"/>
              </w:rPr>
            </w:pPr>
          </w:p>
        </w:tc>
        <w:tc>
          <w:tcPr>
            <w:tcW w:w="14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95"/>
        </w:trPr>
        <w:tc>
          <w:tcPr>
            <w:tcW w:w="5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(20,946)</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Equity method investment (loss) income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195"/>
        </w:trPr>
        <w:tc>
          <w:tcPr>
            <w:tcW w:w="5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conversion of promissory notes</w:t>
            </w:r>
          </w:p>
        </w:tc>
        <w:tc>
          <w:tcPr>
            <w:tcW w:w="180" w:type="dxa"/>
            <w:vAlign w:val="bottom"/>
          </w:tcPr>
          <w:p>
            <w:pPr>
              <w:spacing w:after="0"/>
              <w:rPr>
                <w:sz w:val="16"/>
                <w:szCs w:val="16"/>
                <w:color w:val="auto"/>
              </w:rPr>
            </w:pPr>
          </w:p>
        </w:tc>
        <w:tc>
          <w:tcPr>
            <w:tcW w:w="14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Write-off of loan commitment fee asset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(10,041)</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Miscellaneous other expense</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Non-operating (Expense) Income</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(33,078)</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9,011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(7,306)</w:t>
            </w:r>
          </w:p>
        </w:tc>
        <w:tc>
          <w:tcPr>
            <w:tcW w:w="0" w:type="dxa"/>
            <w:vAlign w:val="bottom"/>
          </w:tcPr>
          <w:p>
            <w:pPr>
              <w:spacing w:after="0"/>
              <w:rPr>
                <w:sz w:val="1"/>
                <w:szCs w:val="1"/>
                <w:color w:val="auto"/>
              </w:rPr>
            </w:pPr>
          </w:p>
        </w:tc>
      </w:t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(73,375)</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(27,766)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(30,984)</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(70,633)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(28,198)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(30,984)</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Less: net loss attributable to</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Non-redeemable non-controlling interest</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(8,339)</w:t>
            </w: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24"/>
        </w:trPr>
        <w:tc>
          <w:tcPr>
            <w:tcW w:w="506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Net Loss Attributable to Innventure, Inc. Stockholders / Innventure LLC</w:t>
            </w:r>
          </w:p>
        </w:tc>
        <w:tc>
          <w:tcPr>
            <w:tcW w:w="180" w:type="dxa"/>
            <w:vAlign w:val="bottom"/>
            <w:shd w:val="clear" w:color="auto" w:fill="CCEEFF"/>
          </w:tcPr>
          <w:p>
            <w:pPr>
              <w:spacing w:after="0"/>
              <w:rPr>
                <w:sz w:val="10"/>
                <w:szCs w:val="10"/>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(62,294)</w:t>
            </w: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(16,436)</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(30,845)</w:t>
            </w:r>
          </w:p>
        </w:tc>
        <w:tc>
          <w:tcPr>
            <w:tcW w:w="0" w:type="dxa"/>
            <w:vAlign w:val="bottom"/>
          </w:tcPr>
          <w:p>
            <w:pPr>
              <w:spacing w:after="0"/>
              <w:rPr>
                <w:sz w:val="1"/>
                <w:szCs w:val="1"/>
                <w:color w:val="auto"/>
              </w:rPr>
            </w:pPr>
          </w:p>
        </w:tc>
      </w:tr>
      <w:tr>
        <w:trPr>
          <w:trHeight w:val="19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 and diluted loss per share</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and diluted weighted average common shares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43,951,279</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5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net of taxes: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Unrealized gain on available-for-sale debt securities - related party</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comprehensive loss, net of taxes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909</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6"/>
        </w:trPr>
        <w:tc>
          <w:tcPr>
            <w:tcW w:w="506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loss, net of taxes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(69,724)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(28,136)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(30,984)</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Less: comprehensive income attributable to</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Non-redeemable non-controlling interest</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(8,339)</w:t>
            </w: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24"/>
        </w:trPr>
        <w:tc>
          <w:tcPr>
            <w:tcW w:w="506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Net Comprehensive Loss Attributable to Innventure, Inc. Stockholders /</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(61,385)</w:t>
            </w: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(16,374)</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(30,845)</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Innventure LLC Unitholders</w:t>
            </w: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13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9480"/>
          </w:cols>
          <w:pgMar w:left="1120" w:top="1022" w:right="1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Mezzanine Capital (Predecessor)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Class I Amount</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Class PCTA Amount</w:t>
            </w:r>
          </w:p>
        </w:tc>
        <w:tc>
          <w:tcPr>
            <w:tcW w:w="300" w:type="dxa"/>
            <w:vAlign w:val="bottom"/>
          </w:tcPr>
          <w:p>
            <w:pPr>
              <w:spacing w:after="0"/>
              <w:rPr>
                <w:sz w:val="16"/>
                <w:szCs w:val="16"/>
                <w:color w:val="auto"/>
              </w:rPr>
            </w:pPr>
          </w:p>
        </w:tc>
        <w:tc>
          <w:tcPr>
            <w:tcW w:w="10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2,984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12,882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15,866</w:t>
            </w:r>
          </w:p>
        </w:tc>
      </w:tr>
      <w:tr>
        <w:trPr>
          <w:trHeight w:val="195"/>
        </w:trPr>
        <w:tc>
          <w:tcPr>
            <w:tcW w:w="5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capital calls to unitholders</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210"/>
        </w:trPr>
        <w:tc>
          <w:tcPr>
            <w:tcW w:w="5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Accretion of redeemable units to redemption value</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w:t>
            </w:r>
          </w:p>
        </w:tc>
      </w:tr>
      <w:tr>
        <w:trPr>
          <w:trHeight w:val="19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2,912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10,630</w:t>
            </w:r>
          </w:p>
        </w:tc>
      </w:tr>
      <w:tr>
        <w:trPr>
          <w:trHeight w:val="209"/>
        </w:trPr>
        <w:tc>
          <w:tcPr>
            <w:tcW w:w="5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Accretion of redeemable units to redemption value</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11,950</w:t>
            </w:r>
          </w:p>
        </w:tc>
      </w:tr>
      <w:tr>
        <w:trPr>
          <w:trHeight w:val="19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4,477</w:t>
            </w:r>
          </w:p>
        </w:tc>
        <w:tc>
          <w:tcPr>
            <w:tcW w:w="100" w:type="dxa"/>
            <w:vAlign w:val="bottom"/>
          </w:tcPr>
          <w:p>
            <w:pPr>
              <w:spacing w:after="0"/>
              <w:rPr>
                <w:sz w:val="16"/>
                <w:szCs w:val="16"/>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18,103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22,580</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9480"/>
          </w:cols>
          <w:pgMar w:left="1200" w:top="1022" w:right="1219" w:bottom="1440" w:gutter="0" w:footer="0" w:header="0"/>
        </w:sectPr>
      </w:pPr>
    </w:p>
    <w:bookmarkStart w:id="9" w:name="page10"/>
    <w:bookmarkEnd w:id="9"/>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B-1</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9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94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0" w:type="dxa"/>
            <w:vAlign w:val="bottom"/>
          </w:tcPr>
          <w:p>
            <w:pPr>
              <w:spacing w:after="0"/>
              <w:rPr>
                <w:sz w:val="1"/>
                <w:szCs w:val="1"/>
                <w:color w:val="auto"/>
              </w:rPr>
            </w:pPr>
          </w:p>
        </w:tc>
      </w:tr>
      <w:tr>
        <w:trPr>
          <w:trHeight w:val="198"/>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2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OCI</w:t>
            </w:r>
          </w:p>
        </w:tc>
        <w:tc>
          <w:tcPr>
            <w:tcW w:w="8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7"/>
                <w:szCs w:val="17"/>
                <w:color w:val="auto"/>
              </w:rPr>
            </w:pP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1"/>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 (Predecessor)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20,803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3,323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(38,564)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(11,193)</w:t>
            </w:r>
          </w:p>
        </w:tc>
        <w:tc>
          <w:tcPr>
            <w:tcW w:w="0" w:type="dxa"/>
            <w:vAlign w:val="bottom"/>
          </w:tcPr>
          <w:p>
            <w:pPr>
              <w:spacing w:after="0"/>
              <w:rPr>
                <w:sz w:val="1"/>
                <w:szCs w:val="1"/>
                <w:color w:val="auto"/>
              </w:rPr>
            </w:pPr>
          </w:p>
        </w:tc>
      </w:tr>
      <w:tr>
        <w:trPr>
          <w:trHeight w:val="195"/>
        </w:trPr>
        <w:tc>
          <w:tcPr>
            <w:tcW w:w="3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(30,845)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(30,984)</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 acquired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95"/>
        </w:trPr>
        <w:tc>
          <w:tcPr>
            <w:tcW w:w="3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units, net of issuance costs</w:t>
            </w: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17,319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17,319</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Unit-based compensation</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0" w:type="dxa"/>
            <w:vAlign w:val="bottom"/>
          </w:tcPr>
          <w:p>
            <w:pPr>
              <w:spacing w:after="0"/>
              <w:rPr>
                <w:sz w:val="1"/>
                <w:szCs w:val="1"/>
                <w:color w:val="auto"/>
              </w:rPr>
            </w:pPr>
          </w:p>
        </w:tc>
      </w:tr>
      <w:tr>
        <w:trPr>
          <w:trHeight w:val="195"/>
        </w:trPr>
        <w:tc>
          <w:tcPr>
            <w:tcW w:w="3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unitholders</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46"/>
        </w:trPr>
        <w:tc>
          <w:tcPr>
            <w:tcW w:w="30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Accretion of redeemable units to redemption</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0" w:type="dxa"/>
            <w:vAlign w:val="bottom"/>
          </w:tcPr>
          <w:p>
            <w:pPr>
              <w:spacing w:after="0"/>
              <w:rPr>
                <w:sz w:val="1"/>
                <w:szCs w:val="1"/>
                <w:color w:val="auto"/>
              </w:rPr>
            </w:pPr>
          </w:p>
        </w:tc>
      </w:tr>
      <w:tr>
        <w:trPr>
          <w:trHeight w:val="198"/>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value</w:t>
            </w: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 (Predecessor)</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38,122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3,323</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844</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(64,284)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1,559</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(18,486)</w:t>
            </w: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(28,198)</w:t>
            </w:r>
          </w:p>
        </w:tc>
        <w:tc>
          <w:tcPr>
            <w:tcW w:w="0" w:type="dxa"/>
            <w:vAlign w:val="bottom"/>
          </w:tcPr>
          <w:p>
            <w:pPr>
              <w:spacing w:after="0"/>
              <w:rPr>
                <w:sz w:val="1"/>
                <w:szCs w:val="1"/>
                <w:color w:val="auto"/>
              </w:rPr>
            </w:pPr>
          </w:p>
        </w:tc>
      </w:tr>
      <w:tr>
        <w:trPr>
          <w:trHeight w:val="195"/>
        </w:trPr>
        <w:tc>
          <w:tcPr>
            <w:tcW w:w="3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Units issued to non-controlling interest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13,921</w:t>
            </w:r>
          </w:p>
        </w:tc>
        <w:tc>
          <w:tcPr>
            <w:tcW w:w="0" w:type="dxa"/>
            <w:vAlign w:val="bottom"/>
          </w:tcPr>
          <w:p>
            <w:pPr>
              <w:spacing w:after="0"/>
              <w:rPr>
                <w:sz w:val="1"/>
                <w:szCs w:val="1"/>
                <w:color w:val="auto"/>
              </w:rPr>
            </w:pPr>
          </w:p>
        </w:tc>
      </w:tr>
      <w:tr>
        <w:trPr>
          <w:trHeight w:val="195"/>
        </w:trPr>
        <w:tc>
          <w:tcPr>
            <w:tcW w:w="3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units, net of issuance costs</w:t>
            </w: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13,561</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Unit-based compensation</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0" w:type="dxa"/>
            <w:vAlign w:val="bottom"/>
          </w:tcPr>
          <w:p>
            <w:pPr>
              <w:spacing w:after="0"/>
              <w:rPr>
                <w:sz w:val="1"/>
                <w:szCs w:val="1"/>
                <w:color w:val="auto"/>
              </w:rPr>
            </w:pPr>
          </w:p>
        </w:tc>
      </w:tr>
      <w:tr>
        <w:trPr>
          <w:trHeight w:val="139"/>
        </w:trPr>
        <w:tc>
          <w:tcPr>
            <w:tcW w:w="30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units to non-controlling interest in</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8,443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8,443</w:t>
            </w:r>
          </w:p>
        </w:tc>
        <w:tc>
          <w:tcPr>
            <w:tcW w:w="0" w:type="dxa"/>
            <w:vAlign w:val="bottom"/>
          </w:tcPr>
          <w:p>
            <w:pPr>
              <w:spacing w:after="0"/>
              <w:rPr>
                <w:sz w:val="1"/>
                <w:szCs w:val="1"/>
                <w:color w:val="auto"/>
              </w:rPr>
            </w:pPr>
          </w:p>
        </w:tc>
      </w:tr>
      <w:tr>
        <w:trPr>
          <w:trHeight w:val="193"/>
        </w:trPr>
        <w:tc>
          <w:tcPr>
            <w:tcW w:w="3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exchange of convertible promissory notes</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00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Accretion of redeemable units to redemption</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(11,950)</w:t>
            </w:r>
          </w:p>
        </w:tc>
        <w:tc>
          <w:tcPr>
            <w:tcW w:w="0" w:type="dxa"/>
            <w:vAlign w:val="bottom"/>
          </w:tcPr>
          <w:p>
            <w:pPr>
              <w:spacing w:after="0"/>
              <w:rPr>
                <w:sz w:val="1"/>
                <w:szCs w:val="1"/>
                <w:color w:val="auto"/>
              </w:rPr>
            </w:pPr>
          </w:p>
        </w:tc>
      </w:tr>
      <w:tr>
        <w:trPr>
          <w:trHeight w:val="198"/>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value</w:t>
            </w: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October 1, 2024 (Predecessor)</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51,683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3,323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981</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(92,670)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62</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13,080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(21,591)</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20"/>
          </w:cols>
          <w:pgMar w:left="340" w:top="1440" w:right="339" w:bottom="1440" w:gutter="0" w:footer="0" w:header="0"/>
        </w:sectPr>
      </w:pPr>
    </w:p>
    <w:bookmarkStart w:id="10" w:name="page11"/>
    <w:bookmarkEnd w:id="10"/>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6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Series B Preferred Stock</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
                <w:szCs w:val="2"/>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
                <w:szCs w:val="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2"/>
                <w:szCs w:val="2"/>
                <w:color w:val="auto"/>
              </w:rPr>
            </w:pPr>
          </w:p>
        </w:tc>
        <w:tc>
          <w:tcPr>
            <w:tcW w:w="9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2"/>
                <w:szCs w:val="12"/>
                <w:color w:val="auto"/>
              </w:rPr>
            </w:pPr>
          </w:p>
        </w:tc>
        <w:tc>
          <w:tcPr>
            <w:tcW w:w="94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7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7"/>
                <w:szCs w:val="17"/>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OCI</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7"/>
                <w:szCs w:val="17"/>
                <w:color w:val="auto"/>
              </w:rPr>
            </w:pP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 2024 (Successor)</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11,342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(15,845)</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(4,503)</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of acquisition of Innventure LLC</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43,589,850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461,064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343,030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804,098</w:t>
            </w:r>
          </w:p>
        </w:tc>
        <w:tc>
          <w:tcPr>
            <w:tcW w:w="0" w:type="dxa"/>
            <w:vAlign w:val="bottom"/>
          </w:tcPr>
          <w:p>
            <w:pPr>
              <w:spacing w:after="0"/>
              <w:rPr>
                <w:sz w:val="1"/>
                <w:szCs w:val="1"/>
                <w:color w:val="auto"/>
              </w:rPr>
            </w:pPr>
          </w:p>
        </w:tc>
      </w:tr>
      <w:tr>
        <w:trPr>
          <w:trHeight w:val="146"/>
        </w:trPr>
        <w:tc>
          <w:tcPr>
            <w:tcW w:w="278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Reclassification of warrants from liability to</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w:t>
            </w:r>
          </w:p>
        </w:tc>
        <w:tc>
          <w:tcPr>
            <w:tcW w:w="92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common shares, net of issuance</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w:t>
            </w: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78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Issuance of preferred shares, net of issuance</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1,102,000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9,965</w:t>
            </w: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costs</w:t>
            </w: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common shares from warrant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259,309</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exercises</w:t>
            </w: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(70,633)</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gain, net of taxes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 acquired</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4,129</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Stockholders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contingent at risk sponsor shares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587,995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16,338</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preferred dividends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9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(Successor)</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1,102,000</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44,597,154</w:t>
            </w:r>
          </w:p>
        </w:tc>
        <w:tc>
          <w:tcPr>
            <w:tcW w:w="8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502,865</w:t>
            </w:r>
          </w:p>
        </w:tc>
        <w:tc>
          <w:tcPr>
            <w:tcW w:w="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(78,802)</w:t>
            </w:r>
          </w:p>
        </w:tc>
        <w:tc>
          <w:tcPr>
            <w:tcW w:w="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909</w:t>
            </w: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340,777</w:t>
            </w:r>
          </w:p>
        </w:tc>
        <w:tc>
          <w:tcPr>
            <w:tcW w:w="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765,753</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Successor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gridSpan w:val="4"/>
          </w:tcPr>
          <w:p>
            <w:pPr>
              <w:jc w:val="right"/>
              <w:ind w:right="1257"/>
              <w:spacing w:after="0"/>
              <w:rPr>
                <w:sz w:val="20"/>
                <w:szCs w:val="20"/>
                <w:color w:val="auto"/>
              </w:rPr>
            </w:pPr>
            <w:r>
              <w:rPr>
                <w:rFonts w:ascii="Times New Roman" w:cs="Times New Roman" w:eastAsia="Times New Roman" w:hAnsi="Times New Roman"/>
                <w:sz w:val="13"/>
                <w:szCs w:val="13"/>
                <w:b w:val="1"/>
                <w:bCs w:val="1"/>
                <w:color w:val="auto"/>
              </w:rPr>
              <w:t>Predecessor</w:t>
            </w:r>
          </w:p>
        </w:tc>
      </w:tr>
      <w:tr>
        <w:trPr>
          <w:trHeight w:val="115"/>
        </w:trPr>
        <w:tc>
          <w:tcPr>
            <w:tcW w:w="60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jc w:val="center"/>
              <w:ind w:right="77"/>
              <w:spacing w:after="0" w:line="115" w:lineRule="exact"/>
              <w:rPr>
                <w:sz w:val="20"/>
                <w:szCs w:val="20"/>
                <w:color w:val="auto"/>
              </w:rPr>
            </w:pPr>
            <w:r>
              <w:rPr>
                <w:rFonts w:ascii="Times New Roman" w:cs="Times New Roman" w:eastAsia="Times New Roman" w:hAnsi="Times New Roman"/>
                <w:sz w:val="13"/>
                <w:szCs w:val="13"/>
                <w:b w:val="1"/>
                <w:bCs w:val="1"/>
                <w:color w:val="auto"/>
                <w:w w:val="95"/>
              </w:rPr>
              <w:t>October 2, 2024 through</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w w:val="96"/>
              </w:rPr>
              <w:t>January 1, 2024 through</w:t>
            </w:r>
          </w:p>
        </w:tc>
        <w:tc>
          <w:tcPr>
            <w:tcW w:w="12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jc w:val="right"/>
              <w:ind w:right="77"/>
              <w:spacing w:after="0" w:line="115" w:lineRule="exact"/>
              <w:rPr>
                <w:sz w:val="20"/>
                <w:szCs w:val="20"/>
                <w:color w:val="auto"/>
              </w:rPr>
            </w:pPr>
            <w:r>
              <w:rPr>
                <w:rFonts w:ascii="Times New Roman" w:cs="Times New Roman" w:eastAsia="Times New Roman" w:hAnsi="Times New Roman"/>
                <w:sz w:val="13"/>
                <w:szCs w:val="13"/>
                <w:b w:val="1"/>
                <w:bCs w:val="1"/>
                <w:color w:val="auto"/>
                <w:w w:val="96"/>
              </w:rPr>
              <w:t>Year ended December 31,</w:t>
            </w:r>
          </w:p>
        </w:tc>
      </w:tr>
      <w:tr>
        <w:trPr>
          <w:trHeight w:val="166"/>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October 1, 2024</w:t>
            </w:r>
          </w:p>
        </w:tc>
        <w:tc>
          <w:tcPr>
            <w:tcW w:w="120" w:type="dxa"/>
            <w:vAlign w:val="bottom"/>
          </w:tcPr>
          <w:p>
            <w:pPr>
              <w:spacing w:after="0"/>
              <w:rPr>
                <w:sz w:val="14"/>
                <w:szCs w:val="14"/>
                <w:color w:val="auto"/>
              </w:rPr>
            </w:pPr>
          </w:p>
        </w:tc>
        <w:tc>
          <w:tcPr>
            <w:tcW w:w="1540" w:type="dxa"/>
            <w:vAlign w:val="bottom"/>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3"/>
        </w:trPr>
        <w:tc>
          <w:tcPr>
            <w:tcW w:w="6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55"/>
        </w:trPr>
        <w:tc>
          <w:tcPr>
            <w:tcW w:w="606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Used in Operating Activities</w:t>
            </w:r>
          </w:p>
        </w:tc>
        <w:tc>
          <w:tcPr>
            <w:tcW w:w="1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r>
      <w:tr>
        <w:trPr>
          <w:trHeight w:val="170"/>
        </w:trPr>
        <w:tc>
          <w:tcPr>
            <w:tcW w:w="6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(70,633)</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(28,198)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(30,984)</w:t>
            </w:r>
          </w:p>
        </w:tc>
      </w:tr>
      <w:tr>
        <w:trPr>
          <w:trHeight w:val="181"/>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i w:val="1"/>
                <w:iCs w:val="1"/>
                <w:color w:val="auto"/>
              </w:rPr>
              <w:t>Adjustments to reconcile net loss to net cash and cash equivalents used in operating activities:</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70"/>
        </w:trPr>
        <w:tc>
          <w:tcPr>
            <w:tcW w:w="60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16,338</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w:t>
            </w:r>
          </w:p>
        </w:tc>
      </w:tr>
      <w:tr>
        <w:trPr>
          <w:trHeight w:val="181"/>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income on debt securities - related party</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Change in fair value of financial liabilities</w:t>
            </w:r>
          </w:p>
        </w:tc>
        <w:tc>
          <w:tcPr>
            <w:tcW w:w="1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20,946</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w:t>
            </w:r>
          </w:p>
        </w:tc>
      </w:tr>
      <w:tr>
        <w:trPr>
          <w:trHeight w:val="181"/>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 in fair value of payables due to related parties</w:t>
            </w:r>
          </w:p>
        </w:tc>
        <w:tc>
          <w:tcPr>
            <w:tcW w:w="160" w:type="dxa"/>
            <w:vAlign w:val="bottom"/>
            <w:shd w:val="clear" w:color="auto" w:fill="CCEEFF"/>
          </w:tcPr>
          <w:p>
            <w:pPr>
              <w:spacing w:after="0"/>
              <w:rPr>
                <w:sz w:val="15"/>
                <w:szCs w:val="15"/>
                <w:color w:val="auto"/>
              </w:rPr>
            </w:pPr>
          </w:p>
        </w:tc>
        <w:tc>
          <w:tcPr>
            <w:tcW w:w="16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r>
      <w:tr>
        <w:trPr>
          <w:trHeight w:val="170"/>
        </w:trPr>
        <w:tc>
          <w:tcPr>
            <w:tcW w:w="6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Write-off of loan commitment fee asset</w:t>
            </w:r>
          </w:p>
        </w:tc>
        <w:tc>
          <w:tcPr>
            <w:tcW w:w="1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Non-cash interest expense on notes payable</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w:t>
            </w:r>
          </w:p>
        </w:tc>
      </w:tr>
      <w:tr>
        <w:trPr>
          <w:trHeight w:val="170"/>
        </w:trPr>
        <w:tc>
          <w:tcPr>
            <w:tcW w:w="6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(gain) loss on investments</w:t>
            </w:r>
          </w:p>
        </w:tc>
        <w:tc>
          <w:tcPr>
            <w:tcW w:w="160" w:type="dxa"/>
            <w:vAlign w:val="bottom"/>
          </w:tcPr>
          <w:p>
            <w:pPr>
              <w:spacing w:after="0"/>
              <w:rPr>
                <w:sz w:val="14"/>
                <w:szCs w:val="1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6,448</w:t>
            </w:r>
          </w:p>
        </w:tc>
      </w:tr>
      <w:tr>
        <w:trPr>
          <w:trHeight w:val="181"/>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Equity method investment gain (loss)</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w:t>
            </w:r>
          </w:p>
        </w:tc>
      </w:tr>
      <w:tr>
        <w:trPr>
          <w:trHeight w:val="170"/>
        </w:trPr>
        <w:tc>
          <w:tcPr>
            <w:tcW w:w="6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Loss on conversion of promissory notes</w:t>
            </w:r>
          </w:p>
        </w:tc>
        <w:tc>
          <w:tcPr>
            <w:tcW w:w="160" w:type="dxa"/>
            <w:vAlign w:val="bottom"/>
          </w:tcPr>
          <w:p>
            <w:pPr>
              <w:spacing w:after="0"/>
              <w:rPr>
                <w:sz w:val="14"/>
                <w:szCs w:val="1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(2,760)</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5,455</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81"/>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Payment of patent installment</w:t>
            </w:r>
          </w:p>
        </w:tc>
        <w:tc>
          <w:tcPr>
            <w:tcW w:w="160" w:type="dxa"/>
            <w:vAlign w:val="bottom"/>
            <w:shd w:val="clear" w:color="auto" w:fill="CCEEFF"/>
          </w:tcPr>
          <w:p>
            <w:pPr>
              <w:spacing w:after="0"/>
              <w:rPr>
                <w:sz w:val="15"/>
                <w:szCs w:val="15"/>
                <w:color w:val="auto"/>
              </w:rPr>
            </w:pPr>
          </w:p>
        </w:tc>
        <w:tc>
          <w:tcPr>
            <w:tcW w:w="16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Non-cash rent costs</w:t>
            </w:r>
          </w:p>
        </w:tc>
        <w:tc>
          <w:tcPr>
            <w:tcW w:w="1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r>
      <w:tr>
        <w:trPr>
          <w:trHeight w:val="181"/>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unpaid interest on note payable</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6060" w:type="dxa"/>
            <w:vAlign w:val="bottom"/>
          </w:tcPr>
          <w:p>
            <w:pPr>
              <w:ind w:left="260"/>
              <w:spacing w:after="0"/>
              <w:rPr>
                <w:sz w:val="20"/>
                <w:szCs w:val="20"/>
                <w:color w:val="auto"/>
              </w:rPr>
            </w:pPr>
            <w:r>
              <w:rPr>
                <w:rFonts w:ascii="Times New Roman" w:cs="Times New Roman" w:eastAsia="Times New Roman" w:hAnsi="Times New Roman"/>
                <w:sz w:val="13"/>
                <w:szCs w:val="13"/>
                <w:i w:val="1"/>
                <w:iCs w:val="1"/>
                <w:color w:val="auto"/>
              </w:rPr>
              <w:t>Changes in operating assets and liabilities:</w:t>
            </w: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0"/>
        </w:trPr>
        <w:tc>
          <w:tcPr>
            <w:tcW w:w="6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Accounts receivable</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0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r>
      <w:tr>
        <w:trPr>
          <w:trHeight w:val="181"/>
        </w:trPr>
        <w:tc>
          <w:tcPr>
            <w:tcW w:w="6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Inventory</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(2,354)</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0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Accounts payable</w:t>
            </w:r>
          </w:p>
        </w:tc>
        <w:tc>
          <w:tcPr>
            <w:tcW w:w="1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81"/>
        </w:trPr>
        <w:tc>
          <w:tcPr>
            <w:tcW w:w="6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Accrued employee benefits</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1,656</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3,181</w:t>
            </w:r>
          </w:p>
        </w:tc>
      </w:tr>
      <w:tr>
        <w:trPr>
          <w:trHeight w:val="170"/>
        </w:trPr>
        <w:tc>
          <w:tcPr>
            <w:tcW w:w="60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Accrued expenses</w:t>
            </w:r>
          </w:p>
        </w:tc>
        <w:tc>
          <w:tcPr>
            <w:tcW w:w="1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w:t>
            </w:r>
          </w:p>
        </w:tc>
      </w:tr>
      <w:tr>
        <w:trPr>
          <w:trHeight w:val="181"/>
        </w:trPr>
        <w:tc>
          <w:tcPr>
            <w:tcW w:w="6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Stock-based compensation liability</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0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r>
      <w:tr>
        <w:trPr>
          <w:trHeight w:val="181"/>
        </w:trPr>
        <w:tc>
          <w:tcPr>
            <w:tcW w:w="6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Obligation to issue equity</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0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Other assets</w:t>
            </w:r>
          </w:p>
        </w:tc>
        <w:tc>
          <w:tcPr>
            <w:tcW w:w="160" w:type="dxa"/>
            <w:vAlign w:val="bottom"/>
          </w:tcPr>
          <w:p>
            <w:pPr>
              <w:spacing w:after="0"/>
              <w:rPr>
                <w:sz w:val="14"/>
                <w:szCs w:val="1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r>
      <w:tr>
        <w:trPr>
          <w:trHeight w:val="170"/>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(29,214)</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(18,848)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(19,476)</w:t>
            </w:r>
          </w:p>
        </w:tc>
      </w:tr>
      <w:tr>
        <w:trPr>
          <w:trHeight w:val="147"/>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7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Provided by (Used in) Investing Activities</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70"/>
        </w:trPr>
        <w:tc>
          <w:tcPr>
            <w:tcW w:w="6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Purchase of shares in equity method investee</w:t>
            </w:r>
          </w:p>
        </w:tc>
        <w:tc>
          <w:tcPr>
            <w:tcW w:w="160" w:type="dxa"/>
            <w:vAlign w:val="bottom"/>
          </w:tcPr>
          <w:p>
            <w:pPr>
              <w:spacing w:after="0"/>
              <w:rPr>
                <w:sz w:val="14"/>
                <w:szCs w:val="1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r>
      <w:tr>
        <w:trPr>
          <w:trHeight w:val="181"/>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Contributions to equity method investee</w:t>
            </w:r>
          </w:p>
        </w:tc>
        <w:tc>
          <w:tcPr>
            <w:tcW w:w="160" w:type="dxa"/>
            <w:vAlign w:val="bottom"/>
            <w:shd w:val="clear" w:color="auto" w:fill="CCEEFF"/>
          </w:tcPr>
          <w:p>
            <w:pPr>
              <w:spacing w:after="0"/>
              <w:rPr>
                <w:sz w:val="15"/>
                <w:szCs w:val="15"/>
                <w:color w:val="auto"/>
              </w:rPr>
            </w:pPr>
          </w:p>
        </w:tc>
        <w:tc>
          <w:tcPr>
            <w:tcW w:w="16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r>
      <w:tr>
        <w:trPr>
          <w:trHeight w:val="170"/>
        </w:trPr>
        <w:tc>
          <w:tcPr>
            <w:tcW w:w="6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Investment in debt securities - equity method investee</w:t>
            </w:r>
          </w:p>
        </w:tc>
        <w:tc>
          <w:tcPr>
            <w:tcW w:w="160" w:type="dxa"/>
            <w:vAlign w:val="bottom"/>
          </w:tcPr>
          <w:p>
            <w:pPr>
              <w:spacing w:after="0"/>
              <w:rPr>
                <w:sz w:val="14"/>
                <w:szCs w:val="1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(2,600)</w:t>
            </w:r>
          </w:p>
        </w:tc>
      </w:tr>
      <w:tr>
        <w:trPr>
          <w:trHeight w:val="181"/>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Advances to equity method investee</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(4,240)</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Acquisition of property, plant and equipment</w:t>
            </w:r>
          </w:p>
        </w:tc>
        <w:tc>
          <w:tcPr>
            <w:tcW w:w="1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w:t>
            </w:r>
          </w:p>
        </w:tc>
      </w:tr>
      <w:tr>
        <w:trPr>
          <w:trHeight w:val="181"/>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Acquisition of intangible assets</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Acquisition of net assets, net of cash acquired, through business combination</w:t>
            </w:r>
          </w:p>
        </w:tc>
        <w:tc>
          <w:tcPr>
            <w:tcW w:w="1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sale of investments</w:t>
            </w:r>
          </w:p>
        </w:tc>
        <w:tc>
          <w:tcPr>
            <w:tcW w:w="160" w:type="dxa"/>
            <w:vAlign w:val="bottom"/>
            <w:shd w:val="clear" w:color="auto" w:fill="CCEEFF"/>
          </w:tcPr>
          <w:p>
            <w:pPr>
              <w:spacing w:after="0"/>
              <w:rPr>
                <w:sz w:val="15"/>
                <w:szCs w:val="15"/>
                <w:color w:val="auto"/>
              </w:rPr>
            </w:pPr>
          </w:p>
        </w:tc>
        <w:tc>
          <w:tcPr>
            <w:tcW w:w="16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w:t>
            </w:r>
          </w:p>
        </w:tc>
      </w:tr>
      <w:tr>
        <w:trPr>
          <w:trHeight w:val="170"/>
        </w:trPr>
        <w:tc>
          <w:tcPr>
            <w:tcW w:w="6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Cash withdrawn from trust as a result of business combination</w:t>
            </w:r>
          </w:p>
        </w:tc>
        <w:tc>
          <w:tcPr>
            <w:tcW w:w="1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11,342</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(Used in) Investing Activities</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6,822</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(5,957)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(4,667)</w:t>
            </w:r>
          </w:p>
        </w:tc>
      </w:tr>
      <w:tr>
        <w:trPr>
          <w:trHeight w:val="147"/>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7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Provided by Financing Activities</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70"/>
        </w:trPr>
        <w:tc>
          <w:tcPr>
            <w:tcW w:w="60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from issuance of equity, net of issuance costs</w:t>
            </w:r>
          </w:p>
        </w:tc>
        <w:tc>
          <w:tcPr>
            <w:tcW w:w="1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15,383</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16,009</w:t>
            </w:r>
          </w:p>
        </w:tc>
      </w:tr>
      <w:tr>
        <w:trPr>
          <w:trHeight w:val="181"/>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from the issuance of equity to non-controlling interest, net of issuance costs</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4,169</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r>
      <w:tr>
        <w:trPr>
          <w:trHeight w:val="170"/>
        </w:trPr>
        <w:tc>
          <w:tcPr>
            <w:tcW w:w="60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from the issuance of convertible promissory note</w:t>
            </w:r>
          </w:p>
        </w:tc>
        <w:tc>
          <w:tcPr>
            <w:tcW w:w="160" w:type="dxa"/>
            <w:vAlign w:val="bottom"/>
          </w:tcPr>
          <w:p>
            <w:pPr>
              <w:spacing w:after="0"/>
              <w:rPr>
                <w:sz w:val="14"/>
                <w:szCs w:val="1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r>
      <w:tr>
        <w:trPr>
          <w:trHeight w:val="181"/>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from issuance of debt securities, net of issuance costs</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19,455</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0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Payment of debts</w:t>
            </w:r>
          </w:p>
        </w:tc>
        <w:tc>
          <w:tcPr>
            <w:tcW w:w="1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81"/>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Receipt of Capital from Class I Unitholder</w:t>
            </w:r>
          </w:p>
        </w:tc>
        <w:tc>
          <w:tcPr>
            <w:tcW w:w="160" w:type="dxa"/>
            <w:vAlign w:val="bottom"/>
            <w:shd w:val="clear" w:color="auto" w:fill="CCEEFF"/>
          </w:tcPr>
          <w:p>
            <w:pPr>
              <w:spacing w:after="0"/>
              <w:rPr>
                <w:sz w:val="15"/>
                <w:szCs w:val="15"/>
                <w:color w:val="auto"/>
              </w:rPr>
            </w:pPr>
          </w:p>
        </w:tc>
        <w:tc>
          <w:tcPr>
            <w:tcW w:w="16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r>
      <w:tr>
        <w:trPr>
          <w:trHeight w:val="170"/>
        </w:trPr>
        <w:tc>
          <w:tcPr>
            <w:tcW w:w="60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Distributions to Stockholders</w:t>
            </w:r>
          </w:p>
        </w:tc>
        <w:tc>
          <w:tcPr>
            <w:tcW w:w="1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w:t>
            </w:r>
          </w:p>
        </w:tc>
      </w:tr>
      <w:tr>
        <w:trPr>
          <w:trHeight w:val="181"/>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from the issuance of promissory notes to related parties</w:t>
            </w:r>
          </w:p>
        </w:tc>
        <w:tc>
          <w:tcPr>
            <w:tcW w:w="160" w:type="dxa"/>
            <w:vAlign w:val="bottom"/>
            <w:shd w:val="clear" w:color="auto" w:fill="CCEEFF"/>
          </w:tcPr>
          <w:p>
            <w:pPr>
              <w:spacing w:after="0"/>
              <w:rPr>
                <w:sz w:val="15"/>
                <w:szCs w:val="15"/>
                <w:color w:val="auto"/>
              </w:rPr>
            </w:pPr>
          </w:p>
        </w:tc>
        <w:tc>
          <w:tcPr>
            <w:tcW w:w="16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w:t>
            </w:r>
          </w:p>
        </w:tc>
      </w:tr>
      <w:tr>
        <w:trPr>
          <w:trHeight w:val="170"/>
        </w:trPr>
        <w:tc>
          <w:tcPr>
            <w:tcW w:w="60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Repayment of promissory note</w:t>
            </w:r>
          </w:p>
        </w:tc>
        <w:tc>
          <w:tcPr>
            <w:tcW w:w="1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(4,628)</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Provided by Financing Activities</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33,466</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38,441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19,174</w:t>
            </w:r>
          </w:p>
        </w:tc>
      </w:tr>
      <w:tr>
        <w:trPr>
          <w:trHeight w:val="147"/>
        </w:trPr>
        <w:tc>
          <w:tcPr>
            <w:tcW w:w="60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r>
      <w:tr>
        <w:trPr>
          <w:trHeight w:val="16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16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11,074</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13,636</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(4,969)</w:t>
            </w:r>
          </w:p>
        </w:tc>
      </w:tr>
      <w:tr>
        <w:trPr>
          <w:trHeight w:val="16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7,544</w:t>
            </w:r>
          </w:p>
        </w:tc>
      </w:tr>
      <w:tr>
        <w:trPr>
          <w:trHeight w:val="17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11,119</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16,211</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2,575</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1040" w:type="dxa"/>
            <w:vAlign w:val="bottom"/>
          </w:tcPr>
          <w:p>
            <w:pPr>
              <w:spacing w:after="0"/>
              <w:rPr>
                <w:sz w:val="15"/>
                <w:szCs w:val="15"/>
                <w:color w:val="auto"/>
              </w:rPr>
            </w:pPr>
          </w:p>
        </w:tc>
      </w:tr>
      <w:tr>
        <w:trPr>
          <w:trHeight w:val="115"/>
        </w:trPr>
        <w:tc>
          <w:tcPr>
            <w:tcW w:w="6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tcPr>
          <w:p>
            <w:pPr>
              <w:jc w:val="center"/>
              <w:ind w:right="57"/>
              <w:spacing w:after="0" w:line="115" w:lineRule="exact"/>
              <w:rPr>
                <w:sz w:val="20"/>
                <w:szCs w:val="20"/>
                <w:color w:val="auto"/>
              </w:rPr>
            </w:pPr>
            <w:r>
              <w:rPr>
                <w:rFonts w:ascii="Times New Roman" w:cs="Times New Roman" w:eastAsia="Times New Roman" w:hAnsi="Times New Roman"/>
                <w:sz w:val="13"/>
                <w:szCs w:val="13"/>
                <w:b w:val="1"/>
                <w:bCs w:val="1"/>
                <w:color w:val="auto"/>
                <w:w w:val="95"/>
              </w:rPr>
              <w:t>October 2, 2024 through</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center"/>
              <w:ind w:right="180"/>
              <w:spacing w:after="0" w:line="115" w:lineRule="exact"/>
              <w:rPr>
                <w:sz w:val="20"/>
                <w:szCs w:val="20"/>
                <w:color w:val="auto"/>
              </w:rPr>
            </w:pPr>
            <w:r>
              <w:rPr>
                <w:rFonts w:ascii="Times New Roman" w:cs="Times New Roman" w:eastAsia="Times New Roman" w:hAnsi="Times New Roman"/>
                <w:sz w:val="13"/>
                <w:szCs w:val="13"/>
                <w:b w:val="1"/>
                <w:bCs w:val="1"/>
                <w:color w:val="auto"/>
                <w:w w:val="96"/>
              </w:rPr>
              <w:t>January 1, 2024 through</w:t>
            </w:r>
          </w:p>
        </w:tc>
        <w:tc>
          <w:tcPr>
            <w:tcW w:w="148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7"/>
              </w:rPr>
              <w:t>Year ended December 31,</w:t>
            </w:r>
          </w:p>
        </w:tc>
      </w:tr>
      <w:tr>
        <w:trPr>
          <w:trHeight w:val="166"/>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October 1, 2024</w:t>
            </w:r>
          </w:p>
        </w:tc>
        <w:tc>
          <w:tcPr>
            <w:tcW w:w="440" w:type="dxa"/>
            <w:vAlign w:val="bottom"/>
          </w:tcPr>
          <w:p>
            <w:pPr>
              <w:spacing w:after="0"/>
              <w:rPr>
                <w:sz w:val="14"/>
                <w:szCs w:val="14"/>
                <w:color w:val="auto"/>
              </w:rPr>
            </w:pPr>
          </w:p>
        </w:tc>
        <w:tc>
          <w:tcPr>
            <w:tcW w:w="1040" w:type="dxa"/>
            <w:vAlign w:val="bottom"/>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3"/>
        </w:trPr>
        <w:tc>
          <w:tcPr>
            <w:tcW w:w="6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5"/>
        </w:trPr>
        <w:tc>
          <w:tcPr>
            <w:tcW w:w="636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70"/>
        </w:trPr>
        <w:tc>
          <w:tcPr>
            <w:tcW w:w="6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Cash paid for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w:t>
            </w:r>
          </w:p>
        </w:tc>
        <w:tc>
          <w:tcPr>
            <w:tcW w:w="80" w:type="dxa"/>
            <w:vAlign w:val="bottom"/>
          </w:tcPr>
          <w:p>
            <w:pPr>
              <w:spacing w:after="0"/>
              <w:rPr>
                <w:sz w:val="14"/>
                <w:szCs w:val="14"/>
                <w:color w:val="auto"/>
              </w:rPr>
            </w:pPr>
          </w:p>
        </w:tc>
        <w:tc>
          <w:tcPr>
            <w:tcW w:w="44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w:t>
            </w:r>
          </w:p>
        </w:tc>
      </w:tr>
      <w:tr>
        <w:trPr>
          <w:trHeight w:val="18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Financing Information</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70"/>
        </w:trPr>
        <w:tc>
          <w:tcPr>
            <w:tcW w:w="6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Accretion of redeemable units to redemption value</w:t>
            </w:r>
          </w:p>
        </w:tc>
        <w:tc>
          <w:tcPr>
            <w:tcW w:w="12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5,366</w:t>
            </w:r>
          </w:p>
        </w:tc>
      </w:tr>
      <w:tr>
        <w:trPr>
          <w:trHeight w:val="181"/>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Debt discount and embedded derivative upon issuance</w:t>
            </w:r>
          </w:p>
        </w:tc>
        <w:tc>
          <w:tcPr>
            <w:tcW w:w="120" w:type="dxa"/>
            <w:vAlign w:val="bottom"/>
            <w:shd w:val="clear" w:color="auto" w:fill="CCEEFF"/>
          </w:tcPr>
          <w:p>
            <w:pPr>
              <w:spacing w:after="0"/>
              <w:rPr>
                <w:sz w:val="15"/>
                <w:szCs w:val="15"/>
                <w:color w:val="auto"/>
              </w:rPr>
            </w:pPr>
          </w:p>
        </w:tc>
        <w:tc>
          <w:tcPr>
            <w:tcW w:w="16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w:t>
            </w:r>
          </w:p>
        </w:tc>
      </w:tr>
      <w:tr>
        <w:trPr>
          <w:trHeight w:val="170"/>
        </w:trPr>
        <w:tc>
          <w:tcPr>
            <w:tcW w:w="6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Issuance of units to non-controlling interest in exchange of convertible promissory notes</w:t>
            </w:r>
          </w:p>
        </w:tc>
        <w:tc>
          <w:tcPr>
            <w:tcW w:w="120" w:type="dxa"/>
            <w:vAlign w:val="bottom"/>
          </w:tcPr>
          <w:p>
            <w:pPr>
              <w:spacing w:after="0"/>
              <w:rPr>
                <w:sz w:val="14"/>
                <w:szCs w:val="14"/>
                <w:color w:val="auto"/>
              </w:rPr>
            </w:pPr>
          </w:p>
        </w:tc>
        <w:tc>
          <w:tcPr>
            <w:tcW w:w="16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Conversion of working capital loans to equity method investees into investments in debt securities - related party</w:t>
            </w:r>
          </w:p>
        </w:tc>
        <w:tc>
          <w:tcPr>
            <w:tcW w:w="120" w:type="dxa"/>
            <w:vAlign w:val="bottom"/>
            <w:shd w:val="clear" w:color="auto" w:fill="CCEEFF"/>
          </w:tcPr>
          <w:p>
            <w:pPr>
              <w:spacing w:after="0"/>
              <w:rPr>
                <w:sz w:val="15"/>
                <w:szCs w:val="15"/>
                <w:color w:val="auto"/>
              </w:rPr>
            </w:pPr>
          </w:p>
        </w:tc>
        <w:tc>
          <w:tcPr>
            <w:tcW w:w="16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3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Transfer of liability warrants to equity warrants in the Business Combination</w:t>
            </w: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Initial recognition of loan commitment fee</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16,190</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6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Transfer of loan commitment fee asset</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6,694</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40"/>
          </w:cols>
          <w:pgMar w:left="320" w:top="144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17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00" w:type="dxa"/>
            <w:vAlign w:val="bottom"/>
            <w:tcBorders>
              <w:right w:val="single" w:sz="8" w:color="auto"/>
            </w:tcBorders>
            <w:vMerge w:val="restart"/>
          </w:tcPr>
          <w:p>
            <w:pPr>
              <w:spacing w:after="0"/>
              <w:rPr>
                <w:sz w:val="16"/>
                <w:szCs w:val="16"/>
                <w:color w:val="auto"/>
              </w:rPr>
            </w:pPr>
          </w:p>
        </w:tc>
        <w:tc>
          <w:tcPr>
            <w:tcW w:w="17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00" w:type="dxa"/>
            <w:vAlign w:val="bottom"/>
            <w:vMerge w:val="restart"/>
          </w:tcPr>
          <w:p>
            <w:pPr>
              <w:spacing w:after="0"/>
              <w:rPr>
                <w:sz w:val="16"/>
                <w:szCs w:val="16"/>
                <w:color w:val="auto"/>
              </w:rPr>
            </w:pPr>
          </w:p>
        </w:tc>
        <w:tc>
          <w:tcPr>
            <w:tcW w:w="17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S/P Combined (Non-</w:t>
            </w:r>
          </w:p>
        </w:tc>
        <w:tc>
          <w:tcPr>
            <w:tcW w:w="80" w:type="dxa"/>
            <w:vAlign w:val="bottom"/>
          </w:tcPr>
          <w:p>
            <w:pPr>
              <w:spacing w:after="0"/>
              <w:rPr>
                <w:sz w:val="16"/>
                <w:szCs w:val="16"/>
                <w:color w:val="auto"/>
              </w:rPr>
            </w:pPr>
          </w:p>
        </w:tc>
        <w:tc>
          <w:tcPr>
            <w:tcW w:w="17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700" w:type="dxa"/>
            <w:vAlign w:val="bottom"/>
            <w:tcBorders>
              <w:bottom w:val="single" w:sz="8" w:color="auto"/>
            </w:tcBorders>
            <w:vMerge w:val="continue"/>
          </w:tcPr>
          <w:p>
            <w:pPr>
              <w:spacing w:after="0"/>
              <w:rPr>
                <w:sz w:val="21"/>
                <w:szCs w:val="21"/>
                <w:color w:val="auto"/>
              </w:rPr>
            </w:pPr>
          </w:p>
        </w:tc>
        <w:tc>
          <w:tcPr>
            <w:tcW w:w="100" w:type="dxa"/>
            <w:vAlign w:val="bottom"/>
            <w:tcBorders>
              <w:right w:val="single" w:sz="8" w:color="auto"/>
            </w:tcBorders>
            <w:vMerge w:val="continue"/>
          </w:tcPr>
          <w:p>
            <w:pPr>
              <w:spacing w:after="0"/>
              <w:rPr>
                <w:sz w:val="21"/>
                <w:szCs w:val="21"/>
                <w:color w:val="auto"/>
              </w:rPr>
            </w:pPr>
          </w:p>
        </w:tc>
        <w:tc>
          <w:tcPr>
            <w:tcW w:w="17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GAAP)</w:t>
            </w:r>
          </w:p>
        </w:tc>
        <w:tc>
          <w:tcPr>
            <w:tcW w:w="80" w:type="dxa"/>
            <w:vAlign w:val="bottom"/>
          </w:tcPr>
          <w:p>
            <w:pPr>
              <w:spacing w:after="0"/>
              <w:rPr>
                <w:sz w:val="21"/>
                <w:szCs w:val="21"/>
                <w:color w:val="auto"/>
              </w:rPr>
            </w:pPr>
          </w:p>
        </w:tc>
        <w:tc>
          <w:tcPr>
            <w:tcW w:w="17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17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Period from October</w:t>
            </w:r>
          </w:p>
        </w:tc>
        <w:tc>
          <w:tcPr>
            <w:tcW w:w="100" w:type="dxa"/>
            <w:vAlign w:val="bottom"/>
            <w:tcBorders>
              <w:right w:val="single" w:sz="8" w:color="auto"/>
            </w:tcBorders>
          </w:tcPr>
          <w:p>
            <w:pPr>
              <w:spacing w:after="0"/>
              <w:rPr>
                <w:sz w:val="14"/>
                <w:szCs w:val="14"/>
                <w:color w:val="auto"/>
              </w:rPr>
            </w:pPr>
          </w:p>
        </w:tc>
        <w:tc>
          <w:tcPr>
            <w:tcW w:w="17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Period from January</w:t>
            </w:r>
          </w:p>
        </w:tc>
        <w:tc>
          <w:tcPr>
            <w:tcW w:w="100" w:type="dxa"/>
            <w:vAlign w:val="bottom"/>
          </w:tcPr>
          <w:p>
            <w:pPr>
              <w:spacing w:after="0"/>
              <w:rPr>
                <w:sz w:val="14"/>
                <w:szCs w:val="14"/>
                <w:color w:val="auto"/>
              </w:rPr>
            </w:pP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1800" w:type="dxa"/>
            <w:vAlign w:val="bottom"/>
            <w:tcBorders>
              <w:right w:val="single" w:sz="8" w:color="auto"/>
            </w:tcBorders>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 2024 through</w:t>
            </w:r>
          </w:p>
        </w:tc>
        <w:tc>
          <w:tcPr>
            <w:tcW w:w="18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 2024 through</w:t>
            </w:r>
          </w:p>
        </w:tc>
        <w:tc>
          <w:tcPr>
            <w:tcW w:w="1800" w:type="dxa"/>
            <w:vAlign w:val="bottom"/>
            <w:gridSpan w:val="2"/>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80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October 1, 2024</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(70,633)</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(28,198)</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(98,831)</w:t>
            </w: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(30,984)</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11,173</w:t>
            </w:r>
          </w:p>
        </w:tc>
        <w:tc>
          <w:tcPr>
            <w:tcW w:w="100" w:type="dxa"/>
            <w:vAlign w:val="bottom"/>
            <w:tcBorders>
              <w:right w:val="single" w:sz="8" w:color="auto"/>
            </w:tcBorders>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12,473</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00" w:type="dxa"/>
            <w:vAlign w:val="bottom"/>
            <w:tcBorders>
              <w:right w:val="single" w:sz="8" w:color="auto"/>
            </w:tcBorders>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Borders>
              <w:bottom w:val="single" w:sz="8" w:color="CCEEFF"/>
              <w:right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8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(51,263)</w:t>
            </w:r>
          </w:p>
        </w:tc>
        <w:tc>
          <w:tcPr>
            <w:tcW w:w="100" w:type="dxa"/>
            <w:vAlign w:val="bottom"/>
            <w:tcBorders>
              <w:right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(27,184)</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(78,447)</w:t>
            </w:r>
          </w:p>
        </w:tc>
        <w:tc>
          <w:tcPr>
            <w:tcW w:w="8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(29,752)</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Transaction and other related costs</w:t>
            </w:r>
            <w:r>
              <w:rPr>
                <w:rFonts w:ascii="Times New Roman" w:cs="Times New Roman" w:eastAsia="Times New Roman" w:hAnsi="Times New Roman"/>
                <w:sz w:val="23"/>
                <w:szCs w:val="23"/>
                <w:color w:val="auto"/>
                <w:vertAlign w:val="superscript"/>
              </w:rPr>
              <w:t>(2)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Borders>
              <w:right w:val="single" w:sz="8" w:color="auto"/>
            </w:tcBorders>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 in fair value of financial liabilities</w:t>
            </w:r>
            <w:r>
              <w:rPr>
                <w:rFonts w:ascii="Times New Roman" w:cs="Times New Roman" w:eastAsia="Times New Roman" w:hAnsi="Times New Roman"/>
                <w:sz w:val="23"/>
                <w:szCs w:val="23"/>
                <w:color w:val="auto"/>
                <w:vertAlign w:val="superscript"/>
              </w:rPr>
              <w:t>(3)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20,946</w:t>
            </w:r>
          </w:p>
        </w:tc>
        <w:tc>
          <w:tcPr>
            <w:tcW w:w="100" w:type="dxa"/>
            <w:vAlign w:val="bottom"/>
            <w:tcBorders>
              <w:right w:val="single" w:sz="8" w:color="auto"/>
            </w:tcBorders>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21,424</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 based compensation</w:t>
            </w:r>
            <w:r>
              <w:rPr>
                <w:rFonts w:ascii="Times New Roman" w:cs="Times New Roman" w:eastAsia="Times New Roman" w:hAnsi="Times New Roman"/>
                <w:sz w:val="23"/>
                <w:szCs w:val="23"/>
                <w:color w:val="auto"/>
                <w:vertAlign w:val="superscript"/>
              </w:rPr>
              <w:t>(4)</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100" w:type="dxa"/>
            <w:vAlign w:val="bottom"/>
            <w:tcBorders>
              <w:bottom w:val="single" w:sz="8" w:color="CCEEFF"/>
              <w:right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17,394</w:t>
            </w:r>
          </w:p>
        </w:tc>
        <w:tc>
          <w:tcPr>
            <w:tcW w:w="8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(11,670)</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(16,236)</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(27,906)</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(26,156)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firstLine="8"/>
        <w:spacing w:after="0" w:line="242" w:lineRule="auto"/>
        <w:tabs>
          <w:tab w:leader="none" w:pos="216" w:val="left"/>
        </w:tabs>
        <w:numPr>
          <w:ilvl w:val="0"/>
          <w:numId w:val="3"/>
        </w:numPr>
        <w:rPr>
          <w:rFonts w:ascii="Arial" w:cs="Arial" w:eastAsia="Arial" w:hAnsi="Arial"/>
          <w:sz w:val="14"/>
          <w:szCs w:val="14"/>
          <w:color w:val="auto"/>
        </w:rPr>
      </w:pPr>
      <w:r>
        <w:rPr>
          <w:rFonts w:ascii="Times New Roman" w:cs="Times New Roman" w:eastAsia="Times New Roman" w:hAnsi="Times New Roman"/>
          <w:sz w:val="14"/>
          <w:szCs w:val="14"/>
          <w:color w:val="auto"/>
        </w:rPr>
        <w:t>Interest expense, net – For the combined twelve months ended December 31, 2024, interest expense, net includes interest incurred on our various borrowing facilities and the amortization of debt issuance costs. Additional debt issuance cost associated with a loan commitment fee asset in the amount of $10,041 was written off in combined twelve months ended December 31, 2024 and has also been included in this adjustment. This amount is representative of the asset associated with the second and third tranches of the WTI facility. When it became known that we would not be able to draw on these subsequent tranches based on certain metrics contained within the WTI Facility agreement, we immediately wrote this asset off. For the Predecessor year ended December 31, 2023, this balance is comprised entirely of interest incurred on our various borrowing facilities.</w:t>
      </w:r>
    </w:p>
    <w:p>
      <w:pPr>
        <w:ind w:right="20" w:firstLine="8"/>
        <w:spacing w:after="0" w:line="241" w:lineRule="auto"/>
        <w:tabs>
          <w:tab w:leader="none" w:pos="22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and other related costs – For the combined twelve months ended December 31, 2024 and for the Predecessor year ended December 31, 2023 this is comprised entirely of consulting, legal, and other professional fees related to the business combination with Learn CW Investment Corporation (the “Business Combination”).</w:t>
      </w:r>
    </w:p>
    <w:p>
      <w:pPr>
        <w:jc w:val="both"/>
        <w:ind w:firstLine="8"/>
        <w:spacing w:after="0" w:line="241" w:lineRule="auto"/>
        <w:tabs>
          <w:tab w:leader="none" w:pos="20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financial liabilities – For the combined twelve months ended December 31, 2024 the change in fair value of financial liabilities primarily consists of the change in fair value of the warrant liability, change in fair value of the earnout liability, and the change in the fair value of the embedded derivative associated with convertible notes prior to extinguishment. For the Predecessor year ended December 31, 2023, this is comprised entirely of the change in fair value of the embedded derivative associated with the convertible notes.</w:t>
      </w:r>
    </w:p>
    <w:p>
      <w:pPr>
        <w:spacing w:after="0" w:line="1" w:lineRule="exact"/>
        <w:rPr>
          <w:rFonts w:ascii="Times New Roman" w:cs="Times New Roman" w:eastAsia="Times New Roman" w:hAnsi="Times New Roman"/>
          <w:sz w:val="14"/>
          <w:szCs w:val="14"/>
          <w:color w:val="auto"/>
        </w:rPr>
      </w:pPr>
    </w:p>
    <w:p>
      <w:pPr>
        <w:jc w:val="both"/>
        <w:ind w:firstLine="8"/>
        <w:spacing w:after="0" w:line="247" w:lineRule="auto"/>
        <w:tabs>
          <w:tab w:leader="none" w:pos="219"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based compensation – For the combined twelve months ended December 31, 2024 stock based compensation primarily consisted of awards in the 2024 Equity and Incentive Plan entered into on October 2, 2024 subsequent to the Business Combination. These awards consisted of Stock Options, Restricted Stock Units, and Stock Appreciation Rights. Further, a portion of this expense was related to share based payment employee incentive plans in existence at Innventure LLC and other subsidiaries. For the Predecessor year ended December 31, 2023, stock based compensation was comprised wholly of share based payment employee incentive plans in existence at Innventure LLC and other subsidiaries.</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2025-04-11T07:28:55Z</dcterms:created>
  <dcterms:modified xsi:type="dcterms:W3CDTF">2025-04-11T07:28:55Z</dcterms:modified>
</cp:coreProperties>
</file>