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40" w:type="dxa"/>
            <w:vAlign w:val="bottom"/>
            <w:gridSpan w:val="3"/>
            <w:vMerge w:val="restart"/>
          </w:tcPr>
          <w:p>
            <w:pPr>
              <w:jc w:val="center"/>
              <w:ind w:right="6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80" w:type="dxa"/>
            <w:vAlign w:val="bottom"/>
            <w:gridSpan w:val="2"/>
            <w:vMerge w:val="restart"/>
          </w:tcPr>
          <w:p>
            <w:pPr>
              <w:jc w:val="center"/>
              <w:ind w:left="926"/>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80" w:type="dxa"/>
            <w:vAlign w:val="bottom"/>
            <w:gridSpan w:val="2"/>
            <w:vMerge w:val="restart"/>
          </w:tcPr>
          <w:p>
            <w:pPr>
              <w:jc w:val="center"/>
              <w:ind w:left="926"/>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8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274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2740" w:type="dxa"/>
            <w:vAlign w:val="bottom"/>
          </w:tcPr>
          <w:p>
            <w:pPr>
              <w:ind w:left="196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0002001557</w:t>
              </w:r>
            </w:hyperlink>
          </w:p>
        </w:tc>
        <w:tc>
          <w:tcPr>
            <w:tcW w:w="700" w:type="dxa"/>
            <w:vAlign w:val="bottom"/>
          </w:tcPr>
          <w:p>
            <w:pPr>
              <w:spacing w:after="0"/>
              <w:rPr>
                <w:sz w:val="20"/>
                <w:szCs w:val="20"/>
                <w:color w:val="auto"/>
              </w:rPr>
            </w:pPr>
          </w:p>
        </w:tc>
        <w:tc>
          <w:tcPr>
            <w:tcW w:w="5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0000FF"/>
              </w:rPr>
              <w:t>Learn SPAC HoldCo,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Innventure, Inc.</w:t>
            </w:r>
          </w:p>
        </w:tc>
        <w:tc>
          <w:tcPr>
            <w:tcW w:w="274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2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Year of Incorporation/Organization</w:t>
            </w: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r>
              <w:rPr>
                <w:rFonts w:ascii="Arial" w:cs="Arial" w:eastAsia="Arial" w:hAnsi="Arial"/>
                <w:sz w:val="18"/>
                <w:szCs w:val="18"/>
                <w:color w:val="auto"/>
              </w:rPr>
              <w:t>Name of Issuer</w:t>
            </w:r>
          </w:p>
        </w:tc>
        <w:tc>
          <w:tcPr>
            <w:tcW w:w="2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Innventure, Inc.</w:t>
            </w:r>
          </w:p>
        </w:tc>
        <w:tc>
          <w:tcPr>
            <w:tcW w:w="24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Street Address 1</w:t>
            </w:r>
          </w:p>
        </w:tc>
        <w:tc>
          <w:tcPr>
            <w:tcW w:w="24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246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400</w:t>
            </w:r>
          </w:p>
        </w:tc>
        <w:tc>
          <w:tcPr>
            <w:tcW w:w="2520" w:type="dxa"/>
            <w:vAlign w:val="bottom"/>
          </w:tcPr>
          <w:p>
            <w:pPr>
              <w:spacing w:after="0"/>
              <w:rPr>
                <w:sz w:val="21"/>
                <w:szCs w:val="21"/>
                <w:color w:val="auto"/>
              </w:rPr>
            </w:pPr>
          </w:p>
        </w:tc>
      </w:tr>
      <w:tr>
        <w:trPr>
          <w:trHeight w:val="274"/>
        </w:trPr>
        <w:tc>
          <w:tcPr>
            <w:tcW w:w="2240" w:type="dxa"/>
            <w:vAlign w:val="bottom"/>
          </w:tcPr>
          <w:p>
            <w:pPr>
              <w:spacing w:after="0"/>
              <w:rPr>
                <w:sz w:val="20"/>
                <w:szCs w:val="20"/>
                <w:color w:val="auto"/>
              </w:rPr>
            </w:pPr>
            <w:r>
              <w:rPr>
                <w:rFonts w:ascii="Arial" w:cs="Arial" w:eastAsia="Arial" w:hAnsi="Arial"/>
                <w:sz w:val="18"/>
                <w:szCs w:val="18"/>
                <w:color w:val="auto"/>
              </w:rPr>
              <w:t>City</w:t>
            </w:r>
          </w:p>
        </w:tc>
        <w:tc>
          <w:tcPr>
            <w:tcW w:w="2460" w:type="dxa"/>
            <w:vAlign w:val="bottom"/>
          </w:tcPr>
          <w:p>
            <w:pPr>
              <w:ind w:left="3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rPr>
              <w:t>Orlando</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FLORIDA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32827</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+1 (321) 209-6787</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Haskell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Gregory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Hennessy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Niemeyer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Suzanne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Amalfitano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Yablunosky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Donnally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James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Bruce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Otworth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Williams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Elizabeth</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FLORIDA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Scott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78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9"/>
              </w:rPr>
              <w:t>FLORIDA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Austrup</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Roland</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6900 Tavistock Lakes Blvd</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400</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Orlando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9"/>
              </w:rPr>
              <w:t>FLORIDA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32827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Cagle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Devery (Rusty)</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Atlanta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30306</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Atlanta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30306</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Grella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Jack</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Atlanta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6"/>
              </w:rPr>
              <w:t>GEORGIA</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30306</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Silverman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Elias</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Gabriel</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2121 Avenue of the Stars</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29th Floor</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Los Angeles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90067</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Cognetti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Sal</w:t>
            </w:r>
          </w:p>
        </w:tc>
        <w:tc>
          <w:tcPr>
            <w:tcW w:w="178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Craig</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 Embarcadero Center</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8th Floor</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94111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-9469755</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-9469755</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-7832090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-7832090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-9962515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-9962515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-9962515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-8325485</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-8325485</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-8325485</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1">
            <w:col w:w="11240"/>
          </w:cols>
          <w:pgMar w:left="320" w:top="125" w:right="339" w:bottom="0"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127"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120" w:type="dxa"/>
            <w:vAlign w:val="bottom"/>
            <w:tcBorders>
              <w:top w:val="single" w:sz="8" w:color="808080"/>
              <w:bottom w:val="single" w:sz="8" w:color="808080"/>
            </w:tcBorders>
          </w:tcPr>
          <w:p>
            <w:pPr>
              <w:spacing w:after="0"/>
              <w:rPr>
                <w:sz w:val="18"/>
                <w:szCs w:val="18"/>
                <w:color w:val="auto"/>
              </w:rPr>
            </w:pPr>
          </w:p>
        </w:tc>
        <w:tc>
          <w:tcPr>
            <w:tcW w:w="180" w:type="dxa"/>
            <w:vAlign w:val="bottom"/>
            <w:tcBorders>
              <w:top w:val="single" w:sz="8" w:color="808080"/>
              <w:bottom w:val="single" w:sz="8" w:color="808080"/>
            </w:tcBorders>
          </w:tcPr>
          <w:p>
            <w:pPr>
              <w:spacing w:after="0"/>
              <w:rPr>
                <w:sz w:val="18"/>
                <w:szCs w:val="18"/>
                <w:color w:val="auto"/>
              </w:rPr>
            </w:pPr>
          </w:p>
        </w:tc>
        <w:tc>
          <w:tcPr>
            <w:tcW w:w="14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2024-10-01</w:t>
            </w:r>
          </w:p>
        </w:tc>
        <w:tc>
          <w:tcPr>
            <w:tcW w:w="320" w:type="dxa"/>
            <w:vAlign w:val="bottom"/>
            <w:tcBorders>
              <w:bottom w:val="single" w:sz="8" w:color="auto"/>
            </w:tcBorders>
          </w:tcPr>
          <w:p>
            <w:pPr>
              <w:spacing w:after="0"/>
              <w:rPr>
                <w:sz w:val="16"/>
                <w:szCs w:val="16"/>
                <w:color w:val="auto"/>
              </w:rPr>
            </w:pPr>
          </w:p>
        </w:tc>
        <w:tc>
          <w:tcPr>
            <w:tcW w:w="1840" w:type="dxa"/>
            <w:vAlign w:val="bottom"/>
            <w:gridSpan w:val="5"/>
            <w:vMerge w:val="restart"/>
          </w:tcPr>
          <w:p>
            <w:pPr>
              <w:ind w:left="40"/>
              <w:spacing w:after="0"/>
              <w:rPr>
                <w:sz w:val="20"/>
                <w:szCs w:val="20"/>
                <w:color w:val="auto"/>
              </w:rPr>
            </w:pPr>
            <w:r>
              <w:rPr>
                <w:rFonts w:ascii="Arial" w:cs="Arial" w:eastAsia="Arial" w:hAnsi="Arial"/>
                <w:sz w:val="18"/>
                <w:szCs w:val="18"/>
                <w:color w:val="auto"/>
                <w:w w:val="97"/>
              </w:rPr>
              <w:t>First Sale Yet to Occur</w:t>
            </w: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Yes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140" w:type="dxa"/>
            <w:vAlign w:val="bottom"/>
            <w:tcBorders>
              <w:bottom w:val="single" w:sz="8" w:color="808080"/>
            </w:tcBorders>
          </w:tcPr>
          <w:p>
            <w:pPr>
              <w:spacing w:after="0"/>
              <w:rPr>
                <w:sz w:val="20"/>
                <w:szCs w:val="20"/>
                <w:color w:val="auto"/>
              </w:rPr>
            </w:pPr>
          </w:p>
        </w:tc>
        <w:tc>
          <w:tcPr>
            <w:tcW w:w="51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5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3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-1530985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-1530985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-1359535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-784860</wp:posOffset>
            </wp:positionV>
            <wp:extent cx="128905" cy="1282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-784860</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-210820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-210820</wp:posOffset>
            </wp:positionV>
            <wp:extent cx="128905" cy="1282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bookmarkStart w:id="4" w:name="page5"/>
    <w:bookmarkEnd w:id="4"/>
    <w:p>
      <w:pPr>
        <w:spacing w:after="0" w:line="53"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3906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12700" cy="13906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6"/>
          <w:szCs w:val="16"/>
          <w:color w:val="auto"/>
        </w:rPr>
        <w:t xml:space="preserve"> 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201295"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13335</wp:posOffset>
            </wp:positionV>
            <wp:extent cx="201295" cy="12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333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201295" cy="1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18415</wp:posOffset>
            </wp:positionV>
            <wp:extent cx="201295" cy="12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2667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01295" cy="127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26" w:lineRule="exact"/>
        <w:rPr>
          <w:sz w:val="20"/>
          <w:szCs w:val="20"/>
          <w:color w:val="auto"/>
        </w:rPr>
      </w:pPr>
    </w:p>
    <w:p>
      <w:pPr>
        <w:sectPr>
          <w:pgSz w:w="11900" w:h="16891" w:orient="portrait"/>
          <w:cols w:equalWidth="0" w:num="2">
            <w:col w:w="5560" w:space="60"/>
            <w:col w:w="5460"/>
          </w:cols>
          <w:pgMar w:left="320" w:top="101" w:right="499" w:bottom="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This offering was made immediately after and conditional upon Innventure, Inc.'s successful business combination, but was not made as part of such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20,000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Jack Grella</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6757707</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Metric Financial,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33324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1" w:orient="portrait"/>
          <w:cols w:equalWidth="0" w:num="1">
            <w:col w:w="11080"/>
          </w:cols>
          <w:pgMar w:left="320" w:top="101" w:right="499" w:bottom="0" w:gutter="0" w:footer="0" w:header="0"/>
          <w:type w:val="continuous"/>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Atlanta</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GEORGIA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KENTUCKY</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MISSOURI</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NEVADA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JERSEY</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NORTH CAROLINA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9"/>
              </w:rPr>
              <w:t>SOUTH CAROLINA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TENNESSEE</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-3441065</wp:posOffset>
            </wp:positionV>
            <wp:extent cx="59690" cy="3454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9690" cy="345440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-3441065</wp:posOffset>
            </wp:positionV>
            <wp:extent cx="59690" cy="3454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59690" cy="345440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-3685540</wp:posOffset>
            </wp:positionV>
            <wp:extent cx="12890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GEORGIA</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30306</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3628390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785" w:lineRule="exact"/>
        <w:rPr>
          <w:sz w:val="20"/>
          <w:szCs w:val="20"/>
          <w:color w:val="auto"/>
        </w:rPr>
      </w:pPr>
    </w:p>
    <w:p>
      <w:pPr>
        <w:sectPr>
          <w:pgSz w:w="11900" w:h="16891" w:orient="portrait"/>
          <w:cols w:equalWidth="0" w:num="2">
            <w:col w:w="4680" w:space="440"/>
            <w:col w:w="5960"/>
          </w:cols>
          <w:pgMar w:left="320" w:top="101" w:right="499" w:bottom="0" w:gutter="0" w:footer="0" w:header="0"/>
          <w:type w:val="continuous"/>
        </w:sectPr>
      </w:pP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gridSpan w:val="4"/>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Devery (Rusty) Cagle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2981159</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Metric Financial,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33324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gridSpan w:val="4"/>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00" w:type="dxa"/>
            <w:vAlign w:val="bottom"/>
            <w:gridSpan w:val="4"/>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Atlanta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GEORGIA</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30306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-423545</wp:posOffset>
            </wp:positionV>
            <wp:extent cx="59690" cy="4298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9690" cy="42989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-423545</wp:posOffset>
            </wp:positionV>
            <wp:extent cx="59690" cy="4298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9690" cy="42989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-2168525</wp:posOffset>
            </wp:positionV>
            <wp:extent cx="128905"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-1782445</wp:posOffset>
            </wp:positionV>
            <wp:extent cx="128905"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-1782445</wp:posOffset>
            </wp:positionV>
            <wp:extent cx="128905"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-668020</wp:posOffset>
            </wp:positionV>
            <wp:extent cx="128905"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-668020</wp:posOffset>
            </wp:positionV>
            <wp:extent cx="12890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1" w:orient="portrait"/>
          <w:cols w:equalWidth="0" w:num="1">
            <w:col w:w="11080"/>
          </w:cols>
          <w:pgMar w:left="320" w:top="101" w:right="499" w:bottom="0" w:gutter="0" w:footer="0" w:header="0"/>
          <w:type w:val="continuous"/>
        </w:sectPr>
      </w:pPr>
    </w:p>
    <w:bookmarkStart w:id="5" w:name="page6"/>
    <w:bookmarkEnd w:id="5"/>
    <w:p>
      <w:pPr>
        <w:ind w:left="60"/>
        <w:spacing w:after="0"/>
        <w:rPr>
          <w:sz w:val="20"/>
          <w:szCs w:val="20"/>
          <w:color w:val="auto"/>
        </w:rPr>
      </w:pPr>
      <w:r>
        <w:rPr>
          <w:sz w:val="1"/>
          <w:szCs w:val="1"/>
          <w:color w:val="auto"/>
        </w:rPr>
        <w:drawing>
          <wp:inline distT="0" distB="0" distL="0" distR="0">
            <wp:extent cx="33655" cy="16700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3655" cy="167005"/>
                    </a:xfrm>
                    <a:prstGeom prst="rect">
                      <a:avLst/>
                    </a:prstGeom>
                    <a:noFill/>
                    <a:ln>
                      <a:noFill/>
                    </a:ln>
                  </pic:spPr>
                </pic:pic>
              </a:graphicData>
            </a:graphic>
          </wp:inline>
        </w:drawing>
      </w:r>
      <w:r>
        <w:rPr>
          <w:rFonts w:ascii="Times New Roman" w:cs="Times New Roman" w:eastAsia="Times New Roman" w:hAnsi="Times New Roman"/>
          <w:sz w:val="18"/>
          <w:szCs w:val="18"/>
          <w:color w:val="0000FF"/>
        </w:rPr>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1096645" cy="30213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096645" cy="302133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0000FF"/>
        </w:rPr>
        <w:t>GEORGIA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ILLINOIS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IOWA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KENTUCKY</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MASSACHUSETTS</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MISSOURI</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NEVADA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NEW JERSEY</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NEW YORK</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NORTH CAROLINA</w:t>
      </w:r>
      <w:r>
        <w:rPr>
          <w:sz w:val="1"/>
          <w:szCs w:val="1"/>
          <w:color w:val="auto"/>
        </w:rPr>
        <w:drawing>
          <wp:inline distT="0" distB="0" distL="0" distR="0">
            <wp:extent cx="33655" cy="1968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OHIO</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PENNSYLVANIA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SOUTH CAROLINA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TENNESSEE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Aaron Berg</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5640255</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Metric Financial,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33324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725 Ponce De Leon Ave NE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Atlanta</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GEORGIA</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30306</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GEORGIA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KENTUCKY</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MISSOURI</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NEVADA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NEW JERSEY</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w w:val="97"/>
              </w:rPr>
              <w:t>NORTH CAROLINA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w w:val="99"/>
              </w:rPr>
              <w:t>SOUTH CAROLINA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TENNESSEE</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gridSpan w:val="3"/>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640" w:type="dxa"/>
            <w:vAlign w:val="bottom"/>
            <w:tcBorders>
              <w:bottom w:val="single" w:sz="8" w:color="9A9A9A"/>
            </w:tcBorders>
            <w:gridSpan w:val="3"/>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gridSpan w:val="3"/>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gridSpan w:val="2"/>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40" w:type="dxa"/>
            <w:vAlign w:val="bottom"/>
            <w:gridSpan w:val="7"/>
            <w:vMerge w:val="restart"/>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6"/>
              </w:rPr>
              <w:t>Recipient CRD Number</w:t>
            </w:r>
          </w:p>
        </w:tc>
        <w:tc>
          <w:tcPr>
            <w:tcW w:w="320" w:type="dxa"/>
            <w:vAlign w:val="bottom"/>
            <w:tcBorders>
              <w:bottom w:val="single" w:sz="8" w:color="auto"/>
            </w:tcBorders>
          </w:tcPr>
          <w:p>
            <w:pPr>
              <w:spacing w:after="0"/>
              <w:rPr>
                <w:sz w:val="14"/>
                <w:szCs w:val="14"/>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40" w:type="dxa"/>
            <w:vAlign w:val="bottom"/>
            <w:gridSpan w:val="7"/>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Elias Gabriel Silverman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5000367</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5"/>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Ducera Securities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269984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2121 Avenue of the Stars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29th Floor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7"/>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24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0000FF"/>
              </w:rPr>
              <w:t>Los Angeles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90067</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-5464175</wp:posOffset>
            </wp:positionV>
            <wp:extent cx="59690" cy="3454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59690" cy="3454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-7209155</wp:posOffset>
            </wp:positionV>
            <wp:extent cx="7157720" cy="7275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72751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-7209155</wp:posOffset>
            </wp:positionV>
            <wp:extent cx="7157720" cy="7275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7275195"/>
                    </a:xfrm>
                    <a:prstGeom prst="rect">
                      <a:avLst/>
                    </a:prstGeom>
                    <a:noFill/>
                  </pic:spPr>
                </pic:pic>
              </a:graphicData>
            </a:graphic>
          </wp:anchor>
        </w:drawing>
      </w:r>
    </w:p>
    <w:p>
      <w:pPr>
        <w:sectPr>
          <w:pgSz w:w="11900" w:h="16838" w:orient="portrait"/>
          <w:cols w:equalWidth="0" w:num="1">
            <w:col w:w="11240"/>
          </w:cols>
          <w:pgMar w:left="320" w:top="101" w:right="339" w:bottom="0" w:gutter="0" w:footer="0" w:header="0"/>
        </w:sectPr>
      </w:pPr>
    </w:p>
    <w:bookmarkStart w:id="6" w:name="page7"/>
    <w:bookmarkEnd w:id="6"/>
    <w:p>
      <w:pPr>
        <w:ind w:left="60"/>
        <w:spacing w:after="0"/>
        <w:rPr>
          <w:sz w:val="20"/>
          <w:szCs w:val="20"/>
          <w:color w:val="auto"/>
        </w:rPr>
      </w:pPr>
      <w:r>
        <w:rPr>
          <w:sz w:val="1"/>
          <w:szCs w:val="1"/>
          <w:color w:val="auto"/>
        </w:rPr>
        <w:drawing>
          <wp:inline distT="0" distB="0" distL="0" distR="0">
            <wp:extent cx="33655" cy="16700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33655" cy="167005"/>
                    </a:xfrm>
                    <a:prstGeom prst="rect">
                      <a:avLst/>
                    </a:prstGeom>
                    <a:noFill/>
                    <a:ln>
                      <a:noFill/>
                    </a:ln>
                  </pic:spPr>
                </pic:pic>
              </a:graphicData>
            </a:graphic>
          </wp:inline>
        </w:drawing>
      </w:r>
      <w:r>
        <w:rPr>
          <w:rFonts w:ascii="Times New Roman" w:cs="Times New Roman" w:eastAsia="Times New Roman" w:hAnsi="Times New Roman"/>
          <w:sz w:val="18"/>
          <w:szCs w:val="18"/>
          <w:color w:val="0000FF"/>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1062355" cy="11353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1062355" cy="11353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0000FF"/>
        </w:rPr>
        <w:t>CONNECTICUT</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FLORIDA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MASSACHUSETTS</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NEW YORK</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 Craig Cognetti</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5281594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Grail Partners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163941</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2 Embarcadero Center</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8th Floor</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4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San Francisco</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94111</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DISTRICT OF COLUMBIA</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2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1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-1597660</wp:posOffset>
            </wp:positionV>
            <wp:extent cx="59690" cy="13798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59690" cy="13798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-3342640</wp:posOffset>
            </wp:positionV>
            <wp:extent cx="7157720" cy="32359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32359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-3342640</wp:posOffset>
            </wp:positionV>
            <wp:extent cx="7157720" cy="32359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32359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30,000,000</w:t>
            </w:r>
            <w:r>
              <w:rPr>
                <w:rFonts w:ascii="Arial" w:cs="Arial" w:eastAsia="Arial" w:hAnsi="Arial"/>
                <w:sz w:val="18"/>
                <w:szCs w:val="18"/>
                <w:color w:val="auto"/>
                <w:w w:val="99"/>
              </w:rPr>
              <w:t xml:space="preserve"> USD</w:t>
            </w:r>
          </w:p>
        </w:tc>
        <w:tc>
          <w:tcPr>
            <w:tcW w:w="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600" w:type="dxa"/>
            <w:vAlign w:val="bottom"/>
          </w:tcPr>
          <w:p>
            <w:pPr>
              <w:ind w:left="24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11,020,000</w:t>
            </w:r>
            <w:r>
              <w:rPr>
                <w:rFonts w:ascii="Arial" w:cs="Arial" w:eastAsia="Arial" w:hAnsi="Arial"/>
                <w:sz w:val="18"/>
                <w:szCs w:val="18"/>
                <w:color w:val="auto"/>
                <w:w w:val="99"/>
              </w:rPr>
              <w:t xml:space="preserve"> USD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-326390</wp:posOffset>
            </wp:positionV>
            <wp:extent cx="128905" cy="1282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Remaining to be Sold $</w:t>
      </w:r>
      <w:r>
        <w:rPr>
          <w:rFonts w:ascii="Times New Roman" w:cs="Times New Roman" w:eastAsia="Times New Roman" w:hAnsi="Times New Roman"/>
          <w:sz w:val="18"/>
          <w:szCs w:val="18"/>
          <w:color w:val="0000FF"/>
        </w:rPr>
        <w:t>18,980,000</w:t>
      </w:r>
      <w:r>
        <w:rPr>
          <w:rFonts w:ascii="Arial" w:cs="Arial" w:eastAsia="Arial" w:hAnsi="Arial"/>
          <w:sz w:val="18"/>
          <w:szCs w:val="18"/>
          <w:color w:val="auto"/>
        </w:rPr>
        <w:t xml:space="preserve"> USD or </w:t>
      </w:r>
      <w:r>
        <w:rPr>
          <w:sz w:val="1"/>
          <w:szCs w:val="1"/>
          <w:color w:val="auto"/>
        </w:rPr>
        <w:drawing>
          <wp:inline distT="0" distB="0" distL="0" distR="0">
            <wp:extent cx="201295" cy="14986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Indefinite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-12065</wp:posOffset>
            </wp:positionV>
            <wp:extent cx="201295" cy="127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1,139,350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20,000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The company understands this to be the approximate allocation of the amount paid to promoters in the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1,159,350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Reflects total amount allocated to promoters in the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 w:right="339" w:bottom="0" w:gutter="0" w:footer="0" w:header="0"/>
        </w:sectPr>
      </w:pPr>
    </w:p>
    <w:bookmarkStart w:id="7" w:name="page8"/>
    <w:bookmarkEnd w:id="7"/>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4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1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9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Innventure, Inc.</w:t>
            </w:r>
          </w:p>
        </w:tc>
        <w:tc>
          <w:tcPr>
            <w:tcW w:w="20" w:type="dxa"/>
            <w:vAlign w:val="bottom"/>
          </w:tcPr>
          <w:p>
            <w:pPr>
              <w:spacing w:after="0"/>
              <w:rPr>
                <w:sz w:val="20"/>
                <w:szCs w:val="20"/>
                <w:color w:val="auto"/>
              </w:rPr>
            </w:pPr>
          </w:p>
        </w:tc>
        <w:tc>
          <w:tcPr>
            <w:tcW w:w="24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Gregory Haskell</w:t>
            </w:r>
          </w:p>
        </w:tc>
        <w:tc>
          <w:tcPr>
            <w:tcW w:w="40" w:type="dxa"/>
            <w:vAlign w:val="bottom"/>
          </w:tcPr>
          <w:p>
            <w:pPr>
              <w:spacing w:after="0"/>
              <w:rPr>
                <w:sz w:val="20"/>
                <w:szCs w:val="20"/>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Gregory Haskell</w:t>
            </w:r>
          </w:p>
        </w:tc>
        <w:tc>
          <w:tcPr>
            <w:tcW w:w="20" w:type="dxa"/>
            <w:vAlign w:val="bottom"/>
          </w:tcPr>
          <w:p>
            <w:pPr>
              <w:spacing w:after="0"/>
              <w:rPr>
                <w:sz w:val="20"/>
                <w:szCs w:val="20"/>
                <w:color w:val="auto"/>
              </w:rPr>
            </w:pPr>
          </w:p>
        </w:tc>
        <w:tc>
          <w:tcPr>
            <w:tcW w:w="29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50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18"/>
                <w:szCs w:val="18"/>
                <w:color w:val="0000FF"/>
                <w:w w:val="97"/>
              </w:rPr>
              <w:t>2024-10-15</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9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jpe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jpeg"/><Relationship Id="rId213" Type="http://schemas.openxmlformats.org/officeDocument/2006/relationships/image" Target="media/image205.jpeg"/><Relationship Id="rId214" Type="http://schemas.openxmlformats.org/officeDocument/2006/relationships/image" Target="media/image206.jpe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jpeg"/><Relationship Id="rId220" Type="http://schemas.openxmlformats.org/officeDocument/2006/relationships/image" Target="media/image212.jpe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jpe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jpe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jpe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jpe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jpe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jpeg"/><Relationship Id="rId321" Type="http://schemas.openxmlformats.org/officeDocument/2006/relationships/image" Target="media/image313.jpe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jpeg"/><Relationship Id="rId325" Type="http://schemas.openxmlformats.org/officeDocument/2006/relationships/image" Target="media/image317.png"/><Relationship Id="rId326" Type="http://schemas.openxmlformats.org/officeDocument/2006/relationships/image" Target="media/image318.jpe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jpeg"/><Relationship Id="rId330" Type="http://schemas.openxmlformats.org/officeDocument/2006/relationships/image" Target="media/image322.jpeg"/><Relationship Id="rId331" Type="http://schemas.openxmlformats.org/officeDocument/2006/relationships/image" Target="media/image323.jpeg"/><Relationship Id="rId332" Type="http://schemas.openxmlformats.org/officeDocument/2006/relationships/image" Target="media/image324.jpeg"/><Relationship Id="rId333" Type="http://schemas.openxmlformats.org/officeDocument/2006/relationships/image" Target="media/image325.jpe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jpe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9"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2024-10-16T05:13:51Z</dcterms:created>
  <dcterms:modified xsi:type="dcterms:W3CDTF">2024-10-16T05:13:51Z</dcterms:modified>
</cp:coreProperties>
</file>