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Williams Elizabeth Suzanne</w:t>
              </w:r>
            </w:hyperlink>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420" w:type="dxa"/>
            <w:vAlign w:val="bottom"/>
            <w:tcBorders>
              <w:bottom w:val="single" w:sz="8" w:color="0000EE"/>
            </w:tcBorders>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06/25/2025</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06/25/2025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22,305</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29,682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to the Reporting Person under the Innventure, Inc. 2024 Equity and Incentive Compensation Plan, and vesting on the earlier of (a) the first anniversary of the date of grant and (b) the next regularly scheduled annual meeting of stockholders of Innventure, Inc.</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06/27/2025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8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2919"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2025-06-27T18:07:13Z</dcterms:created>
  <dcterms:modified xsi:type="dcterms:W3CDTF">2025-06-27T18:07:13Z</dcterms:modified>
</cp:coreProperties>
</file>