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185420</wp:posOffset>
            </wp:positionH>
            <wp:positionV relativeFrom="page">
              <wp:posOffset>134620</wp:posOffset>
            </wp:positionV>
            <wp:extent cx="7178040" cy="22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22860"/>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214630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2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2686685</wp:posOffset>
            </wp:positionH>
            <wp:positionV relativeFrom="paragraph">
              <wp:posOffset>93345</wp:posOffset>
            </wp:positionV>
            <wp:extent cx="1794510" cy="114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94510" cy="11430"/>
                    </a:xfrm>
                    <a:prstGeom prst="rect">
                      <a:avLst/>
                    </a:prstGeom>
                    <a:noFill/>
                  </pic:spPr>
                </pic:pic>
              </a:graphicData>
            </a:graphic>
          </wp:anchor>
        </w:drawing>
      </w:r>
    </w:p>
    <w:p>
      <w:pPr>
        <w:spacing w:after="0" w:line="2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2686685</wp:posOffset>
            </wp:positionH>
            <wp:positionV relativeFrom="paragraph">
              <wp:posOffset>104775</wp:posOffset>
            </wp:positionV>
            <wp:extent cx="1794510" cy="11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94510" cy="11430"/>
                    </a:xfrm>
                    <a:prstGeom prst="rect">
                      <a:avLst/>
                    </a:prstGeom>
                    <a:noFill/>
                  </pic:spPr>
                </pic:pic>
              </a:graphicData>
            </a:graphic>
          </wp:anchor>
        </w:drawing>
      </w:r>
    </w:p>
    <w:p>
      <w:pPr>
        <w:spacing w:after="0" w:line="29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2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Pursuant to Section 13 OR 15(d) of The Securities Exchange Act of 1934</w:t>
      </w:r>
    </w:p>
    <w:p>
      <w:pPr>
        <w:spacing w:after="0" w:line="14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 xml:space="preserve">Date of Report (Date of earliest event reported): </w:t>
      </w:r>
      <w:r>
        <w:rPr>
          <w:rFonts w:ascii="Times New Roman" w:cs="Times New Roman" w:eastAsia="Times New Roman" w:hAnsi="Times New Roman"/>
          <w:sz w:val="12"/>
          <w:szCs w:val="12"/>
          <w:b w:val="1"/>
          <w:bCs w:val="1"/>
          <w:color w:val="auto"/>
        </w:rPr>
        <w:t>November 14,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2686685</wp:posOffset>
            </wp:positionH>
            <wp:positionV relativeFrom="paragraph">
              <wp:posOffset>104775</wp:posOffset>
            </wp:positionV>
            <wp:extent cx="1794510" cy="114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94510" cy="11430"/>
                    </a:xfrm>
                    <a:prstGeom prst="rect">
                      <a:avLst/>
                    </a:prstGeom>
                    <a:noFill/>
                  </pic:spPr>
                </pic:pic>
              </a:graphicData>
            </a:graphic>
          </wp:anchor>
        </w:drawing>
      </w:r>
    </w:p>
    <w:p>
      <w:pPr>
        <w:spacing w:after="0" w:line="27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Innventure, Inc.</w:t>
      </w:r>
    </w:p>
    <w:p>
      <w:pPr>
        <w:spacing w:after="0" w:line="16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2686685</wp:posOffset>
            </wp:positionH>
            <wp:positionV relativeFrom="paragraph">
              <wp:posOffset>102235</wp:posOffset>
            </wp:positionV>
            <wp:extent cx="1794510" cy="114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94510" cy="11430"/>
                    </a:xfrm>
                    <a:prstGeom prst="rect">
                      <a:avLst/>
                    </a:prstGeom>
                    <a:noFill/>
                  </pic:spPr>
                </pic:pic>
              </a:graphicData>
            </a:graphic>
          </wp:anchor>
        </w:drawing>
      </w:r>
    </w:p>
    <w:p>
      <w:pPr>
        <w:sectPr>
          <w:pgSz w:w="11900" w:h="16838" w:orient="portrait"/>
          <w:cols w:equalWidth="0" w:num="1">
            <w:col w:w="11300"/>
          </w:cols>
          <w:pgMar w:left="300" w:top="391" w:right="299" w:bottom="1440" w:gutter="0" w:footer="0" w:header="0"/>
        </w:sectPr>
      </w:pPr>
    </w:p>
    <w:p>
      <w:pPr>
        <w:spacing w:after="0" w:line="308"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2"/>
          <w:szCs w:val="12"/>
          <w:b w:val="1"/>
          <w:bCs w:val="1"/>
          <w:color w:val="auto"/>
        </w:rPr>
        <w:t>Delaware</w:t>
      </w:r>
    </w:p>
    <w:p>
      <w:pPr>
        <w:spacing w:after="0" w:line="2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2"/>
          <w:szCs w:val="12"/>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88" w:lineRule="exact"/>
        <w:rPr>
          <w:sz w:val="24"/>
          <w:szCs w:val="24"/>
          <w:color w:val="auto"/>
        </w:rPr>
      </w:pPr>
    </w:p>
    <w:p>
      <w:pPr>
        <w:jc w:val="center"/>
        <w:ind w:right="1560"/>
        <w:spacing w:after="0"/>
        <w:rPr>
          <w:sz w:val="20"/>
          <w:szCs w:val="20"/>
          <w:color w:val="auto"/>
        </w:rPr>
      </w:pPr>
      <w:r>
        <w:rPr>
          <w:rFonts w:ascii="Times New Roman" w:cs="Times New Roman" w:eastAsia="Times New Roman" w:hAnsi="Times New Roman"/>
          <w:sz w:val="12"/>
          <w:szCs w:val="12"/>
          <w:b w:val="1"/>
          <w:bCs w:val="1"/>
          <w:color w:val="auto"/>
        </w:rPr>
        <w:t>001-42303</w:t>
      </w:r>
    </w:p>
    <w:p>
      <w:pPr>
        <w:spacing w:after="0" w:line="21" w:lineRule="exact"/>
        <w:rPr>
          <w:sz w:val="24"/>
          <w:szCs w:val="24"/>
          <w:color w:val="auto"/>
        </w:rPr>
      </w:pPr>
    </w:p>
    <w:p>
      <w:pPr>
        <w:jc w:val="center"/>
        <w:ind w:right="1560"/>
        <w:spacing w:after="0"/>
        <w:rPr>
          <w:sz w:val="20"/>
          <w:szCs w:val="20"/>
          <w:color w:val="auto"/>
        </w:rPr>
      </w:pPr>
      <w:r>
        <w:rPr>
          <w:rFonts w:ascii="Times New Roman" w:cs="Times New Roman" w:eastAsia="Times New Roman" w:hAnsi="Times New Roman"/>
          <w:sz w:val="12"/>
          <w:szCs w:val="12"/>
          <w:color w:val="auto"/>
        </w:rPr>
        <w:t>(Commission File Number)</w:t>
      </w:r>
    </w:p>
    <w:p>
      <w:pPr>
        <w:spacing w:after="0" w:line="20" w:lineRule="exact"/>
        <w:rPr>
          <w:sz w:val="24"/>
          <w:szCs w:val="24"/>
          <w:color w:val="auto"/>
        </w:rPr>
      </w:pPr>
      <w:r>
        <w:rPr>
          <w:sz w:val="24"/>
          <w:szCs w:val="24"/>
          <w:color w:val="auto"/>
        </w:rPr>
        <w:br w:type="column"/>
      </w:r>
    </w:p>
    <w:p>
      <w:pPr>
        <w:spacing w:after="0" w:line="288"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2"/>
          <w:szCs w:val="12"/>
          <w:b w:val="1"/>
          <w:bCs w:val="1"/>
          <w:color w:val="auto"/>
        </w:rPr>
        <w:t>93-4440048</w:t>
      </w:r>
    </w:p>
    <w:p>
      <w:pPr>
        <w:spacing w:after="0" w:line="21"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2"/>
          <w:szCs w:val="12"/>
          <w:color w:val="auto"/>
        </w:rPr>
        <w:t>(IRS Employer Identification No.)</w:t>
      </w:r>
    </w:p>
    <w:p>
      <w:pPr>
        <w:spacing w:after="0" w:line="135" w:lineRule="exact"/>
        <w:rPr>
          <w:sz w:val="24"/>
          <w:szCs w:val="24"/>
          <w:color w:val="auto"/>
        </w:rPr>
      </w:pPr>
    </w:p>
    <w:p>
      <w:pPr>
        <w:sectPr>
          <w:pgSz w:w="11900" w:h="16838" w:orient="portrait"/>
          <w:cols w:equalWidth="0" w:num="3">
            <w:col w:w="4260" w:space="720"/>
            <w:col w:w="2900" w:space="720"/>
            <w:col w:w="2700"/>
          </w:cols>
          <w:pgMar w:left="300" w:top="391" w:right="299" w:bottom="1440" w:gutter="0" w:footer="0" w:header="0"/>
          <w:type w:val="continuous"/>
        </w:sectPr>
      </w:pPr>
    </w:p>
    <w:p>
      <w:pPr>
        <w:jc w:val="center"/>
        <w:ind w:right="2000"/>
        <w:spacing w:after="0"/>
        <w:rPr>
          <w:sz w:val="20"/>
          <w:szCs w:val="20"/>
          <w:color w:val="auto"/>
        </w:rPr>
      </w:pPr>
      <w:r>
        <w:rPr>
          <w:rFonts w:ascii="Times New Roman" w:cs="Times New Roman" w:eastAsia="Times New Roman" w:hAnsi="Times New Roman"/>
          <w:sz w:val="11"/>
          <w:szCs w:val="11"/>
          <w:b w:val="1"/>
          <w:bCs w:val="1"/>
          <w:color w:val="auto"/>
        </w:rPr>
        <w:t>6900 Tavistock Lakes Blvd, Suite 400</w:t>
      </w:r>
    </w:p>
    <w:p>
      <w:pPr>
        <w:spacing w:after="0" w:line="32"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12"/>
          <w:szCs w:val="12"/>
          <w:b w:val="1"/>
          <w:bCs w:val="1"/>
          <w:color w:val="auto"/>
        </w:rPr>
        <w:t>Orlando, Florida</w:t>
      </w:r>
    </w:p>
    <w:p>
      <w:pPr>
        <w:spacing w:after="0" w:line="6"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11"/>
          <w:szCs w:val="1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jc w:val="center"/>
        <w:ind w:right="2500"/>
        <w:spacing w:after="0"/>
        <w:rPr>
          <w:sz w:val="20"/>
          <w:szCs w:val="20"/>
          <w:color w:val="auto"/>
        </w:rPr>
      </w:pPr>
      <w:r>
        <w:rPr>
          <w:rFonts w:ascii="Times New Roman" w:cs="Times New Roman" w:eastAsia="Times New Roman" w:hAnsi="Times New Roman"/>
          <w:sz w:val="12"/>
          <w:szCs w:val="12"/>
          <w:b w:val="1"/>
          <w:bCs w:val="1"/>
          <w:color w:val="auto"/>
        </w:rPr>
        <w:t>32827</w:t>
      </w:r>
    </w:p>
    <w:p>
      <w:pPr>
        <w:spacing w:after="0" w:line="21" w:lineRule="exact"/>
        <w:rPr>
          <w:sz w:val="24"/>
          <w:szCs w:val="24"/>
          <w:color w:val="auto"/>
        </w:rPr>
      </w:pPr>
    </w:p>
    <w:p>
      <w:pPr>
        <w:jc w:val="center"/>
        <w:ind w:right="2500"/>
        <w:spacing w:after="0"/>
        <w:rPr>
          <w:sz w:val="20"/>
          <w:szCs w:val="20"/>
          <w:color w:val="auto"/>
        </w:rPr>
      </w:pPr>
      <w:r>
        <w:rPr>
          <w:rFonts w:ascii="Times New Roman" w:cs="Times New Roman" w:eastAsia="Times New Roman" w:hAnsi="Times New Roman"/>
          <w:sz w:val="12"/>
          <w:szCs w:val="12"/>
          <w:color w:val="auto"/>
        </w:rPr>
        <w:t>(Zip Code)</w:t>
      </w:r>
    </w:p>
    <w:p>
      <w:pPr>
        <w:spacing w:after="0" w:line="135" w:lineRule="exact"/>
        <w:rPr>
          <w:sz w:val="24"/>
          <w:szCs w:val="24"/>
          <w:color w:val="auto"/>
        </w:rPr>
      </w:pPr>
    </w:p>
    <w:p>
      <w:pPr>
        <w:sectPr>
          <w:pgSz w:w="11900" w:h="16838" w:orient="portrait"/>
          <w:cols w:equalWidth="0" w:num="2">
            <w:col w:w="7540" w:space="720"/>
            <w:col w:w="3040"/>
          </w:cols>
          <w:pgMar w:left="300" w:top="391" w:right="299" w:bottom="1440" w:gutter="0" w:footer="0" w:header="0"/>
          <w:type w:val="continuous"/>
        </w:sectPr>
      </w:pPr>
    </w:p>
    <w:p>
      <w:pPr>
        <w:spacing w:after="0" w:line="4"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11"/>
          <w:szCs w:val="11"/>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(321) 209-6787</w:t>
      </w:r>
    </w:p>
    <w:p>
      <w:pPr>
        <w:spacing w:after="0" w:line="150" w:lineRule="exact"/>
        <w:rPr>
          <w:sz w:val="24"/>
          <w:szCs w:val="24"/>
          <w:color w:val="auto"/>
        </w:rPr>
      </w:pPr>
    </w:p>
    <w:p>
      <w:pPr>
        <w:sectPr>
          <w:pgSz w:w="11900" w:h="16838" w:orient="portrait"/>
          <w:cols w:equalWidth="0" w:num="2">
            <w:col w:w="6480" w:space="60"/>
            <w:col w:w="4760"/>
          </w:cols>
          <w:pgMar w:left="300" w:top="391" w:right="29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 applicable</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2686685</wp:posOffset>
            </wp:positionH>
            <wp:positionV relativeFrom="paragraph">
              <wp:posOffset>102870</wp:posOffset>
            </wp:positionV>
            <wp:extent cx="1794510" cy="114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94510" cy="11430"/>
                    </a:xfrm>
                    <a:prstGeom prst="rect">
                      <a:avLst/>
                    </a:prstGeom>
                    <a:noFill/>
                  </pic:spPr>
                </pic:pic>
              </a:graphicData>
            </a:graphic>
          </wp:anchor>
        </w:drawing>
      </w:r>
    </w:p>
    <w:p>
      <w:pPr>
        <w:sectPr>
          <w:pgSz w:w="11900" w:h="16838" w:orient="portrait"/>
          <w:cols w:equalWidth="0" w:num="1">
            <w:col w:w="11300"/>
          </w:cols>
          <w:pgMar w:left="300" w:top="391" w:right="299" w:bottom="1440" w:gutter="0" w:footer="0" w:header="0"/>
          <w:type w:val="continuous"/>
        </w:sectPr>
      </w:pPr>
    </w:p>
    <w:p>
      <w:pPr>
        <w:spacing w:after="0" w:line="313"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150" w:lineRule="exact"/>
        <w:rPr>
          <w:sz w:val="24"/>
          <w:szCs w:val="24"/>
          <w:color w:val="auto"/>
        </w:rPr>
      </w:pPr>
    </w:p>
    <w:p>
      <w:pPr>
        <w:ind w:left="540" w:hanging="224"/>
        <w:spacing w:after="0"/>
        <w:tabs>
          <w:tab w:leader="none" w:pos="54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50" w:lineRule="exact"/>
        <w:rPr>
          <w:rFonts w:ascii="MS PGothic" w:cs="MS PGothic" w:eastAsia="MS PGothic" w:hAnsi="MS PGothic"/>
          <w:sz w:val="12"/>
          <w:szCs w:val="12"/>
          <w:color w:val="auto"/>
        </w:rPr>
      </w:pPr>
    </w:p>
    <w:p>
      <w:pPr>
        <w:ind w:left="540" w:hanging="224"/>
        <w:spacing w:after="0"/>
        <w:tabs>
          <w:tab w:leader="none" w:pos="54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150" w:lineRule="exact"/>
        <w:rPr>
          <w:rFonts w:ascii="MS PGothic" w:cs="MS PGothic" w:eastAsia="MS PGothic" w:hAnsi="MS PGothic"/>
          <w:sz w:val="12"/>
          <w:szCs w:val="12"/>
          <w:color w:val="auto"/>
        </w:rPr>
      </w:pPr>
    </w:p>
    <w:p>
      <w:pPr>
        <w:ind w:left="540" w:hanging="224"/>
        <w:spacing w:after="0"/>
        <w:tabs>
          <w:tab w:leader="none" w:pos="54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150" w:lineRule="exact"/>
        <w:rPr>
          <w:rFonts w:ascii="MS PGothic" w:cs="MS PGothic" w:eastAsia="MS PGothic" w:hAnsi="MS PGothic"/>
          <w:sz w:val="12"/>
          <w:szCs w:val="12"/>
          <w:color w:val="auto"/>
        </w:rPr>
      </w:pPr>
    </w:p>
    <w:p>
      <w:pPr>
        <w:ind w:right="5400" w:firstLine="316"/>
        <w:spacing w:after="0" w:line="500" w:lineRule="auto"/>
        <w:tabs>
          <w:tab w:leader="none" w:pos="54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55"/>
        </w:trPr>
        <w:tc>
          <w:tcPr>
            <w:tcW w:w="4240" w:type="dxa"/>
            <w:vAlign w:val="bottom"/>
            <w:tcBorders>
              <w:bottom w:val="single" w:sz="8" w:color="auto"/>
            </w:tcBorders>
          </w:tcPr>
          <w:p>
            <w:pPr>
              <w:ind w:left="1820"/>
              <w:spacing w:after="0"/>
              <w:rPr>
                <w:sz w:val="20"/>
                <w:szCs w:val="20"/>
                <w:color w:val="auto"/>
              </w:rPr>
            </w:pPr>
            <w:r>
              <w:rPr>
                <w:rFonts w:ascii="Times New Roman" w:cs="Times New Roman" w:eastAsia="Times New Roman" w:hAnsi="Times New Roman"/>
                <w:sz w:val="12"/>
                <w:szCs w:val="12"/>
                <w:color w:val="auto"/>
              </w:rPr>
              <w:t>Title of each class</w:t>
            </w:r>
          </w:p>
        </w:tc>
        <w:tc>
          <w:tcPr>
            <w:tcW w:w="282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2"/>
                <w:szCs w:val="12"/>
                <w:color w:val="auto"/>
              </w:rPr>
              <w:t>Trading Symbol(s)</w:t>
            </w:r>
          </w:p>
        </w:tc>
        <w:tc>
          <w:tcPr>
            <w:tcW w:w="4240" w:type="dxa"/>
            <w:vAlign w:val="bottom"/>
            <w:tcBorders>
              <w:bottom w:val="single" w:sz="8" w:color="auto"/>
            </w:tcBorders>
          </w:tcPr>
          <w:p>
            <w:pPr>
              <w:jc w:val="center"/>
              <w:ind w:right="220"/>
              <w:spacing w:after="0"/>
              <w:rPr>
                <w:sz w:val="20"/>
                <w:szCs w:val="20"/>
                <w:color w:val="auto"/>
              </w:rPr>
            </w:pPr>
            <w:r>
              <w:rPr>
                <w:rFonts w:ascii="Times New Roman" w:cs="Times New Roman" w:eastAsia="Times New Roman" w:hAnsi="Times New Roman"/>
                <w:sz w:val="12"/>
                <w:szCs w:val="12"/>
                <w:color w:val="auto"/>
                <w:w w:val="99"/>
              </w:rPr>
              <w:t>Name of each exchange on which registered</w:t>
            </w:r>
          </w:p>
        </w:tc>
      </w:tr>
      <w:tr>
        <w:trPr>
          <w:trHeight w:val="153"/>
        </w:trPr>
        <w:tc>
          <w:tcPr>
            <w:tcW w:w="4240" w:type="dxa"/>
            <w:vAlign w:val="bottom"/>
          </w:tcPr>
          <w:p>
            <w:pPr>
              <w:ind w:left="1120"/>
              <w:spacing w:after="0"/>
              <w:rPr>
                <w:sz w:val="20"/>
                <w:szCs w:val="20"/>
                <w:color w:val="auto"/>
              </w:rPr>
            </w:pPr>
            <w:r>
              <w:rPr>
                <w:rFonts w:ascii="Times New Roman" w:cs="Times New Roman" w:eastAsia="Times New Roman" w:hAnsi="Times New Roman"/>
                <w:sz w:val="12"/>
                <w:szCs w:val="12"/>
                <w:color w:val="auto"/>
              </w:rPr>
              <w:t>Common Stock, par value $0.0001 per share</w:t>
            </w:r>
          </w:p>
        </w:tc>
        <w:tc>
          <w:tcPr>
            <w:tcW w:w="2820" w:type="dxa"/>
            <w:vAlign w:val="bottom"/>
          </w:tcPr>
          <w:p>
            <w:pPr>
              <w:ind w:left="1320"/>
              <w:spacing w:after="0"/>
              <w:rPr>
                <w:sz w:val="20"/>
                <w:szCs w:val="20"/>
                <w:color w:val="auto"/>
              </w:rPr>
            </w:pPr>
            <w:r>
              <w:rPr>
                <w:rFonts w:ascii="Times New Roman" w:cs="Times New Roman" w:eastAsia="Times New Roman" w:hAnsi="Times New Roman"/>
                <w:sz w:val="12"/>
                <w:szCs w:val="12"/>
                <w:color w:val="auto"/>
              </w:rPr>
              <w:t>INV</w:t>
            </w:r>
          </w:p>
        </w:tc>
        <w:tc>
          <w:tcPr>
            <w:tcW w:w="4240" w:type="dxa"/>
            <w:vAlign w:val="bottom"/>
          </w:tcPr>
          <w:p>
            <w:pPr>
              <w:jc w:val="center"/>
              <w:ind w:right="240"/>
              <w:spacing w:after="0"/>
              <w:rPr>
                <w:sz w:val="20"/>
                <w:szCs w:val="20"/>
                <w:color w:val="auto"/>
              </w:rPr>
            </w:pPr>
            <w:r>
              <w:rPr>
                <w:rFonts w:ascii="Times New Roman" w:cs="Times New Roman" w:eastAsia="Times New Roman" w:hAnsi="Times New Roman"/>
                <w:sz w:val="12"/>
                <w:szCs w:val="12"/>
                <w:color w:val="auto"/>
                <w:w w:val="99"/>
              </w:rPr>
              <w:t>The Nasdaq Stock Market, LLC</w:t>
            </w:r>
          </w:p>
        </w:tc>
      </w:tr>
    </w:tbl>
    <w:p>
      <w:pPr>
        <w:spacing w:after="0" w:line="122" w:lineRule="exact"/>
        <w:rPr>
          <w:sz w:val="24"/>
          <w:szCs w:val="24"/>
          <w:color w:val="auto"/>
        </w:rPr>
      </w:pPr>
    </w:p>
    <w:p>
      <w:pPr>
        <w:ind w:right="18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3" w:lineRule="exact"/>
        <w:rPr>
          <w:sz w:val="24"/>
          <w:szCs w:val="24"/>
          <w:color w:val="auto"/>
        </w:rPr>
      </w:pPr>
    </w:p>
    <w:p>
      <w:pPr>
        <w:ind w:left="9840"/>
        <w:spacing w:after="0" w:line="127" w:lineRule="exact"/>
        <w:rPr>
          <w:sz w:val="20"/>
          <w:szCs w:val="20"/>
          <w:color w:val="auto"/>
        </w:rPr>
      </w:pPr>
      <w:r>
        <w:rPr>
          <w:rFonts w:ascii="Times New Roman" w:cs="Times New Roman" w:eastAsia="Times New Roman" w:hAnsi="Times New Roman"/>
          <w:sz w:val="11"/>
          <w:szCs w:val="11"/>
          <w:color w:val="auto"/>
        </w:rPr>
        <w:t xml:space="preserve">Emerging growth company </w:t>
      </w:r>
      <w:r>
        <w:rPr>
          <w:rFonts w:ascii="MS PGothic" w:cs="MS PGothic" w:eastAsia="MS PGothic" w:hAnsi="MS PGothic"/>
          <w:sz w:val="11"/>
          <w:szCs w:val="11"/>
          <w:color w:val="auto"/>
        </w:rPr>
        <w:t>☒</w:t>
      </w:r>
    </w:p>
    <w:p>
      <w:pPr>
        <w:spacing w:after="0" w:line="190" w:lineRule="exact"/>
        <w:rPr>
          <w:sz w:val="24"/>
          <w:szCs w:val="24"/>
          <w:color w:val="auto"/>
        </w:rPr>
      </w:pPr>
    </w:p>
    <w:p>
      <w:pPr>
        <w:ind w:right="100"/>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114935</wp:posOffset>
            </wp:positionV>
            <wp:extent cx="71780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177800</wp:posOffset>
            </wp:positionV>
            <wp:extent cx="7178040" cy="228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2286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280670</wp:posOffset>
            </wp:positionV>
            <wp:extent cx="7178040" cy="114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391" w:right="299" w:bottom="1440" w:gutter="0" w:footer="0" w:header="0"/>
          <w:type w:val="continuous"/>
        </w:sectPr>
      </w:pPr>
    </w:p>
    <w:bookmarkStart w:id="1" w:name="page2"/>
    <w:bookmarkEnd w:id="1"/>
    <w:p>
      <w:pPr>
        <w:spacing w:after="0"/>
        <w:tabs>
          <w:tab w:leader="none" w:pos="640" w:val="left"/>
        </w:tabs>
        <w:rPr>
          <w:sz w:val="20"/>
          <w:szCs w:val="20"/>
          <w:color w:val="auto"/>
        </w:rPr>
      </w:pPr>
      <w:r>
        <w:rPr>
          <w:rFonts w:ascii="Times New Roman" w:cs="Times New Roman" w:eastAsia="Times New Roman" w:hAnsi="Times New Roman"/>
          <w:sz w:val="12"/>
          <w:szCs w:val="12"/>
          <w:b w:val="1"/>
          <w:bCs w:val="1"/>
          <w:color w:val="auto"/>
        </w:rPr>
        <w:t>Item 2.02</w:t>
        <w:tab/>
        <w:t>Results of Operations and Financial Condition.</w:t>
      </w:r>
    </w:p>
    <w:p>
      <w:pPr>
        <w:spacing w:after="0" w:line="154" w:lineRule="exact"/>
        <w:rPr>
          <w:sz w:val="20"/>
          <w:szCs w:val="20"/>
          <w:color w:val="auto"/>
        </w:rPr>
      </w:pPr>
    </w:p>
    <w:p>
      <w:pPr>
        <w:ind w:right="220" w:firstLine="432"/>
        <w:spacing w:after="0" w:line="279" w:lineRule="auto"/>
        <w:rPr>
          <w:sz w:val="20"/>
          <w:szCs w:val="20"/>
          <w:color w:val="auto"/>
        </w:rPr>
      </w:pPr>
      <w:r>
        <w:rPr>
          <w:rFonts w:ascii="Times New Roman" w:cs="Times New Roman" w:eastAsia="Times New Roman" w:hAnsi="Times New Roman"/>
          <w:sz w:val="12"/>
          <w:szCs w:val="12"/>
          <w:color w:val="auto"/>
        </w:rPr>
        <w:t>On November 14, 2024, Innventure, Inc. (the “Company”) issued a press release, attached hereto as Exhibit 99.1 and incorporated herein by reference, announcing the Company’s financial results for the third quarter ended September 30, 2024, and certain other information.</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information contained in Item 7.01 concerning the presentation to the Company’s investors is hereby incorporated into this Item 2.02 by reference.</w:t>
      </w:r>
    </w:p>
    <w:p>
      <w:pPr>
        <w:spacing w:after="0" w:line="14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2"/>
          <w:szCs w:val="12"/>
          <w:b w:val="1"/>
          <w:bCs w:val="1"/>
          <w:color w:val="auto"/>
        </w:rPr>
        <w:t>Item 7.01</w:t>
      </w:r>
      <w:r>
        <w:rPr>
          <w:sz w:val="20"/>
          <w:szCs w:val="20"/>
          <w:color w:val="auto"/>
        </w:rPr>
        <w:tab/>
      </w:r>
      <w:r>
        <w:rPr>
          <w:rFonts w:ascii="Times New Roman" w:cs="Times New Roman" w:eastAsia="Times New Roman" w:hAnsi="Times New Roman"/>
          <w:sz w:val="11"/>
          <w:szCs w:val="11"/>
          <w:b w:val="1"/>
          <w:bCs w:val="1"/>
          <w:color w:val="auto"/>
        </w:rPr>
        <w:t>Regulation FD Disclosure.</w:t>
      </w:r>
    </w:p>
    <w:p>
      <w:pPr>
        <w:spacing w:after="0" w:line="154" w:lineRule="exact"/>
        <w:rPr>
          <w:sz w:val="20"/>
          <w:szCs w:val="20"/>
          <w:color w:val="auto"/>
        </w:rPr>
      </w:pPr>
    </w:p>
    <w:p>
      <w:pPr>
        <w:ind w:right="280" w:firstLine="432"/>
        <w:spacing w:after="0" w:line="279" w:lineRule="auto"/>
        <w:rPr>
          <w:sz w:val="20"/>
          <w:szCs w:val="20"/>
          <w:color w:val="auto"/>
        </w:rPr>
      </w:pPr>
      <w:r>
        <w:rPr>
          <w:rFonts w:ascii="Times New Roman" w:cs="Times New Roman" w:eastAsia="Times New Roman" w:hAnsi="Times New Roman"/>
          <w:sz w:val="12"/>
          <w:szCs w:val="12"/>
          <w:color w:val="auto"/>
        </w:rPr>
        <w:t>The slide presentation attached hereto as Exhibit 99.2, and incorporated herein by reference, will be presented to certain investors of the Company on November 14, 2024 and may be used by the Company in various other presentations to investors.</w:t>
      </w:r>
    </w:p>
    <w:p>
      <w:pPr>
        <w:spacing w:after="0" w:line="10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2"/>
          <w:szCs w:val="12"/>
          <w:b w:val="1"/>
          <w:bCs w:val="1"/>
          <w:color w:val="auto"/>
        </w:rPr>
        <w:t>Item 9.01</w:t>
        <w:tab/>
        <w:t>Financial Statements and Exhibits.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 Exhibits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000" w:type="dxa"/>
            <w:vAlign w:val="bottom"/>
            <w:gridSpan w:val="3"/>
          </w:tcPr>
          <w:p>
            <w:pPr>
              <w:ind w:left="780"/>
              <w:spacing w:after="0"/>
              <w:rPr>
                <w:sz w:val="20"/>
                <w:szCs w:val="20"/>
                <w:color w:val="auto"/>
              </w:rPr>
            </w:pPr>
            <w:r>
              <w:rPr>
                <w:rFonts w:ascii="Times New Roman" w:cs="Times New Roman" w:eastAsia="Times New Roman" w:hAnsi="Times New Roman"/>
                <w:sz w:val="12"/>
                <w:szCs w:val="12"/>
                <w:b w:val="1"/>
                <w:bCs w:val="1"/>
                <w:color w:val="auto"/>
              </w:rPr>
              <w:t>Exhibit Number</w:t>
            </w:r>
          </w:p>
        </w:tc>
        <w:tc>
          <w:tcPr>
            <w:tcW w:w="9300" w:type="dxa"/>
            <w:vAlign w:val="bottom"/>
          </w:tcPr>
          <w:p>
            <w:pPr>
              <w:ind w:left="4280"/>
              <w:spacing w:after="0"/>
              <w:rPr>
                <w:sz w:val="20"/>
                <w:szCs w:val="20"/>
                <w:color w:val="auto"/>
              </w:rPr>
            </w:pPr>
            <w:r>
              <w:rPr>
                <w:rFonts w:ascii="Times New Roman" w:cs="Times New Roman" w:eastAsia="Times New Roman" w:hAnsi="Times New Roman"/>
                <w:sz w:val="12"/>
                <w:szCs w:val="12"/>
                <w:b w:val="1"/>
                <w:bCs w:val="1"/>
                <w:color w:val="auto"/>
              </w:rPr>
              <w:t>Description of Exhibit</w:t>
            </w:r>
          </w:p>
        </w:tc>
      </w:tr>
      <w:tr>
        <w:trPr>
          <w:trHeight w:val="128"/>
        </w:trPr>
        <w:tc>
          <w:tcPr>
            <w:tcW w:w="1080" w:type="dxa"/>
            <w:vAlign w:val="bottom"/>
          </w:tcPr>
          <w:p>
            <w:pPr>
              <w:spacing w:after="0"/>
              <w:rPr>
                <w:sz w:val="11"/>
                <w:szCs w:val="11"/>
                <w:color w:val="auto"/>
              </w:rPr>
            </w:pPr>
          </w:p>
        </w:tc>
        <w:tc>
          <w:tcPr>
            <w:tcW w:w="220" w:type="dxa"/>
            <w:vAlign w:val="bottom"/>
            <w:tcBorders>
              <w:bottom w:val="single" w:sz="8" w:color="0000EE"/>
            </w:tcBorders>
          </w:tcPr>
          <w:p>
            <w:pPr>
              <w:jc w:val="center"/>
              <w:spacing w:after="0" w:line="128" w:lineRule="exact"/>
              <w:rPr>
                <w:sz w:val="20"/>
                <w:szCs w:val="20"/>
                <w:color w:val="auto"/>
              </w:rPr>
            </w:pPr>
            <w:r>
              <w:rPr>
                <w:rFonts w:ascii="Times New Roman" w:cs="Times New Roman" w:eastAsia="Times New Roman" w:hAnsi="Times New Roman"/>
                <w:sz w:val="12"/>
                <w:szCs w:val="12"/>
                <w:color w:val="0000EE"/>
              </w:rPr>
              <w:t>99.</w:t>
            </w:r>
            <w:r>
              <w:rPr>
                <w:rFonts w:ascii="Times New Roman" w:cs="Times New Roman" w:eastAsia="Times New Roman" w:hAnsi="Times New Roman"/>
                <w:sz w:val="12"/>
                <w:szCs w:val="12"/>
                <w:u w:val="single" w:color="auto"/>
                <w:color w:val="0000EE"/>
              </w:rPr>
              <w:t>1</w:t>
            </w:r>
          </w:p>
        </w:tc>
        <w:tc>
          <w:tcPr>
            <w:tcW w:w="700" w:type="dxa"/>
            <w:vAlign w:val="bottom"/>
          </w:tcPr>
          <w:p>
            <w:pPr>
              <w:spacing w:after="0"/>
              <w:rPr>
                <w:sz w:val="11"/>
                <w:szCs w:val="11"/>
                <w:color w:val="auto"/>
              </w:rPr>
            </w:pPr>
          </w:p>
        </w:tc>
        <w:tc>
          <w:tcPr>
            <w:tcW w:w="9300" w:type="dxa"/>
            <w:vAlign w:val="bottom"/>
          </w:tcPr>
          <w:p>
            <w:pPr>
              <w:ind w:left="400"/>
              <w:spacing w:after="0" w:line="128" w:lineRule="exact"/>
              <w:rPr>
                <w:sz w:val="20"/>
                <w:szCs w:val="20"/>
                <w:color w:val="auto"/>
              </w:rPr>
            </w:pPr>
            <w:r>
              <w:rPr>
                <w:rFonts w:ascii="Times New Roman" w:cs="Times New Roman" w:eastAsia="Times New Roman" w:hAnsi="Times New Roman"/>
                <w:sz w:val="12"/>
                <w:szCs w:val="12"/>
                <w:color w:val="auto"/>
              </w:rPr>
              <w:t>Press Release by Innventure, Inc. dated November 14, 2024</w:t>
            </w:r>
          </w:p>
        </w:tc>
      </w:tr>
      <w:tr>
        <w:trPr>
          <w:trHeight w:val="124"/>
        </w:trPr>
        <w:tc>
          <w:tcPr>
            <w:tcW w:w="1080" w:type="dxa"/>
            <w:vAlign w:val="bottom"/>
          </w:tcPr>
          <w:p>
            <w:pPr>
              <w:spacing w:after="0"/>
              <w:rPr>
                <w:sz w:val="10"/>
                <w:szCs w:val="10"/>
                <w:color w:val="auto"/>
              </w:rPr>
            </w:pPr>
          </w:p>
        </w:tc>
        <w:tc>
          <w:tcPr>
            <w:tcW w:w="220" w:type="dxa"/>
            <w:vAlign w:val="bottom"/>
            <w:tcBorders>
              <w:bottom w:val="single" w:sz="8" w:color="0000EE"/>
            </w:tcBorders>
          </w:tcPr>
          <w:p>
            <w:pPr>
              <w:jc w:val="center"/>
              <w:spacing w:after="0" w:line="124" w:lineRule="exact"/>
              <w:rPr>
                <w:sz w:val="20"/>
                <w:szCs w:val="20"/>
                <w:color w:val="auto"/>
              </w:rPr>
            </w:pPr>
            <w:r>
              <w:rPr>
                <w:rFonts w:ascii="Times New Roman" w:cs="Times New Roman" w:eastAsia="Times New Roman" w:hAnsi="Times New Roman"/>
                <w:sz w:val="12"/>
                <w:szCs w:val="12"/>
                <w:color w:val="0000EE"/>
              </w:rPr>
              <w:t>99.</w:t>
            </w:r>
            <w:r>
              <w:rPr>
                <w:rFonts w:ascii="Times New Roman" w:cs="Times New Roman" w:eastAsia="Times New Roman" w:hAnsi="Times New Roman"/>
                <w:sz w:val="12"/>
                <w:szCs w:val="12"/>
                <w:u w:val="single" w:color="auto"/>
                <w:color w:val="0000EE"/>
              </w:rPr>
              <w:t>2</w:t>
            </w:r>
          </w:p>
        </w:tc>
        <w:tc>
          <w:tcPr>
            <w:tcW w:w="700" w:type="dxa"/>
            <w:vAlign w:val="bottom"/>
          </w:tcPr>
          <w:p>
            <w:pPr>
              <w:spacing w:after="0"/>
              <w:rPr>
                <w:sz w:val="10"/>
                <w:szCs w:val="10"/>
                <w:color w:val="auto"/>
              </w:rPr>
            </w:pPr>
          </w:p>
        </w:tc>
        <w:tc>
          <w:tcPr>
            <w:tcW w:w="9300" w:type="dxa"/>
            <w:vAlign w:val="bottom"/>
          </w:tcPr>
          <w:p>
            <w:pPr>
              <w:ind w:left="400"/>
              <w:spacing w:after="0" w:line="124" w:lineRule="exact"/>
              <w:rPr>
                <w:sz w:val="20"/>
                <w:szCs w:val="20"/>
                <w:color w:val="auto"/>
              </w:rPr>
            </w:pPr>
            <w:r>
              <w:rPr>
                <w:rFonts w:ascii="Times New Roman" w:cs="Times New Roman" w:eastAsia="Times New Roman" w:hAnsi="Times New Roman"/>
                <w:sz w:val="12"/>
                <w:szCs w:val="12"/>
                <w:color w:val="auto"/>
              </w:rPr>
              <w:t>Innventure, Inc. presentation to investors</w:t>
            </w:r>
          </w:p>
        </w:tc>
      </w:tr>
      <w:tr>
        <w:trPr>
          <w:trHeight w:val="151"/>
        </w:trPr>
        <w:tc>
          <w:tcPr>
            <w:tcW w:w="1300" w:type="dxa"/>
            <w:vAlign w:val="bottom"/>
            <w:gridSpan w:val="2"/>
          </w:tcPr>
          <w:p>
            <w:pPr>
              <w:jc w:val="center"/>
              <w:ind w:left="1020"/>
              <w:spacing w:after="0"/>
              <w:rPr>
                <w:sz w:val="20"/>
                <w:szCs w:val="20"/>
                <w:color w:val="auto"/>
              </w:rPr>
            </w:pPr>
            <w:r>
              <w:rPr>
                <w:rFonts w:ascii="Times New Roman" w:cs="Times New Roman" w:eastAsia="Times New Roman" w:hAnsi="Times New Roman"/>
                <w:sz w:val="12"/>
                <w:szCs w:val="12"/>
                <w:color w:val="auto"/>
                <w:w w:val="99"/>
              </w:rPr>
              <w:t>104</w:t>
            </w:r>
          </w:p>
        </w:tc>
        <w:tc>
          <w:tcPr>
            <w:tcW w:w="700" w:type="dxa"/>
            <w:vAlign w:val="bottom"/>
          </w:tcPr>
          <w:p>
            <w:pPr>
              <w:spacing w:after="0"/>
              <w:rPr>
                <w:sz w:val="13"/>
                <w:szCs w:val="13"/>
                <w:color w:val="auto"/>
              </w:rPr>
            </w:pPr>
          </w:p>
        </w:tc>
        <w:tc>
          <w:tcPr>
            <w:tcW w:w="9300" w:type="dxa"/>
            <w:vAlign w:val="bottom"/>
          </w:tcPr>
          <w:p>
            <w:pPr>
              <w:ind w:left="400"/>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r>
      <w:tr>
        <w:trPr>
          <w:trHeight w:val="261"/>
        </w:trPr>
        <w:tc>
          <w:tcPr>
            <w:tcW w:w="10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9300" w:type="dxa"/>
            <w:vAlign w:val="bottom"/>
            <w:tcBorders>
              <w:bottom w:val="single" w:sz="8" w:color="auto"/>
            </w:tcBorders>
          </w:tcPr>
          <w:p>
            <w:pPr>
              <w:spacing w:after="0"/>
              <w:rPr>
                <w:sz w:val="22"/>
                <w:szCs w:val="22"/>
                <w:color w:val="auto"/>
              </w:rPr>
            </w:pPr>
          </w:p>
        </w:tc>
      </w:tr>
    </w:tbl>
    <w:p>
      <w:pPr>
        <w:sectPr>
          <w:pgSz w:w="11900" w:h="16838" w:orient="portrait"/>
          <w:cols w:equalWidth="0" w:num="1">
            <w:col w:w="11300"/>
          </w:cols>
          <w:pgMar w:left="300" w:top="125" w:right="299" w:bottom="1440" w:gutter="0" w:footer="0" w:header="0"/>
        </w:sectPr>
      </w:pPr>
    </w:p>
    <w:bookmarkStart w:id="2" w:name="page3"/>
    <w:bookmarkEnd w:id="2"/>
    <w:p>
      <w:pPr>
        <w:ind w:left="526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1"/>
          <w:szCs w:val="11"/>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2"/>
          <w:szCs w:val="12"/>
          <w:b w:val="1"/>
          <w:bCs w:val="1"/>
          <w:color w:val="auto"/>
        </w:rPr>
        <w:t>INNVENTURE, INC.</w:t>
      </w:r>
    </w:p>
    <w:p>
      <w:pPr>
        <w:spacing w:after="0" w:line="154" w:lineRule="exact"/>
        <w:rPr>
          <w:sz w:val="20"/>
          <w:szCs w:val="20"/>
          <w:color w:val="auto"/>
        </w:rPr>
      </w:pPr>
    </w:p>
    <w:p>
      <w:pPr>
        <w:spacing w:after="0"/>
        <w:tabs>
          <w:tab w:leader="none" w:pos="5640" w:val="left"/>
          <w:tab w:leader="none" w:pos="5960" w:val="left"/>
        </w:tabs>
        <w:rPr>
          <w:sz w:val="20"/>
          <w:szCs w:val="20"/>
          <w:color w:val="auto"/>
        </w:rPr>
      </w:pPr>
      <w:r>
        <w:rPr>
          <w:rFonts w:ascii="Times New Roman" w:cs="Times New Roman" w:eastAsia="Times New Roman" w:hAnsi="Times New Roman"/>
          <w:sz w:val="12"/>
          <w:szCs w:val="12"/>
          <w:color w:val="auto"/>
        </w:rPr>
        <w:t>Date: November 14, 2024</w:t>
      </w:r>
      <w:r>
        <w:rPr>
          <w:sz w:val="20"/>
          <w:szCs w:val="20"/>
          <w:color w:val="auto"/>
        </w:rPr>
        <w:tab/>
      </w: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1"/>
          <w:szCs w:val="11"/>
          <w:color w:val="auto"/>
        </w:rPr>
        <w:t>/s/ David Yablunosky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3801110</wp:posOffset>
            </wp:positionH>
            <wp:positionV relativeFrom="paragraph">
              <wp:posOffset>16510</wp:posOffset>
            </wp:positionV>
            <wp:extent cx="3371850" cy="114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71850" cy="11430"/>
                    </a:xfrm>
                    <a:prstGeom prst="rect">
                      <a:avLst/>
                    </a:prstGeom>
                    <a:noFill/>
                  </pic:spPr>
                </pic:pic>
              </a:graphicData>
            </a:graphic>
          </wp:anchor>
        </w:drawing>
      </w:r>
    </w:p>
    <w:p>
      <w:pPr>
        <w:spacing w:after="0" w:line="1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2"/>
          <w:szCs w:val="12"/>
          <w:color w:val="auto"/>
        </w:rPr>
        <w:t>Name: David Yablunosky</w:t>
      </w:r>
    </w:p>
    <w:p>
      <w:pPr>
        <w:spacing w:after="0" w:line="1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2"/>
          <w:szCs w:val="12"/>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226695</wp:posOffset>
            </wp:positionV>
            <wp:extent cx="7178040" cy="114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159"/>
          </w:cols>
          <w:pgMar w:left="300" w:top="125" w:right="1440"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78040" cy="228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8040" cy="22860"/>
                    </a:xfrm>
                    <a:prstGeom prst="rect">
                      <a:avLst/>
                    </a:prstGeom>
                    <a:noFill/>
                  </pic:spPr>
                </pic:pic>
              </a:graphicData>
            </a:graphic>
          </wp:anchor>
        </w:drawing>
        <w:t>Exhibit 99.1</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Innventure Reports Third Quarter 2024 Results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Accelsius delivered first revenue generating system during third quarter</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ORLANDO, Fla. (November 14, 2024) – Innventure, Inc. (NASDAQ: INV) (“Innventure”), a technology commercialization platform, today announced financial results for the quarter ended September 30, 2024.</w:t>
      </w:r>
    </w:p>
    <w:p>
      <w:pPr>
        <w:spacing w:after="0" w:line="150" w:lineRule="exact"/>
        <w:rPr>
          <w:sz w:val="20"/>
          <w:szCs w:val="20"/>
          <w:color w:val="auto"/>
        </w:rPr>
      </w:pPr>
    </w:p>
    <w:p>
      <w:pPr>
        <w:ind w:right="280"/>
        <w:spacing w:after="0" w:line="279" w:lineRule="auto"/>
        <w:rPr>
          <w:sz w:val="20"/>
          <w:szCs w:val="20"/>
          <w:color w:val="auto"/>
        </w:rPr>
      </w:pPr>
      <w:r>
        <w:rPr>
          <w:rFonts w:ascii="Times New Roman" w:cs="Times New Roman" w:eastAsia="Times New Roman" w:hAnsi="Times New Roman"/>
          <w:sz w:val="12"/>
          <w:szCs w:val="12"/>
          <w:color w:val="auto"/>
        </w:rPr>
        <w:t>“We are incredibly excited about Innventure’s accomplishments during the third quarter, which subsequently culminated in early October with the close of our business combination and first day of trading on the Nasdaq,” said Bill Haskell, Innventure’s Chief Executive Officer. “Our operating companies continue to outperform our expectations, with both AeroFlexx and Accelsius now delivering commercial product to the marketplace.”</w:t>
      </w:r>
    </w:p>
    <w:p>
      <w:pPr>
        <w:spacing w:after="0" w:line="111" w:lineRule="exact"/>
        <w:rPr>
          <w:sz w:val="20"/>
          <w:szCs w:val="20"/>
          <w:color w:val="auto"/>
        </w:rPr>
      </w:pPr>
    </w:p>
    <w:p>
      <w:pPr>
        <w:ind w:right="200"/>
        <w:spacing w:after="0" w:line="279" w:lineRule="auto"/>
        <w:rPr>
          <w:sz w:val="20"/>
          <w:szCs w:val="20"/>
          <w:color w:val="auto"/>
        </w:rPr>
      </w:pPr>
      <w:r>
        <w:rPr>
          <w:rFonts w:ascii="Times New Roman" w:cs="Times New Roman" w:eastAsia="Times New Roman" w:hAnsi="Times New Roman"/>
          <w:sz w:val="12"/>
          <w:szCs w:val="12"/>
          <w:color w:val="auto"/>
        </w:rPr>
        <w:t>Mr. Haskell continued, “We look forward to sharing more as we scale these companies and launch new companies in the future. I’d like to thank the entire Innventure team for their tireless work making our vision an ever expanding reality. Now as a public company, we can accelerate execution against our mission to bring breakthrough technologies to market and deliver long-term value for our shareholders.”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Conference Call and Webcast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 conference call to discuss these results has been scheduled for 8:30 a.m. ET on Thursday, November 14, 2024. Interested parties can join the call via teleconference by registering at this link:</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https://register.vevent.com/register/BIc433d3bf08f34d37b56270335fc659fe</w:t>
      </w:r>
      <w:r>
        <w:rPr>
          <w:rFonts w:ascii="Times New Roman" w:cs="Times New Roman" w:eastAsia="Times New Roman" w:hAnsi="Times New Roman"/>
          <w:sz w:val="12"/>
          <w:szCs w:val="12"/>
          <w:color w:val="auto"/>
        </w:rPr>
        <w:t>.</w:t>
      </w:r>
    </w:p>
    <w:p>
      <w:pPr>
        <w:spacing w:after="0" w:line="139" w:lineRule="exact"/>
        <w:rPr>
          <w:sz w:val="20"/>
          <w:szCs w:val="20"/>
          <w:color w:val="auto"/>
        </w:rPr>
      </w:pPr>
    </w:p>
    <w:p>
      <w:pPr>
        <w:ind w:right="280"/>
        <w:spacing w:after="0" w:line="279" w:lineRule="auto"/>
        <w:rPr>
          <w:sz w:val="20"/>
          <w:szCs w:val="20"/>
          <w:color w:val="auto"/>
        </w:rPr>
      </w:pPr>
      <w:r>
        <w:rPr>
          <w:rFonts w:ascii="Times New Roman" w:cs="Times New Roman" w:eastAsia="Times New Roman" w:hAnsi="Times New Roman"/>
          <w:sz w:val="12"/>
          <w:szCs w:val="12"/>
          <w:color w:val="auto"/>
        </w:rPr>
        <w:t xml:space="preserve">After registering, you will be provided dial in details and a unique dial-in PIN. Registration is open through the live call, but to ensure you are connected for the full call, we suggest registering in advance. Webcast information and conference call materials will be made available on Innventure’s Investor Relations website here: </w:t>
      </w:r>
      <w:r>
        <w:rPr>
          <w:rFonts w:ascii="Times New Roman" w:cs="Times New Roman" w:eastAsia="Times New Roman" w:hAnsi="Times New Roman"/>
          <w:sz w:val="12"/>
          <w:szCs w:val="12"/>
          <w:u w:val="single" w:color="auto"/>
          <w:color w:val="auto"/>
        </w:rPr>
        <w:t>https://ir.innventure.com/</w:t>
      </w:r>
      <w:r>
        <w:rPr>
          <w:rFonts w:ascii="Times New Roman" w:cs="Times New Roman" w:eastAsia="Times New Roman" w:hAnsi="Times New Roman"/>
          <w:sz w:val="12"/>
          <w:szCs w:val="12"/>
          <w:color w:val="auto"/>
        </w:rPr>
        <w:t>.</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About Innventure</w:t>
      </w:r>
    </w:p>
    <w:p>
      <w:pPr>
        <w:spacing w:after="0" w:line="154"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2"/>
          <w:szCs w:val="12"/>
          <w:color w:val="auto"/>
        </w:rPr>
        <w:t>Innventure founds, funds, and operates companies with a focus on transformative, sustainable technology solutions acquired or licensed from multinational corporations. As owner-operators, Innventure takes what it believes to be breakthrough technologies from early evaluation to scaled commercialization utilizing an approach designed to help mitigate risk as it builds disruptive companies it believes have the potential to achieve a target enterprise value of at least $1 billion. Innventure defines ‘‘disruptive’’ as innovations that have the ability to significantly change the way businesses, industries, markets and/or consumers operate.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65405</wp:posOffset>
            </wp:positionV>
            <wp:extent cx="7178040" cy="114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224" w:right="2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2"/>
          <w:szCs w:val="12"/>
          <w:b w:val="1"/>
          <w:bCs w:val="1"/>
          <w:color w:val="auto"/>
        </w:rPr>
        <w:t>Cautionary Statement Regarding Forward-Looking Statements</w:t>
      </w:r>
    </w:p>
    <w:p>
      <w:pPr>
        <w:spacing w:after="0" w:line="154"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2"/>
          <w:szCs w:val="12"/>
          <w:color w:val="auto"/>
        </w:rPr>
        <w:t>This press release contains forward-looking statements, including statements about the Company’s business model and its and its operating companies’ prospects. In addition, any statements that refer to projections, forecasts or other characterizations of future events or circumstances, including any underlying assumptions, are forward-looking statements. Forward-looking statements generally relate to future events or the Company’s future financial or operating performance and may refer to projections and forecasts. Forward-looking statements are often identified by future or conditional words such as “plan,” “believe,” “expect,” “anticipate,” “intend,” “outlook,” “estimate,” “forecast,” “project,” “continue,” “could,” “may,” “might,” “possible,” “will,” “potential,” “predict,” “should,” “would” and other similar words and expressions (or the negative versions of such words or expressions), but the absence of these words does not mean that a statement is not forward-looking.</w:t>
      </w:r>
    </w:p>
    <w:p>
      <w:pPr>
        <w:spacing w:after="0" w:line="125"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1"/>
          <w:szCs w:val="11"/>
          <w:color w:val="auto"/>
        </w:rPr>
        <w:t>The forward-looking statements are based on the current expectations of the Company’s management and are inherently subject to uncertainties and changes in circumstances and their potential effects and speak only as of the date of this press release. There can be no assurance that future developments will be those that have been anticipated. These forward-looking statements involve a number of risks, uncertainties (some of which are beyond the control of the parties) or other assumptions that may cause actual results or performance to be materially different from those expressed or implied by these forward-looking statements. These risks and uncertainties include, but are not limited to, those factors discussed and identified in other public filings made with the Securities and Exchange Commission by the Company and the following: (a) expectations regarding the Company’s and the Innventure Companies’ (as defined below) strategies and future financial performance, including their future business plans, expansion and acquisition plans or objectives, prospective performance and opportunities and competitors, revenues, products and services, pricing, operating expenses, market trends, liquidity, cash flows and uses of cash, capital expenditures, and the Company’s ability to invest in growth initiatives; (b) the implementation, market acceptance and success of the Company’s and the Innventure Companies’ business models and growth strategies; (c) the Company’s future capital requirements and sources and uses of cash; (d) the Company’s ability to meet the various conditions, including the available cash and performance targets, and access any of the installments draws under the WTI Line of Credit; (e) the Company’s ability to meet the various conditions and satisfy the various limitations under the Standby Equity Purchase Agreement (the “SEPA”) with YA II PN, Ltd., including exchange caps, issuances and subscriptions based on trading volumes, to access the funds available under the SEPA; (f) that the Company will have sufficient capital following the completion of the Business Combination to operate as anticipated; (g) the Company’s ability to obtain funding for its operations and future growth; (h) developments and projections relating to the Company’s and the Innventure Companies’ competitors and industry; (i) the Innventure Companies’ ability to meet, and to continue to meet, applicable regulatory requirements for the use of their products and the numerous regulatory requirements generally applicable to their products and facilities; (j) the outcome of any legal proceedings that may be instituted against the Company in connection with the completion of the Business Combination; (k) the Company’s ability to find future opportunities to license or acquire breakthrough technology solutions from multinational corporations (“MNCs”) and to satisfy the requirements imposed by or to avoid disagreements with its current and future MNC partners; (l) the risk that the Company may be deemed an investment company under the Investment Company Act, which would impose burdensome compliance requirements and restrictions on its activities; (m) the Company’s ability to sufficiently protect the intellectual property rights of itself and its subsidiaries, and to avoid or resolve in a timely and cost-effective manner any disputes that may arise relating to its use of the intellectual property of third parties; (n) the risk of a cyber-attack or a failure of the Company’s information technology and data security infrastructure; (o) the ability to recognize the anticipated benefits of the Business Combination; (p) unexpected costs related to the Business Combination; (q) geopolitical risk and changes in applicable laws or regulations; (r) potential adverse effects of other economic, business, and/or competitive factors; and (s) operational risks related to the Company and its subsidiaries.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Media Contact: </w:t>
      </w:r>
      <w:r>
        <w:rPr>
          <w:rFonts w:ascii="Times New Roman" w:cs="Times New Roman" w:eastAsia="Times New Roman" w:hAnsi="Times New Roman"/>
          <w:sz w:val="12"/>
          <w:szCs w:val="12"/>
          <w:color w:val="auto"/>
        </w:rPr>
        <w:t>Laurie Steinberg, Solebury Strategic Communications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press@innventure.com</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Investor Relations Contact: </w:t>
      </w:r>
      <w:r>
        <w:rPr>
          <w:rFonts w:ascii="Times New Roman" w:cs="Times New Roman" w:eastAsia="Times New Roman" w:hAnsi="Times New Roman"/>
          <w:sz w:val="12"/>
          <w:szCs w:val="12"/>
          <w:color w:val="auto"/>
        </w:rPr>
        <w:t>Sloan Bohlen, Solebury Strategic Communications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investorrelations@innventure.com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78105</wp:posOffset>
            </wp:positionV>
            <wp:extent cx="7178040" cy="114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Innventure LLC and Subsidiaries</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Condensed Consolidated Balance Sheets</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(in thousands, except unit and per unit amounts) (Unaudited)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8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2"/>
                <w:szCs w:val="12"/>
                <w:b w:val="1"/>
                <w:bCs w:val="1"/>
                <w:color w:val="auto"/>
              </w:rPr>
              <w:t>September 30,</w:t>
            </w:r>
          </w:p>
        </w:tc>
        <w:tc>
          <w:tcPr>
            <w:tcW w:w="140" w:type="dxa"/>
            <w:vAlign w:val="bottom"/>
          </w:tcPr>
          <w:p>
            <w:pPr>
              <w:spacing w:after="0"/>
              <w:rPr>
                <w:sz w:val="12"/>
                <w:szCs w:val="12"/>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0" w:type="dxa"/>
            <w:vAlign w:val="bottom"/>
          </w:tcPr>
          <w:p>
            <w:pPr>
              <w:spacing w:after="0"/>
              <w:rPr>
                <w:sz w:val="1"/>
                <w:szCs w:val="1"/>
                <w:color w:val="auto"/>
              </w:rPr>
            </w:pPr>
          </w:p>
        </w:tc>
      </w:tr>
      <w:tr>
        <w:trPr>
          <w:trHeight w:val="159"/>
        </w:trPr>
        <w:tc>
          <w:tcPr>
            <w:tcW w:w="87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9"/>
              </w:rPr>
              <w:t>2024</w:t>
            </w:r>
          </w:p>
        </w:tc>
        <w:tc>
          <w:tcPr>
            <w:tcW w:w="2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70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140" w:type="dxa"/>
            <w:vAlign w:val="bottom"/>
          </w:tcPr>
          <w:p>
            <w:pPr>
              <w:spacing w:after="0"/>
              <w:rPr>
                <w:sz w:val="13"/>
                <w:szCs w:val="13"/>
                <w:color w:val="auto"/>
              </w:rPr>
            </w:pPr>
          </w:p>
        </w:tc>
        <w:tc>
          <w:tcPr>
            <w:tcW w:w="1020" w:type="dxa"/>
            <w:vAlign w:val="bottom"/>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(Unaudited)</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87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8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Cash, cash equivalents and restricted cash</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16,297</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2,575</w:t>
            </w:r>
          </w:p>
        </w:tc>
        <w:tc>
          <w:tcPr>
            <w:tcW w:w="0" w:type="dxa"/>
            <w:vAlign w:val="bottom"/>
          </w:tcPr>
          <w:p>
            <w:pPr>
              <w:spacing w:after="0"/>
              <w:rPr>
                <w:sz w:val="1"/>
                <w:szCs w:val="1"/>
                <w:color w:val="auto"/>
              </w:rPr>
            </w:pPr>
          </w:p>
        </w:tc>
      </w:tr>
      <w:tr>
        <w:trPr>
          <w:trHeight w:val="144"/>
        </w:trPr>
        <w:tc>
          <w:tcPr>
            <w:tcW w:w="87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Prepaid expenses and other current assets</w:t>
            </w:r>
          </w:p>
        </w:tc>
        <w:tc>
          <w:tcPr>
            <w:tcW w:w="14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1,884</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487</w:t>
            </w:r>
          </w:p>
        </w:tc>
        <w:tc>
          <w:tcPr>
            <w:tcW w:w="0" w:type="dxa"/>
            <w:vAlign w:val="bottom"/>
          </w:tcPr>
          <w:p>
            <w:pPr>
              <w:spacing w:after="0"/>
              <w:rPr>
                <w:sz w:val="1"/>
                <w:szCs w:val="1"/>
                <w:color w:val="auto"/>
              </w:rPr>
            </w:pPr>
          </w:p>
        </w:tc>
      </w:tr>
      <w:tr>
        <w:trPr>
          <w:trHeight w:val="144"/>
        </w:trPr>
        <w:tc>
          <w:tcPr>
            <w:tcW w:w="8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Inventory</w:t>
            </w:r>
          </w:p>
        </w:tc>
        <w:tc>
          <w:tcPr>
            <w:tcW w:w="140" w:type="dxa"/>
            <w:vAlign w:val="bottom"/>
            <w:shd w:val="clear" w:color="auto" w:fill="CCEEFF"/>
          </w:tcPr>
          <w:p>
            <w:pPr>
              <w:spacing w:after="0"/>
              <w:rPr>
                <w:sz w:val="12"/>
                <w:szCs w:val="12"/>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2,824</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87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Due from related parties</w:t>
            </w:r>
          </w:p>
        </w:tc>
        <w:tc>
          <w:tcPr>
            <w:tcW w:w="14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210</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2,602</w:t>
            </w:r>
          </w:p>
        </w:tc>
        <w:tc>
          <w:tcPr>
            <w:tcW w:w="0" w:type="dxa"/>
            <w:vAlign w:val="bottom"/>
          </w:tcPr>
          <w:p>
            <w:pPr>
              <w:spacing w:after="0"/>
              <w:rPr>
                <w:sz w:val="1"/>
                <w:szCs w:val="1"/>
                <w:color w:val="auto"/>
              </w:rPr>
            </w:pPr>
          </w:p>
        </w:tc>
      </w:tr>
      <w:tr>
        <w:trPr>
          <w:trHeight w:val="142"/>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Current Assets</w:t>
            </w:r>
          </w:p>
        </w:tc>
        <w:tc>
          <w:tcPr>
            <w:tcW w:w="14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21,215</w:t>
            </w:r>
          </w:p>
        </w:tc>
        <w:tc>
          <w:tcPr>
            <w:tcW w:w="20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5,664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700" w:type="dxa"/>
            <w:vAlign w:val="bottom"/>
          </w:tcPr>
          <w:p>
            <w:pPr>
              <w:spacing w:after="0"/>
              <w:rPr>
                <w:sz w:val="20"/>
                <w:szCs w:val="20"/>
                <w:color w:val="auto"/>
              </w:rPr>
            </w:pPr>
            <w:r>
              <w:rPr>
                <w:rFonts w:ascii="Times New Roman" w:cs="Times New Roman" w:eastAsia="Times New Roman" w:hAnsi="Times New Roman"/>
                <w:sz w:val="12"/>
                <w:szCs w:val="12"/>
                <w:color w:val="auto"/>
              </w:rPr>
              <w:t>Investments</w:t>
            </w:r>
          </w:p>
        </w:tc>
        <w:tc>
          <w:tcPr>
            <w:tcW w:w="14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32,359</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14,167</w:t>
            </w:r>
          </w:p>
        </w:tc>
        <w:tc>
          <w:tcPr>
            <w:tcW w:w="0" w:type="dxa"/>
            <w:vAlign w:val="bottom"/>
          </w:tcPr>
          <w:p>
            <w:pPr>
              <w:spacing w:after="0"/>
              <w:rPr>
                <w:sz w:val="1"/>
                <w:szCs w:val="1"/>
                <w:color w:val="auto"/>
              </w:rPr>
            </w:pPr>
          </w:p>
        </w:tc>
      </w:tr>
      <w:tr>
        <w:trPr>
          <w:trHeight w:val="144"/>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Property, plant and equipment, net</w:t>
            </w:r>
          </w:p>
        </w:tc>
        <w:tc>
          <w:tcPr>
            <w:tcW w:w="140" w:type="dxa"/>
            <w:vAlign w:val="bottom"/>
            <w:shd w:val="clear" w:color="auto" w:fill="CCEEFF"/>
          </w:tcPr>
          <w:p>
            <w:pPr>
              <w:spacing w:after="0"/>
              <w:rPr>
                <w:sz w:val="12"/>
                <w:szCs w:val="12"/>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1,227</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637</w:t>
            </w:r>
          </w:p>
        </w:tc>
        <w:tc>
          <w:tcPr>
            <w:tcW w:w="0" w:type="dxa"/>
            <w:vAlign w:val="bottom"/>
          </w:tcPr>
          <w:p>
            <w:pPr>
              <w:spacing w:after="0"/>
              <w:rPr>
                <w:sz w:val="1"/>
                <w:szCs w:val="1"/>
                <w:color w:val="auto"/>
              </w:rPr>
            </w:pPr>
          </w:p>
        </w:tc>
      </w:tr>
      <w:tr>
        <w:trPr>
          <w:trHeight w:val="144"/>
        </w:trPr>
        <w:tc>
          <w:tcPr>
            <w:tcW w:w="8700" w:type="dxa"/>
            <w:vAlign w:val="bottom"/>
          </w:tcPr>
          <w:p>
            <w:pPr>
              <w:spacing w:after="0"/>
              <w:rPr>
                <w:sz w:val="20"/>
                <w:szCs w:val="20"/>
                <w:color w:val="auto"/>
              </w:rPr>
            </w:pPr>
            <w:r>
              <w:rPr>
                <w:rFonts w:ascii="Times New Roman" w:cs="Times New Roman" w:eastAsia="Times New Roman" w:hAnsi="Times New Roman"/>
                <w:sz w:val="12"/>
                <w:szCs w:val="12"/>
                <w:color w:val="auto"/>
              </w:rPr>
              <w:t>Other assets</w:t>
            </w:r>
          </w:p>
        </w:tc>
        <w:tc>
          <w:tcPr>
            <w:tcW w:w="14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930</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1,096</w:t>
            </w:r>
          </w:p>
        </w:tc>
        <w:tc>
          <w:tcPr>
            <w:tcW w:w="0" w:type="dxa"/>
            <w:vAlign w:val="bottom"/>
          </w:tcPr>
          <w:p>
            <w:pPr>
              <w:spacing w:after="0"/>
              <w:rPr>
                <w:sz w:val="1"/>
                <w:szCs w:val="1"/>
                <w:color w:val="auto"/>
              </w:rPr>
            </w:pPr>
          </w:p>
        </w:tc>
      </w:tr>
      <w:tr>
        <w:trPr>
          <w:trHeight w:val="142"/>
        </w:trPr>
        <w:tc>
          <w:tcPr>
            <w:tcW w:w="8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Assets</w:t>
            </w: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10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55,731</w:t>
            </w:r>
          </w:p>
        </w:tc>
        <w:tc>
          <w:tcPr>
            <w:tcW w:w="2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21,564</w:t>
            </w:r>
          </w:p>
        </w:tc>
        <w:tc>
          <w:tcPr>
            <w:tcW w:w="1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Liabilities and Unitholders’ Capital</w:t>
            </w:r>
          </w:p>
        </w:tc>
        <w:tc>
          <w:tcPr>
            <w:tcW w:w="140" w:type="dxa"/>
            <w:vAlign w:val="bottom"/>
            <w:shd w:val="clear" w:color="auto" w:fill="CCEEFF"/>
          </w:tcPr>
          <w:p>
            <w:pPr>
              <w:spacing w:after="0"/>
              <w:rPr>
                <w:sz w:val="12"/>
                <w:szCs w:val="12"/>
                <w:color w:val="auto"/>
              </w:rPr>
            </w:pPr>
          </w:p>
        </w:tc>
        <w:tc>
          <w:tcPr>
            <w:tcW w:w="10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7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Accounts payable</w:t>
            </w:r>
          </w:p>
        </w:tc>
        <w:tc>
          <w:tcPr>
            <w:tcW w:w="14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4,932</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93</w:t>
            </w:r>
          </w:p>
        </w:tc>
        <w:tc>
          <w:tcPr>
            <w:tcW w:w="0" w:type="dxa"/>
            <w:vAlign w:val="bottom"/>
          </w:tcPr>
          <w:p>
            <w:pPr>
              <w:spacing w:after="0"/>
              <w:rPr>
                <w:sz w:val="1"/>
                <w:szCs w:val="1"/>
                <w:color w:val="auto"/>
              </w:rPr>
            </w:pPr>
          </w:p>
        </w:tc>
      </w:tr>
      <w:tr>
        <w:trPr>
          <w:trHeight w:val="144"/>
        </w:trPr>
        <w:tc>
          <w:tcPr>
            <w:tcW w:w="8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Accrued employee benefits</w:t>
            </w:r>
          </w:p>
        </w:tc>
        <w:tc>
          <w:tcPr>
            <w:tcW w:w="140" w:type="dxa"/>
            <w:vAlign w:val="bottom"/>
            <w:shd w:val="clear" w:color="auto" w:fill="CCEEFF"/>
          </w:tcPr>
          <w:p>
            <w:pPr>
              <w:spacing w:after="0"/>
              <w:rPr>
                <w:sz w:val="12"/>
                <w:szCs w:val="12"/>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7,617</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3,779</w:t>
            </w:r>
          </w:p>
        </w:tc>
        <w:tc>
          <w:tcPr>
            <w:tcW w:w="0" w:type="dxa"/>
            <w:vAlign w:val="bottom"/>
          </w:tcPr>
          <w:p>
            <w:pPr>
              <w:spacing w:after="0"/>
              <w:rPr>
                <w:sz w:val="1"/>
                <w:szCs w:val="1"/>
                <w:color w:val="auto"/>
              </w:rPr>
            </w:pPr>
          </w:p>
        </w:tc>
      </w:tr>
      <w:tr>
        <w:trPr>
          <w:trHeight w:val="144"/>
        </w:trPr>
        <w:tc>
          <w:tcPr>
            <w:tcW w:w="87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Accrued expenses</w:t>
            </w:r>
          </w:p>
        </w:tc>
        <w:tc>
          <w:tcPr>
            <w:tcW w:w="14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1,929</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1,009</w:t>
            </w:r>
          </w:p>
        </w:tc>
        <w:tc>
          <w:tcPr>
            <w:tcW w:w="0" w:type="dxa"/>
            <w:vAlign w:val="bottom"/>
          </w:tcPr>
          <w:p>
            <w:pPr>
              <w:spacing w:after="0"/>
              <w:rPr>
                <w:sz w:val="1"/>
                <w:szCs w:val="1"/>
                <w:color w:val="auto"/>
              </w:rPr>
            </w:pPr>
          </w:p>
        </w:tc>
      </w:tr>
      <w:tr>
        <w:trPr>
          <w:trHeight w:val="144"/>
        </w:trPr>
        <w:tc>
          <w:tcPr>
            <w:tcW w:w="8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Related party payables</w:t>
            </w:r>
          </w:p>
        </w:tc>
        <w:tc>
          <w:tcPr>
            <w:tcW w:w="140" w:type="dxa"/>
            <w:vAlign w:val="bottom"/>
            <w:shd w:val="clear" w:color="auto" w:fill="CCEEFF"/>
          </w:tcPr>
          <w:p>
            <w:pPr>
              <w:spacing w:after="0"/>
              <w:rPr>
                <w:sz w:val="12"/>
                <w:szCs w:val="12"/>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815</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347</w:t>
            </w:r>
          </w:p>
        </w:tc>
        <w:tc>
          <w:tcPr>
            <w:tcW w:w="0" w:type="dxa"/>
            <w:vAlign w:val="bottom"/>
          </w:tcPr>
          <w:p>
            <w:pPr>
              <w:spacing w:after="0"/>
              <w:rPr>
                <w:sz w:val="1"/>
                <w:szCs w:val="1"/>
                <w:color w:val="auto"/>
              </w:rPr>
            </w:pPr>
          </w:p>
        </w:tc>
      </w:tr>
      <w:tr>
        <w:trPr>
          <w:trHeight w:val="144"/>
        </w:trPr>
        <w:tc>
          <w:tcPr>
            <w:tcW w:w="87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Related party notes payable - current</w:t>
            </w:r>
          </w:p>
        </w:tc>
        <w:tc>
          <w:tcPr>
            <w:tcW w:w="14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13,932</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1,000</w:t>
            </w:r>
          </w:p>
        </w:tc>
        <w:tc>
          <w:tcPr>
            <w:tcW w:w="0" w:type="dxa"/>
            <w:vAlign w:val="bottom"/>
          </w:tcPr>
          <w:p>
            <w:pPr>
              <w:spacing w:after="0"/>
              <w:rPr>
                <w:sz w:val="1"/>
                <w:szCs w:val="1"/>
                <w:color w:val="auto"/>
              </w:rPr>
            </w:pPr>
          </w:p>
        </w:tc>
      </w:tr>
      <w:tr>
        <w:trPr>
          <w:trHeight w:val="144"/>
        </w:trPr>
        <w:tc>
          <w:tcPr>
            <w:tcW w:w="8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Notes payable - current</w:t>
            </w:r>
          </w:p>
        </w:tc>
        <w:tc>
          <w:tcPr>
            <w:tcW w:w="140" w:type="dxa"/>
            <w:vAlign w:val="bottom"/>
            <w:shd w:val="clear" w:color="auto" w:fill="CCEEFF"/>
          </w:tcPr>
          <w:p>
            <w:pPr>
              <w:spacing w:after="0"/>
              <w:rPr>
                <w:sz w:val="12"/>
                <w:szCs w:val="12"/>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693</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912</w:t>
            </w:r>
          </w:p>
        </w:tc>
        <w:tc>
          <w:tcPr>
            <w:tcW w:w="0" w:type="dxa"/>
            <w:vAlign w:val="bottom"/>
          </w:tcPr>
          <w:p>
            <w:pPr>
              <w:spacing w:after="0"/>
              <w:rPr>
                <w:sz w:val="1"/>
                <w:szCs w:val="1"/>
                <w:color w:val="auto"/>
              </w:rPr>
            </w:pPr>
          </w:p>
        </w:tc>
      </w:tr>
      <w:tr>
        <w:trPr>
          <w:trHeight w:val="144"/>
        </w:trPr>
        <w:tc>
          <w:tcPr>
            <w:tcW w:w="87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Patent installment payable - current</w:t>
            </w:r>
          </w:p>
        </w:tc>
        <w:tc>
          <w:tcPr>
            <w:tcW w:w="14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525</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775</w:t>
            </w:r>
          </w:p>
        </w:tc>
        <w:tc>
          <w:tcPr>
            <w:tcW w:w="0" w:type="dxa"/>
            <w:vAlign w:val="bottom"/>
          </w:tcPr>
          <w:p>
            <w:pPr>
              <w:spacing w:after="0"/>
              <w:rPr>
                <w:sz w:val="1"/>
                <w:szCs w:val="1"/>
                <w:color w:val="auto"/>
              </w:rPr>
            </w:pPr>
          </w:p>
        </w:tc>
      </w:tr>
      <w:tr>
        <w:trPr>
          <w:trHeight w:val="144"/>
        </w:trPr>
        <w:tc>
          <w:tcPr>
            <w:tcW w:w="8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Liability for future preferred stock issuance</w:t>
            </w:r>
          </w:p>
        </w:tc>
        <w:tc>
          <w:tcPr>
            <w:tcW w:w="140" w:type="dxa"/>
            <w:vAlign w:val="bottom"/>
            <w:shd w:val="clear" w:color="auto" w:fill="CCEEFF"/>
          </w:tcPr>
          <w:p>
            <w:pPr>
              <w:spacing w:after="0"/>
              <w:rPr>
                <w:sz w:val="12"/>
                <w:szCs w:val="12"/>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10,870</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87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Other current liabilities</w:t>
            </w:r>
          </w:p>
        </w:tc>
        <w:tc>
          <w:tcPr>
            <w:tcW w:w="14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288</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253</w:t>
            </w:r>
          </w:p>
        </w:tc>
        <w:tc>
          <w:tcPr>
            <w:tcW w:w="0" w:type="dxa"/>
            <w:vAlign w:val="bottom"/>
          </w:tcPr>
          <w:p>
            <w:pPr>
              <w:spacing w:after="0"/>
              <w:rPr>
                <w:sz w:val="1"/>
                <w:szCs w:val="1"/>
                <w:color w:val="auto"/>
              </w:rPr>
            </w:pPr>
          </w:p>
        </w:tc>
      </w:tr>
      <w:tr>
        <w:trPr>
          <w:trHeight w:val="142"/>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Current Liabilities</w:t>
            </w:r>
          </w:p>
        </w:tc>
        <w:tc>
          <w:tcPr>
            <w:tcW w:w="14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41,601</w:t>
            </w:r>
          </w:p>
        </w:tc>
        <w:tc>
          <w:tcPr>
            <w:tcW w:w="20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8,168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700" w:type="dxa"/>
            <w:vAlign w:val="bottom"/>
          </w:tcPr>
          <w:p>
            <w:pPr>
              <w:spacing w:after="0"/>
              <w:rPr>
                <w:sz w:val="20"/>
                <w:szCs w:val="20"/>
                <w:color w:val="auto"/>
              </w:rPr>
            </w:pPr>
            <w:r>
              <w:rPr>
                <w:rFonts w:ascii="Times New Roman" w:cs="Times New Roman" w:eastAsia="Times New Roman" w:hAnsi="Times New Roman"/>
                <w:sz w:val="12"/>
                <w:szCs w:val="12"/>
                <w:color w:val="auto"/>
              </w:rPr>
              <w:t>Notes payable, net of current portion</w:t>
            </w:r>
          </w:p>
        </w:tc>
        <w:tc>
          <w:tcPr>
            <w:tcW w:w="14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282</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999</w:t>
            </w:r>
          </w:p>
        </w:tc>
        <w:tc>
          <w:tcPr>
            <w:tcW w:w="0" w:type="dxa"/>
            <w:vAlign w:val="bottom"/>
          </w:tcPr>
          <w:p>
            <w:pPr>
              <w:spacing w:after="0"/>
              <w:rPr>
                <w:sz w:val="1"/>
                <w:szCs w:val="1"/>
                <w:color w:val="auto"/>
              </w:rPr>
            </w:pPr>
          </w:p>
        </w:tc>
      </w:tr>
      <w:tr>
        <w:trPr>
          <w:trHeight w:val="144"/>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Convertible promissory note, net</w:t>
            </w:r>
          </w:p>
        </w:tc>
        <w:tc>
          <w:tcPr>
            <w:tcW w:w="1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1,120</w:t>
            </w:r>
          </w:p>
        </w:tc>
        <w:tc>
          <w:tcPr>
            <w:tcW w:w="0" w:type="dxa"/>
            <w:vAlign w:val="bottom"/>
          </w:tcPr>
          <w:p>
            <w:pPr>
              <w:spacing w:after="0"/>
              <w:rPr>
                <w:sz w:val="1"/>
                <w:szCs w:val="1"/>
                <w:color w:val="auto"/>
              </w:rPr>
            </w:pPr>
          </w:p>
        </w:tc>
      </w:tr>
      <w:tr>
        <w:trPr>
          <w:trHeight w:val="144"/>
        </w:trPr>
        <w:tc>
          <w:tcPr>
            <w:tcW w:w="8700" w:type="dxa"/>
            <w:vAlign w:val="bottom"/>
          </w:tcPr>
          <w:p>
            <w:pPr>
              <w:spacing w:after="0"/>
              <w:rPr>
                <w:sz w:val="20"/>
                <w:szCs w:val="20"/>
                <w:color w:val="auto"/>
              </w:rPr>
            </w:pPr>
            <w:r>
              <w:rPr>
                <w:rFonts w:ascii="Times New Roman" w:cs="Times New Roman" w:eastAsia="Times New Roman" w:hAnsi="Times New Roman"/>
                <w:sz w:val="12"/>
                <w:szCs w:val="12"/>
                <w:color w:val="auto"/>
              </w:rPr>
              <w:t>Convertible promissory note due to related party, net</w:t>
            </w:r>
          </w:p>
        </w:tc>
        <w:tc>
          <w:tcPr>
            <w:tcW w:w="14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3,381</w:t>
            </w:r>
          </w:p>
        </w:tc>
        <w:tc>
          <w:tcPr>
            <w:tcW w:w="0" w:type="dxa"/>
            <w:vAlign w:val="bottom"/>
          </w:tcPr>
          <w:p>
            <w:pPr>
              <w:spacing w:after="0"/>
              <w:rPr>
                <w:sz w:val="1"/>
                <w:szCs w:val="1"/>
                <w:color w:val="auto"/>
              </w:rPr>
            </w:pPr>
          </w:p>
        </w:tc>
      </w:tr>
      <w:tr>
        <w:trPr>
          <w:trHeight w:val="144"/>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Embedded derivative liability</w:t>
            </w:r>
          </w:p>
        </w:tc>
        <w:tc>
          <w:tcPr>
            <w:tcW w:w="1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1,994</w:t>
            </w:r>
          </w:p>
        </w:tc>
        <w:tc>
          <w:tcPr>
            <w:tcW w:w="0" w:type="dxa"/>
            <w:vAlign w:val="bottom"/>
          </w:tcPr>
          <w:p>
            <w:pPr>
              <w:spacing w:after="0"/>
              <w:rPr>
                <w:sz w:val="1"/>
                <w:szCs w:val="1"/>
                <w:color w:val="auto"/>
              </w:rPr>
            </w:pPr>
          </w:p>
        </w:tc>
      </w:tr>
      <w:tr>
        <w:trPr>
          <w:trHeight w:val="144"/>
        </w:trPr>
        <w:tc>
          <w:tcPr>
            <w:tcW w:w="8700" w:type="dxa"/>
            <w:vAlign w:val="bottom"/>
          </w:tcPr>
          <w:p>
            <w:pPr>
              <w:spacing w:after="0"/>
              <w:rPr>
                <w:sz w:val="20"/>
                <w:szCs w:val="20"/>
                <w:color w:val="auto"/>
              </w:rPr>
            </w:pPr>
            <w:r>
              <w:rPr>
                <w:rFonts w:ascii="Times New Roman" w:cs="Times New Roman" w:eastAsia="Times New Roman" w:hAnsi="Times New Roman"/>
                <w:sz w:val="12"/>
                <w:szCs w:val="12"/>
                <w:color w:val="auto"/>
              </w:rPr>
              <w:t>Patent installment payable, net of current</w:t>
            </w:r>
          </w:p>
        </w:tc>
        <w:tc>
          <w:tcPr>
            <w:tcW w:w="14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13,075</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13,075</w:t>
            </w:r>
          </w:p>
        </w:tc>
        <w:tc>
          <w:tcPr>
            <w:tcW w:w="0" w:type="dxa"/>
            <w:vAlign w:val="bottom"/>
          </w:tcPr>
          <w:p>
            <w:pPr>
              <w:spacing w:after="0"/>
              <w:rPr>
                <w:sz w:val="1"/>
                <w:szCs w:val="1"/>
                <w:color w:val="auto"/>
              </w:rPr>
            </w:pPr>
          </w:p>
        </w:tc>
      </w:tr>
      <w:tr>
        <w:trPr>
          <w:trHeight w:val="144"/>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liabilities</w:t>
            </w:r>
          </w:p>
        </w:tc>
        <w:tc>
          <w:tcPr>
            <w:tcW w:w="140" w:type="dxa"/>
            <w:vAlign w:val="bottom"/>
            <w:shd w:val="clear" w:color="auto" w:fill="CCEEFF"/>
          </w:tcPr>
          <w:p>
            <w:pPr>
              <w:spacing w:after="0"/>
              <w:rPr>
                <w:sz w:val="12"/>
                <w:szCs w:val="12"/>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501</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683</w:t>
            </w:r>
          </w:p>
        </w:tc>
        <w:tc>
          <w:tcPr>
            <w:tcW w:w="0" w:type="dxa"/>
            <w:vAlign w:val="bottom"/>
          </w:tcPr>
          <w:p>
            <w:pPr>
              <w:spacing w:after="0"/>
              <w:rPr>
                <w:sz w:val="1"/>
                <w:szCs w:val="1"/>
                <w:color w:val="auto"/>
              </w:rPr>
            </w:pPr>
          </w:p>
        </w:tc>
      </w:tr>
      <w:tr>
        <w:trPr>
          <w:trHeight w:val="20"/>
        </w:trPr>
        <w:tc>
          <w:tcPr>
            <w:tcW w:w="87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7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Liabilities</w:t>
            </w:r>
          </w:p>
        </w:tc>
        <w:tc>
          <w:tcPr>
            <w:tcW w:w="14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55,459</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29,420</w:t>
            </w:r>
          </w:p>
        </w:tc>
        <w:tc>
          <w:tcPr>
            <w:tcW w:w="0" w:type="dxa"/>
            <w:vAlign w:val="bottom"/>
          </w:tcPr>
          <w:p>
            <w:pPr>
              <w:spacing w:after="0"/>
              <w:rPr>
                <w:sz w:val="1"/>
                <w:szCs w:val="1"/>
                <w:color w:val="auto"/>
              </w:rPr>
            </w:pPr>
          </w:p>
        </w:tc>
      </w:tr>
      <w:tr>
        <w:trPr>
          <w:trHeight w:val="142"/>
        </w:trPr>
        <w:tc>
          <w:tcPr>
            <w:tcW w:w="870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7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Commitments and Contingencies</w:t>
            </w: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7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Mezzanine Capital</w:t>
            </w: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Redeemable Class I Units, no par value, 1,000,000 units authorized, issued and outstanding</w:t>
            </w:r>
          </w:p>
        </w:tc>
        <w:tc>
          <w:tcPr>
            <w:tcW w:w="140" w:type="dxa"/>
            <w:vAlign w:val="bottom"/>
            <w:shd w:val="clear" w:color="auto" w:fill="CCEEFF"/>
          </w:tcPr>
          <w:p>
            <w:pPr>
              <w:spacing w:after="0"/>
              <w:rPr>
                <w:sz w:val="12"/>
                <w:szCs w:val="12"/>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4,477</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2,912</w:t>
            </w:r>
          </w:p>
        </w:tc>
        <w:tc>
          <w:tcPr>
            <w:tcW w:w="0" w:type="dxa"/>
            <w:vAlign w:val="bottom"/>
          </w:tcPr>
          <w:p>
            <w:pPr>
              <w:spacing w:after="0"/>
              <w:rPr>
                <w:sz w:val="1"/>
                <w:szCs w:val="1"/>
                <w:color w:val="auto"/>
              </w:rPr>
            </w:pPr>
          </w:p>
        </w:tc>
      </w:tr>
      <w:tr>
        <w:trPr>
          <w:trHeight w:val="144"/>
        </w:trPr>
        <w:tc>
          <w:tcPr>
            <w:tcW w:w="87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Redeemable Class PCTA Units, no par value, 3,982,675 units authorized, issued and outstanding</w:t>
            </w:r>
          </w:p>
        </w:tc>
        <w:tc>
          <w:tcPr>
            <w:tcW w:w="14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18,103</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7,718</w:t>
            </w:r>
          </w:p>
        </w:tc>
        <w:tc>
          <w:tcPr>
            <w:tcW w:w="0" w:type="dxa"/>
            <w:vAlign w:val="bottom"/>
          </w:tcPr>
          <w:p>
            <w:pPr>
              <w:spacing w:after="0"/>
              <w:rPr>
                <w:sz w:val="1"/>
                <w:szCs w:val="1"/>
                <w:color w:val="auto"/>
              </w:rPr>
            </w:pPr>
          </w:p>
        </w:tc>
      </w:tr>
      <w:tr>
        <w:trPr>
          <w:trHeight w:val="144"/>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Unitholders' Deficit</w:t>
            </w:r>
          </w:p>
        </w:tc>
        <w:tc>
          <w:tcPr>
            <w:tcW w:w="140" w:type="dxa"/>
            <w:vAlign w:val="bottom"/>
            <w:shd w:val="clear" w:color="auto" w:fill="CCEEFF"/>
          </w:tcPr>
          <w:p>
            <w:pPr>
              <w:spacing w:after="0"/>
              <w:rPr>
                <w:sz w:val="12"/>
                <w:szCs w:val="12"/>
                <w:color w:val="auto"/>
              </w:rPr>
            </w:pPr>
          </w:p>
        </w:tc>
        <w:tc>
          <w:tcPr>
            <w:tcW w:w="10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7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Class B Preferred Units, no par value, 6,722,562 and 4,639,557 units authorized, 5,609,951 and 4,109,961 units issued and outstanding</w:t>
            </w:r>
          </w:p>
        </w:tc>
        <w:tc>
          <w:tcPr>
            <w:tcW w:w="14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51,683</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38,122</w:t>
            </w:r>
          </w:p>
        </w:tc>
        <w:tc>
          <w:tcPr>
            <w:tcW w:w="0" w:type="dxa"/>
            <w:vAlign w:val="bottom"/>
          </w:tcPr>
          <w:p>
            <w:pPr>
              <w:spacing w:after="0"/>
              <w:rPr>
                <w:sz w:val="1"/>
                <w:szCs w:val="1"/>
                <w:color w:val="auto"/>
              </w:rPr>
            </w:pPr>
          </w:p>
        </w:tc>
      </w:tr>
      <w:tr>
        <w:trPr>
          <w:trHeight w:val="144"/>
        </w:trPr>
        <w:tc>
          <w:tcPr>
            <w:tcW w:w="8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Class B-1 Preferred Units, no par value, 2,600,000 units authorized, 342,608 units issued and outstanding</w:t>
            </w:r>
          </w:p>
        </w:tc>
        <w:tc>
          <w:tcPr>
            <w:tcW w:w="140" w:type="dxa"/>
            <w:vAlign w:val="bottom"/>
            <w:shd w:val="clear" w:color="auto" w:fill="CCEEFF"/>
          </w:tcPr>
          <w:p>
            <w:pPr>
              <w:spacing w:after="0"/>
              <w:rPr>
                <w:sz w:val="12"/>
                <w:szCs w:val="12"/>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3,323</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3,323</w:t>
            </w:r>
          </w:p>
        </w:tc>
        <w:tc>
          <w:tcPr>
            <w:tcW w:w="0" w:type="dxa"/>
            <w:vAlign w:val="bottom"/>
          </w:tcPr>
          <w:p>
            <w:pPr>
              <w:spacing w:after="0"/>
              <w:rPr>
                <w:sz w:val="1"/>
                <w:szCs w:val="1"/>
                <w:color w:val="auto"/>
              </w:rPr>
            </w:pPr>
          </w:p>
        </w:tc>
      </w:tr>
      <w:tr>
        <w:trPr>
          <w:trHeight w:val="144"/>
        </w:trPr>
        <w:tc>
          <w:tcPr>
            <w:tcW w:w="87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Class A Units, no par value, 10,975,000 units authorized, 10,875,000 units issued and outstanding</w:t>
            </w:r>
          </w:p>
        </w:tc>
        <w:tc>
          <w:tcPr>
            <w:tcW w:w="14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1,950</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1,950</w:t>
            </w:r>
          </w:p>
        </w:tc>
        <w:tc>
          <w:tcPr>
            <w:tcW w:w="0" w:type="dxa"/>
            <w:vAlign w:val="bottom"/>
          </w:tcPr>
          <w:p>
            <w:pPr>
              <w:spacing w:after="0"/>
              <w:rPr>
                <w:sz w:val="1"/>
                <w:szCs w:val="1"/>
                <w:color w:val="auto"/>
              </w:rPr>
            </w:pPr>
          </w:p>
        </w:tc>
      </w:tr>
      <w:tr>
        <w:trPr>
          <w:trHeight w:val="144"/>
        </w:trPr>
        <w:tc>
          <w:tcPr>
            <w:tcW w:w="8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Class C Units, no par value, 1,585,125 units authorized, 1,570,125 units issued and outstanding</w:t>
            </w:r>
          </w:p>
        </w:tc>
        <w:tc>
          <w:tcPr>
            <w:tcW w:w="140" w:type="dxa"/>
            <w:vAlign w:val="bottom"/>
            <w:shd w:val="clear" w:color="auto" w:fill="CCEEFF"/>
          </w:tcPr>
          <w:p>
            <w:pPr>
              <w:spacing w:after="0"/>
              <w:rPr>
                <w:sz w:val="12"/>
                <w:szCs w:val="12"/>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981</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844</w:t>
            </w:r>
          </w:p>
        </w:tc>
        <w:tc>
          <w:tcPr>
            <w:tcW w:w="0" w:type="dxa"/>
            <w:vAlign w:val="bottom"/>
          </w:tcPr>
          <w:p>
            <w:pPr>
              <w:spacing w:after="0"/>
              <w:rPr>
                <w:sz w:val="1"/>
                <w:szCs w:val="1"/>
                <w:color w:val="auto"/>
              </w:rPr>
            </w:pPr>
          </w:p>
        </w:tc>
      </w:tr>
      <w:tr>
        <w:trPr>
          <w:trHeight w:val="144"/>
        </w:trPr>
        <w:tc>
          <w:tcPr>
            <w:tcW w:w="87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Accumulated deficit</w:t>
            </w:r>
          </w:p>
        </w:tc>
        <w:tc>
          <w:tcPr>
            <w:tcW w:w="140" w:type="dxa"/>
            <w:vAlign w:val="bottom"/>
          </w:tcPr>
          <w:p>
            <w:pPr>
              <w:spacing w:after="0"/>
              <w:rPr>
                <w:sz w:val="12"/>
                <w:szCs w:val="12"/>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(90,952)</w:t>
            </w:r>
          </w:p>
        </w:tc>
        <w:tc>
          <w:tcPr>
            <w:tcW w:w="140" w:type="dxa"/>
            <w:vAlign w:val="bottom"/>
          </w:tcPr>
          <w:p>
            <w:pPr>
              <w:spacing w:after="0"/>
              <w:rPr>
                <w:sz w:val="12"/>
                <w:szCs w:val="12"/>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(64,284)</w:t>
            </w:r>
          </w:p>
        </w:tc>
        <w:tc>
          <w:tcPr>
            <w:tcW w:w="0" w:type="dxa"/>
            <w:vAlign w:val="bottom"/>
          </w:tcPr>
          <w:p>
            <w:pPr>
              <w:spacing w:after="0"/>
              <w:rPr>
                <w:sz w:val="1"/>
                <w:szCs w:val="1"/>
                <w:color w:val="auto"/>
              </w:rPr>
            </w:pPr>
          </w:p>
        </w:tc>
      </w:tr>
      <w:tr>
        <w:trPr>
          <w:trHeight w:val="144"/>
        </w:trPr>
        <w:tc>
          <w:tcPr>
            <w:tcW w:w="8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Accumulated other comprehensive loss</w:t>
            </w:r>
          </w:p>
        </w:tc>
        <w:tc>
          <w:tcPr>
            <w:tcW w:w="1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(2,373)</w:t>
            </w: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87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Non-controlling interest</w:t>
            </w:r>
          </w:p>
        </w:tc>
        <w:tc>
          <w:tcPr>
            <w:tcW w:w="14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13,080</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1,559</w:t>
            </w:r>
          </w:p>
        </w:tc>
        <w:tc>
          <w:tcPr>
            <w:tcW w:w="0" w:type="dxa"/>
            <w:vAlign w:val="bottom"/>
          </w:tcPr>
          <w:p>
            <w:pPr>
              <w:spacing w:after="0"/>
              <w:rPr>
                <w:sz w:val="1"/>
                <w:szCs w:val="1"/>
                <w:color w:val="auto"/>
              </w:rPr>
            </w:pPr>
          </w:p>
        </w:tc>
      </w:tr>
      <w:tr>
        <w:trPr>
          <w:trHeight w:val="142"/>
        </w:trPr>
        <w:tc>
          <w:tcPr>
            <w:tcW w:w="8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Unitholders’ Deficit</w:t>
            </w: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10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(22,308)</w:t>
            </w:r>
          </w:p>
        </w:tc>
        <w:tc>
          <w:tcPr>
            <w:tcW w:w="2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(18,486)</w:t>
            </w:r>
          </w:p>
        </w:tc>
        <w:tc>
          <w:tcPr>
            <w:tcW w:w="1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7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Liabilities, Mezzanine Capital, and Unitholders' Deficit</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55,731</w:t>
            </w:r>
          </w:p>
        </w:tc>
        <w:tc>
          <w:tcPr>
            <w:tcW w:w="200" w:type="dxa"/>
            <w:vAlign w:val="bottom"/>
          </w:tcPr>
          <w:p>
            <w:pPr>
              <w:spacing w:after="0"/>
              <w:rPr>
                <w:sz w:val="12"/>
                <w:szCs w:val="12"/>
                <w:color w:val="auto"/>
              </w:rPr>
            </w:pP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21,564</w:t>
            </w: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i w:val="1"/>
          <w:iCs w:val="1"/>
          <w:color w:val="auto"/>
        </w:rPr>
        <w:t>See accompanying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86360</wp:posOffset>
            </wp:positionV>
            <wp:extent cx="7178040" cy="114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Innventure LLC and Subsidiaries</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Condensed Consolidated Statements of Operations and Comprehensive Income (Loss)</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(in thousands, except unit and per unit amounts) (Unaudited)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6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Nine months ended</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9"/>
        </w:trPr>
        <w:tc>
          <w:tcPr>
            <w:tcW w:w="60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3"/>
          </w:tcPr>
          <w:p>
            <w:pPr>
              <w:jc w:val="right"/>
              <w:ind w:right="126"/>
              <w:spacing w:after="0"/>
              <w:rPr>
                <w:sz w:val="20"/>
                <w:szCs w:val="20"/>
                <w:color w:val="auto"/>
              </w:rPr>
            </w:pPr>
            <w:r>
              <w:rPr>
                <w:rFonts w:ascii="Times New Roman" w:cs="Times New Roman" w:eastAsia="Times New Roman" w:hAnsi="Times New Roman"/>
                <w:sz w:val="12"/>
                <w:szCs w:val="12"/>
                <w:b w:val="1"/>
                <w:bCs w:val="1"/>
                <w:color w:val="auto"/>
              </w:rPr>
              <w:t>September 30,</w:t>
            </w:r>
          </w:p>
        </w:tc>
        <w:tc>
          <w:tcPr>
            <w:tcW w:w="7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2"/>
                <w:szCs w:val="12"/>
                <w:b w:val="1"/>
                <w:bCs w:val="1"/>
                <w:color w:val="auto"/>
              </w:rPr>
              <w:t>September 30,</w:t>
            </w:r>
          </w:p>
        </w:tc>
        <w:tc>
          <w:tcPr>
            <w:tcW w:w="7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2"/>
        </w:trPr>
        <w:tc>
          <w:tcPr>
            <w:tcW w:w="60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2"/>
                <w:szCs w:val="12"/>
                <w:b w:val="1"/>
                <w:bCs w:val="1"/>
                <w:color w:val="auto"/>
              </w:rPr>
              <w:t>2024</w:t>
            </w:r>
          </w:p>
        </w:tc>
        <w:tc>
          <w:tcPr>
            <w:tcW w:w="22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w w:val="99"/>
              </w:rPr>
              <w:t>2023</w:t>
            </w:r>
          </w:p>
        </w:tc>
        <w:tc>
          <w:tcPr>
            <w:tcW w:w="2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2024</w:t>
            </w:r>
          </w:p>
        </w:tc>
        <w:tc>
          <w:tcPr>
            <w:tcW w:w="22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w w:val="99"/>
              </w:rPr>
              <w:t>2023</w:t>
            </w:r>
          </w:p>
        </w:tc>
        <w:tc>
          <w:tcPr>
            <w:tcW w:w="120" w:type="dxa"/>
            <w:vAlign w:val="bottom"/>
          </w:tcPr>
          <w:p>
            <w:pPr>
              <w:spacing w:after="0"/>
              <w:rPr>
                <w:sz w:val="12"/>
                <w:szCs w:val="12"/>
                <w:color w:val="auto"/>
              </w:rPr>
            </w:pPr>
          </w:p>
        </w:tc>
      </w:tr>
      <w:tr>
        <w:trPr>
          <w:trHeight w:val="142"/>
        </w:trPr>
        <w:tc>
          <w:tcPr>
            <w:tcW w:w="60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Revenue</w:t>
            </w: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6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Management fee income - related parties</w:t>
            </w: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222</w:t>
            </w: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224</w:t>
            </w: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669</w:t>
            </w:r>
          </w:p>
        </w:tc>
        <w:tc>
          <w:tcPr>
            <w:tcW w:w="420" w:type="dxa"/>
            <w:vAlign w:val="bottom"/>
            <w:shd w:val="clear" w:color="auto" w:fill="CCEEFF"/>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668</w:t>
            </w:r>
          </w:p>
        </w:tc>
      </w:tr>
      <w:tr>
        <w:trPr>
          <w:trHeight w:val="144"/>
        </w:trPr>
        <w:tc>
          <w:tcPr>
            <w:tcW w:w="60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Consulting revenue</w:t>
            </w:r>
          </w:p>
        </w:tc>
        <w:tc>
          <w:tcPr>
            <w:tcW w:w="260" w:type="dxa"/>
            <w:vAlign w:val="bottom"/>
          </w:tcPr>
          <w:p>
            <w:pPr>
              <w:spacing w:after="0"/>
              <w:rPr>
                <w:sz w:val="12"/>
                <w:szCs w:val="12"/>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tcPr>
          <w:p>
            <w:pPr>
              <w:spacing w:after="0"/>
              <w:rPr>
                <w:sz w:val="12"/>
                <w:szCs w:val="12"/>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50</w:t>
            </w: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225</w:t>
            </w:r>
          </w:p>
        </w:tc>
      </w:tr>
      <w:tr>
        <w:trPr>
          <w:trHeight w:val="144"/>
        </w:trPr>
        <w:tc>
          <w:tcPr>
            <w:tcW w:w="6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Product sales</w:t>
            </w:r>
          </w:p>
        </w:tc>
        <w:tc>
          <w:tcPr>
            <w:tcW w:w="260" w:type="dxa"/>
            <w:vAlign w:val="bottom"/>
            <w:shd w:val="clear" w:color="auto" w:fill="CCEEFF"/>
          </w:tcPr>
          <w:p>
            <w:pPr>
              <w:spacing w:after="0"/>
              <w:rPr>
                <w:sz w:val="12"/>
                <w:szCs w:val="12"/>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95</w:t>
            </w: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95</w:t>
            </w:r>
          </w:p>
        </w:tc>
        <w:tc>
          <w:tcPr>
            <w:tcW w:w="4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20"/>
        </w:trPr>
        <w:tc>
          <w:tcPr>
            <w:tcW w:w="60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60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Revenue</w:t>
            </w: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317</w:t>
            </w: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274</w:t>
            </w: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764</w:t>
            </w:r>
          </w:p>
        </w:tc>
        <w:tc>
          <w:tcPr>
            <w:tcW w:w="42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893</w:t>
            </w:r>
          </w:p>
        </w:tc>
      </w:tr>
      <w:tr>
        <w:trPr>
          <w:trHeight w:val="144"/>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Operating Expenses</w:t>
            </w:r>
          </w:p>
        </w:tc>
        <w:tc>
          <w:tcPr>
            <w:tcW w:w="260" w:type="dxa"/>
            <w:vAlign w:val="bottom"/>
            <w:shd w:val="clear" w:color="auto" w:fill="CCEEFF"/>
          </w:tcPr>
          <w:p>
            <w:pPr>
              <w:spacing w:after="0"/>
              <w:rPr>
                <w:sz w:val="12"/>
                <w:szCs w:val="12"/>
                <w:color w:val="auto"/>
              </w:rPr>
            </w:pPr>
          </w:p>
        </w:tc>
        <w:tc>
          <w:tcPr>
            <w:tcW w:w="90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60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Cost of sales</w:t>
            </w: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777</w:t>
            </w: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777</w:t>
            </w:r>
          </w:p>
        </w:tc>
        <w:tc>
          <w:tcPr>
            <w:tcW w:w="42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6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General and administrative</w:t>
            </w:r>
          </w:p>
        </w:tc>
        <w:tc>
          <w:tcPr>
            <w:tcW w:w="260" w:type="dxa"/>
            <w:vAlign w:val="bottom"/>
            <w:shd w:val="clear" w:color="auto" w:fill="CCEEFF"/>
          </w:tcPr>
          <w:p>
            <w:pPr>
              <w:spacing w:after="0"/>
              <w:rPr>
                <w:sz w:val="12"/>
                <w:szCs w:val="12"/>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9,052</w:t>
            </w: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4,054</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25,323</w:t>
            </w:r>
          </w:p>
        </w:tc>
        <w:tc>
          <w:tcPr>
            <w:tcW w:w="4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9,878</w:t>
            </w:r>
          </w:p>
        </w:tc>
      </w:tr>
      <w:tr>
        <w:trPr>
          <w:trHeight w:val="144"/>
        </w:trPr>
        <w:tc>
          <w:tcPr>
            <w:tcW w:w="60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Sales and marketing</w:t>
            </w: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1,629</w:t>
            </w: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696</w:t>
            </w: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4,178</w:t>
            </w:r>
          </w:p>
        </w:tc>
        <w:tc>
          <w:tcPr>
            <w:tcW w:w="42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1,901</w:t>
            </w:r>
          </w:p>
        </w:tc>
      </w:tr>
      <w:tr>
        <w:trPr>
          <w:trHeight w:val="144"/>
        </w:trPr>
        <w:tc>
          <w:tcPr>
            <w:tcW w:w="6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Research and development</w:t>
            </w:r>
          </w:p>
        </w:tc>
        <w:tc>
          <w:tcPr>
            <w:tcW w:w="260" w:type="dxa"/>
            <w:vAlign w:val="bottom"/>
            <w:shd w:val="clear" w:color="auto" w:fill="CCEEFF"/>
          </w:tcPr>
          <w:p>
            <w:pPr>
              <w:spacing w:after="0"/>
              <w:rPr>
                <w:sz w:val="12"/>
                <w:szCs w:val="12"/>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2,533</w:t>
            </w: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1,240</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5,978</w:t>
            </w:r>
          </w:p>
        </w:tc>
        <w:tc>
          <w:tcPr>
            <w:tcW w:w="4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2,822</w:t>
            </w:r>
          </w:p>
        </w:tc>
      </w:tr>
      <w:tr>
        <w:trPr>
          <w:trHeight w:val="20"/>
        </w:trPr>
        <w:tc>
          <w:tcPr>
            <w:tcW w:w="60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60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Operating Expenses</w:t>
            </w: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13,991</w:t>
            </w: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5,990</w:t>
            </w: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36,256</w:t>
            </w:r>
          </w:p>
        </w:tc>
        <w:tc>
          <w:tcPr>
            <w:tcW w:w="42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14,601</w:t>
            </w:r>
          </w:p>
        </w:tc>
      </w:tr>
      <w:tr>
        <w:trPr>
          <w:trHeight w:val="144"/>
        </w:trPr>
        <w:tc>
          <w:tcPr>
            <w:tcW w:w="60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spacing w:after="0"/>
              <w:rPr>
                <w:sz w:val="12"/>
                <w:szCs w:val="12"/>
                <w:color w:val="auto"/>
              </w:rPr>
            </w:pPr>
          </w:p>
        </w:tc>
      </w:tr>
      <w:tr>
        <w:trPr>
          <w:trHeight w:val="144"/>
        </w:trPr>
        <w:tc>
          <w:tcPr>
            <w:tcW w:w="60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Loss from Operations</w:t>
            </w:r>
          </w:p>
        </w:tc>
        <w:tc>
          <w:tcPr>
            <w:tcW w:w="260" w:type="dxa"/>
            <w:vAlign w:val="bottom"/>
          </w:tcPr>
          <w:p>
            <w:pPr>
              <w:spacing w:after="0"/>
              <w:rPr>
                <w:sz w:val="12"/>
                <w:szCs w:val="12"/>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(13,674)</w:t>
            </w:r>
          </w:p>
        </w:tc>
        <w:tc>
          <w:tcPr>
            <w:tcW w:w="420" w:type="dxa"/>
            <w:vAlign w:val="bottom"/>
          </w:tcPr>
          <w:p>
            <w:pPr>
              <w:spacing w:after="0"/>
              <w:rPr>
                <w:sz w:val="12"/>
                <w:szCs w:val="12"/>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(5,716)</w:t>
            </w:r>
          </w:p>
        </w:tc>
        <w:tc>
          <w:tcPr>
            <w:tcW w:w="260" w:type="dxa"/>
            <w:vAlign w:val="bottom"/>
          </w:tcPr>
          <w:p>
            <w:pPr>
              <w:spacing w:after="0"/>
              <w:rPr>
                <w:sz w:val="12"/>
                <w:szCs w:val="12"/>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(35,492)</w:t>
            </w:r>
          </w:p>
        </w:tc>
        <w:tc>
          <w:tcPr>
            <w:tcW w:w="420" w:type="dxa"/>
            <w:vAlign w:val="bottom"/>
          </w:tcPr>
          <w:p>
            <w:pPr>
              <w:spacing w:after="0"/>
              <w:rPr>
                <w:sz w:val="12"/>
                <w:szCs w:val="12"/>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(13,708)</w:t>
            </w:r>
          </w:p>
        </w:tc>
      </w:tr>
      <w:tr>
        <w:trPr>
          <w:trHeight w:val="144"/>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Non-operating (Expense) and Income</w:t>
            </w:r>
          </w:p>
        </w:tc>
        <w:tc>
          <w:tcPr>
            <w:tcW w:w="260" w:type="dxa"/>
            <w:vAlign w:val="bottom"/>
            <w:shd w:val="clear" w:color="auto" w:fill="CCEEFF"/>
          </w:tcPr>
          <w:p>
            <w:pPr>
              <w:spacing w:after="0"/>
              <w:rPr>
                <w:sz w:val="12"/>
                <w:szCs w:val="12"/>
                <w:color w:val="auto"/>
              </w:rPr>
            </w:pPr>
          </w:p>
        </w:tc>
        <w:tc>
          <w:tcPr>
            <w:tcW w:w="90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60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Interest expense, net</w:t>
            </w:r>
          </w:p>
        </w:tc>
        <w:tc>
          <w:tcPr>
            <w:tcW w:w="260" w:type="dxa"/>
            <w:vAlign w:val="bottom"/>
          </w:tcPr>
          <w:p>
            <w:pPr>
              <w:spacing w:after="0"/>
              <w:rPr>
                <w:sz w:val="12"/>
                <w:szCs w:val="12"/>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(852)</w:t>
            </w:r>
          </w:p>
        </w:tc>
        <w:tc>
          <w:tcPr>
            <w:tcW w:w="420" w:type="dxa"/>
            <w:vAlign w:val="bottom"/>
          </w:tcPr>
          <w:p>
            <w:pPr>
              <w:spacing w:after="0"/>
              <w:rPr>
                <w:sz w:val="12"/>
                <w:szCs w:val="12"/>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(364)</w:t>
            </w:r>
          </w:p>
        </w:tc>
        <w:tc>
          <w:tcPr>
            <w:tcW w:w="260" w:type="dxa"/>
            <w:vAlign w:val="bottom"/>
          </w:tcPr>
          <w:p>
            <w:pPr>
              <w:spacing w:after="0"/>
              <w:rPr>
                <w:sz w:val="12"/>
                <w:szCs w:val="12"/>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(1,300)</w:t>
            </w:r>
          </w:p>
        </w:tc>
        <w:tc>
          <w:tcPr>
            <w:tcW w:w="420" w:type="dxa"/>
            <w:vAlign w:val="bottom"/>
          </w:tcPr>
          <w:p>
            <w:pPr>
              <w:spacing w:after="0"/>
              <w:rPr>
                <w:sz w:val="12"/>
                <w:szCs w:val="12"/>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(841)</w:t>
            </w:r>
          </w:p>
        </w:tc>
      </w:tr>
      <w:tr>
        <w:trPr>
          <w:trHeight w:val="144"/>
        </w:trPr>
        <w:tc>
          <w:tcPr>
            <w:tcW w:w="6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Net (loss) gain on investments</w:t>
            </w:r>
          </w:p>
        </w:tc>
        <w:tc>
          <w:tcPr>
            <w:tcW w:w="260" w:type="dxa"/>
            <w:vAlign w:val="bottom"/>
            <w:shd w:val="clear" w:color="auto" w:fill="CCEEFF"/>
          </w:tcPr>
          <w:p>
            <w:pPr>
              <w:spacing w:after="0"/>
              <w:rPr>
                <w:sz w:val="12"/>
                <w:szCs w:val="12"/>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7,148</w:t>
            </w: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(12,148)</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11,547</w:t>
            </w:r>
          </w:p>
        </w:tc>
        <w:tc>
          <w:tcPr>
            <w:tcW w:w="4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(2,718)</w:t>
            </w:r>
          </w:p>
        </w:tc>
      </w:tr>
      <w:tr>
        <w:trPr>
          <w:trHeight w:val="144"/>
        </w:trPr>
        <w:tc>
          <w:tcPr>
            <w:tcW w:w="60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Net (loss) gain on investments – due to related parties</w:t>
            </w:r>
          </w:p>
        </w:tc>
        <w:tc>
          <w:tcPr>
            <w:tcW w:w="260" w:type="dxa"/>
            <w:vAlign w:val="bottom"/>
          </w:tcPr>
          <w:p>
            <w:pPr>
              <w:spacing w:after="0"/>
              <w:rPr>
                <w:sz w:val="12"/>
                <w:szCs w:val="12"/>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(308)</w:t>
            </w:r>
          </w:p>
        </w:tc>
        <w:tc>
          <w:tcPr>
            <w:tcW w:w="420" w:type="dxa"/>
            <w:vAlign w:val="bottom"/>
          </w:tcPr>
          <w:p>
            <w:pPr>
              <w:spacing w:after="0"/>
              <w:rPr>
                <w:sz w:val="12"/>
                <w:szCs w:val="12"/>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436</w:t>
            </w:r>
          </w:p>
        </w:tc>
        <w:tc>
          <w:tcPr>
            <w:tcW w:w="260" w:type="dxa"/>
            <w:vAlign w:val="bottom"/>
          </w:tcPr>
          <w:p>
            <w:pPr>
              <w:spacing w:after="0"/>
              <w:rPr>
                <w:sz w:val="12"/>
                <w:szCs w:val="12"/>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(468)</w:t>
            </w:r>
          </w:p>
        </w:tc>
        <w:tc>
          <w:tcPr>
            <w:tcW w:w="42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99</w:t>
            </w:r>
          </w:p>
        </w:tc>
      </w:tr>
      <w:tr>
        <w:trPr>
          <w:trHeight w:val="144"/>
        </w:trPr>
        <w:tc>
          <w:tcPr>
            <w:tcW w:w="6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Change in fair value of embedded derivative liability</w:t>
            </w: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(451)</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(478)</w:t>
            </w:r>
          </w:p>
        </w:tc>
        <w:tc>
          <w:tcPr>
            <w:tcW w:w="4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(492)</w:t>
            </w:r>
          </w:p>
        </w:tc>
      </w:tr>
      <w:tr>
        <w:trPr>
          <w:trHeight w:val="144"/>
        </w:trPr>
        <w:tc>
          <w:tcPr>
            <w:tcW w:w="60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Equity method investment income (loss)</w:t>
            </w: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109</w:t>
            </w: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(673)</w:t>
            </w: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893</w:t>
            </w:r>
          </w:p>
        </w:tc>
        <w:tc>
          <w:tcPr>
            <w:tcW w:w="420" w:type="dxa"/>
            <w:vAlign w:val="bottom"/>
          </w:tcPr>
          <w:p>
            <w:pPr>
              <w:spacing w:after="0"/>
              <w:rPr>
                <w:sz w:val="12"/>
                <w:szCs w:val="12"/>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(291)</w:t>
            </w:r>
          </w:p>
        </w:tc>
      </w:tr>
      <w:tr>
        <w:trPr>
          <w:trHeight w:val="144"/>
        </w:trPr>
        <w:tc>
          <w:tcPr>
            <w:tcW w:w="6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Loss on conversion of promissory notes</w:t>
            </w: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(1,119)</w:t>
            </w:r>
          </w:p>
        </w:tc>
        <w:tc>
          <w:tcPr>
            <w:tcW w:w="4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60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Other expenses</w:t>
            </w:r>
          </w:p>
        </w:tc>
        <w:tc>
          <w:tcPr>
            <w:tcW w:w="260" w:type="dxa"/>
            <w:vAlign w:val="bottom"/>
          </w:tcPr>
          <w:p>
            <w:pPr>
              <w:spacing w:after="0"/>
              <w:rPr>
                <w:sz w:val="12"/>
                <w:szCs w:val="12"/>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(64)</w:t>
            </w:r>
          </w:p>
        </w:tc>
        <w:tc>
          <w:tcPr>
            <w:tcW w:w="420" w:type="dxa"/>
            <w:vAlign w:val="bottom"/>
          </w:tcPr>
          <w:p>
            <w:pPr>
              <w:spacing w:after="0"/>
              <w:rPr>
                <w:sz w:val="12"/>
                <w:szCs w:val="12"/>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2"/>
                <w:szCs w:val="12"/>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(64)</w:t>
            </w:r>
          </w:p>
        </w:tc>
        <w:tc>
          <w:tcPr>
            <w:tcW w:w="42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2"/>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Non-operating (Expense) Income</w:t>
            </w:r>
          </w:p>
        </w:tc>
        <w:tc>
          <w:tcPr>
            <w:tcW w:w="26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6,033</w:t>
            </w:r>
          </w:p>
        </w:tc>
        <w:tc>
          <w:tcPr>
            <w:tcW w:w="220" w:type="dxa"/>
            <w:vAlign w:val="bottom"/>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(13,200)</w:t>
            </w:r>
          </w:p>
        </w:tc>
        <w:tc>
          <w:tcPr>
            <w:tcW w:w="22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2"/>
                <w:szCs w:val="12"/>
                <w:b w:val="1"/>
                <w:bCs w:val="1"/>
                <w:color w:val="auto"/>
                <w:w w:val="88"/>
              </w:rPr>
              <w:t>9,011</w:t>
            </w:r>
          </w:p>
        </w:tc>
        <w:tc>
          <w:tcPr>
            <w:tcW w:w="220" w:type="dxa"/>
            <w:vAlign w:val="bottom"/>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(4,243)</w:t>
            </w:r>
          </w:p>
        </w:tc>
        <w:tc>
          <w:tcPr>
            <w:tcW w:w="120" w:type="dxa"/>
            <w:vAlign w:val="bottom"/>
            <w:shd w:val="clear" w:color="auto" w:fill="CCEEFF"/>
          </w:tcPr>
          <w:p>
            <w:pPr>
              <w:spacing w:after="0"/>
              <w:rPr>
                <w:sz w:val="12"/>
                <w:szCs w:val="12"/>
                <w:color w:val="auto"/>
              </w:rPr>
            </w:pPr>
          </w:p>
        </w:tc>
      </w:tr>
      <w:tr>
        <w:trPr>
          <w:trHeight w:val="144"/>
        </w:trPr>
        <w:tc>
          <w:tcPr>
            <w:tcW w:w="60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Income tax expense</w:t>
            </w:r>
          </w:p>
        </w:tc>
        <w:tc>
          <w:tcPr>
            <w:tcW w:w="260" w:type="dxa"/>
            <w:vAlign w:val="bottom"/>
          </w:tcPr>
          <w:p>
            <w:pPr>
              <w:spacing w:after="0"/>
              <w:rPr>
                <w:sz w:val="12"/>
                <w:szCs w:val="12"/>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tcPr>
          <w:p>
            <w:pPr>
              <w:spacing w:after="0"/>
              <w:rPr>
                <w:sz w:val="12"/>
                <w:szCs w:val="12"/>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2"/>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Loss</w:t>
            </w:r>
          </w:p>
        </w:tc>
        <w:tc>
          <w:tcPr>
            <w:tcW w:w="26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(7,641)</w:t>
            </w:r>
          </w:p>
        </w:tc>
        <w:tc>
          <w:tcPr>
            <w:tcW w:w="220" w:type="dxa"/>
            <w:vAlign w:val="bottom"/>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(18,916)</w:t>
            </w:r>
          </w:p>
        </w:tc>
        <w:tc>
          <w:tcPr>
            <w:tcW w:w="22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(26,481)</w:t>
            </w:r>
          </w:p>
        </w:tc>
        <w:tc>
          <w:tcPr>
            <w:tcW w:w="220" w:type="dxa"/>
            <w:vAlign w:val="bottom"/>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(17,951)</w:t>
            </w:r>
          </w:p>
        </w:tc>
        <w:tc>
          <w:tcPr>
            <w:tcW w:w="120" w:type="dxa"/>
            <w:vAlign w:val="bottom"/>
            <w:shd w:val="clear" w:color="auto" w:fill="CCEEFF"/>
          </w:tcPr>
          <w:p>
            <w:pPr>
              <w:spacing w:after="0"/>
              <w:rPr>
                <w:sz w:val="12"/>
                <w:szCs w:val="12"/>
                <w:color w:val="auto"/>
              </w:rPr>
            </w:pPr>
          </w:p>
        </w:tc>
      </w:tr>
      <w:tr>
        <w:trPr>
          <w:trHeight w:val="144"/>
        </w:trPr>
        <w:tc>
          <w:tcPr>
            <w:tcW w:w="60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Less: Loss attributable to non-controlling interest</w:t>
            </w:r>
          </w:p>
        </w:tc>
        <w:tc>
          <w:tcPr>
            <w:tcW w:w="260" w:type="dxa"/>
            <w:vAlign w:val="bottom"/>
          </w:tcPr>
          <w:p>
            <w:pPr>
              <w:spacing w:after="0"/>
              <w:rPr>
                <w:sz w:val="12"/>
                <w:szCs w:val="12"/>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(5,430)</w:t>
            </w:r>
          </w:p>
        </w:tc>
        <w:tc>
          <w:tcPr>
            <w:tcW w:w="420" w:type="dxa"/>
            <w:vAlign w:val="bottom"/>
          </w:tcPr>
          <w:p>
            <w:pPr>
              <w:spacing w:after="0"/>
              <w:rPr>
                <w:sz w:val="12"/>
                <w:szCs w:val="12"/>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(45)</w:t>
            </w:r>
          </w:p>
        </w:tc>
        <w:tc>
          <w:tcPr>
            <w:tcW w:w="260" w:type="dxa"/>
            <w:vAlign w:val="bottom"/>
          </w:tcPr>
          <w:p>
            <w:pPr>
              <w:spacing w:after="0"/>
              <w:rPr>
                <w:sz w:val="12"/>
                <w:szCs w:val="12"/>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(11,762)</w:t>
            </w:r>
          </w:p>
        </w:tc>
        <w:tc>
          <w:tcPr>
            <w:tcW w:w="420" w:type="dxa"/>
            <w:vAlign w:val="bottom"/>
          </w:tcPr>
          <w:p>
            <w:pPr>
              <w:spacing w:after="0"/>
              <w:rPr>
                <w:sz w:val="12"/>
                <w:szCs w:val="12"/>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(101)</w:t>
            </w:r>
          </w:p>
        </w:tc>
      </w:tr>
      <w:tr>
        <w:trPr>
          <w:trHeight w:val="142"/>
        </w:trPr>
        <w:tc>
          <w:tcPr>
            <w:tcW w:w="6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Loss Attributable to Innventure LLC Unitholders</w:t>
            </w:r>
          </w:p>
        </w:tc>
        <w:tc>
          <w:tcPr>
            <w:tcW w:w="260" w:type="dxa"/>
            <w:vAlign w:val="bottom"/>
            <w:tcBorders>
              <w:top w:val="single" w:sz="8" w:color="auto"/>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(2,211)</w:t>
            </w:r>
          </w:p>
        </w:tc>
        <w:tc>
          <w:tcPr>
            <w:tcW w:w="22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top w:val="single" w:sz="8" w:color="auto"/>
              <w:bottom w:val="single" w:sz="8" w:color="auto"/>
            </w:tcBorders>
            <w:shd w:val="clear" w:color="auto" w:fill="CCEEFF"/>
          </w:tcPr>
          <w:p>
            <w:pPr>
              <w:jc w:val="right"/>
              <w:ind w:right="30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(18,871)</w:t>
            </w:r>
          </w:p>
        </w:tc>
        <w:tc>
          <w:tcPr>
            <w:tcW w:w="22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(14,719)</w:t>
            </w:r>
          </w:p>
        </w:tc>
        <w:tc>
          <w:tcPr>
            <w:tcW w:w="22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top w:val="single" w:sz="8" w:color="auto"/>
              <w:bottom w:val="single" w:sz="8" w:color="auto"/>
            </w:tcBorders>
            <w:shd w:val="clear" w:color="auto" w:fill="CCEEFF"/>
          </w:tcPr>
          <w:p>
            <w:pPr>
              <w:jc w:val="right"/>
              <w:ind w:right="30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(17,850)</w:t>
            </w:r>
          </w:p>
        </w:tc>
        <w:tc>
          <w:tcPr>
            <w:tcW w:w="120" w:type="dxa"/>
            <w:vAlign w:val="bottom"/>
            <w:tcBorders>
              <w:bottom w:val="single" w:sz="8" w:color="CCEEFF"/>
            </w:tcBorders>
            <w:shd w:val="clear" w:color="auto" w:fill="CCEEFF"/>
          </w:tcPr>
          <w:p>
            <w:pPr>
              <w:spacing w:after="0"/>
              <w:rPr>
                <w:sz w:val="12"/>
                <w:szCs w:val="12"/>
                <w:color w:val="auto"/>
              </w:rPr>
            </w:pPr>
          </w:p>
        </w:tc>
      </w:tr>
      <w:tr>
        <w:trPr>
          <w:trHeight w:val="142"/>
        </w:trPr>
        <w:tc>
          <w:tcPr>
            <w:tcW w:w="6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gridSpan w:val="2"/>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gridSpan w:val="2"/>
          </w:tcPr>
          <w:p>
            <w:pPr>
              <w:spacing w:after="0"/>
              <w:rPr>
                <w:sz w:val="12"/>
                <w:szCs w:val="12"/>
                <w:color w:val="auto"/>
              </w:rPr>
            </w:pPr>
          </w:p>
        </w:tc>
      </w:tr>
      <w:tr>
        <w:trPr>
          <w:trHeight w:val="142"/>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Loss Attributable to Class A Unitholders</w:t>
            </w:r>
          </w:p>
        </w:tc>
        <w:tc>
          <w:tcPr>
            <w:tcW w:w="260" w:type="dxa"/>
            <w:vAlign w:val="bottom"/>
            <w:tcBorders>
              <w:top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(10,233)</w:t>
            </w:r>
          </w:p>
        </w:tc>
        <w:tc>
          <w:tcPr>
            <w:tcW w:w="220" w:type="dxa"/>
            <w:vAlign w:val="bottom"/>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jc w:val="right"/>
              <w:ind w:right="30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(9,177)</w:t>
            </w:r>
          </w:p>
        </w:tc>
        <w:tc>
          <w:tcPr>
            <w:tcW w:w="22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(29,010)</w:t>
            </w:r>
          </w:p>
        </w:tc>
        <w:tc>
          <w:tcPr>
            <w:tcW w:w="220" w:type="dxa"/>
            <w:vAlign w:val="bottom"/>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jc w:val="right"/>
              <w:ind w:right="30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(16,848)</w:t>
            </w:r>
          </w:p>
        </w:tc>
        <w:tc>
          <w:tcPr>
            <w:tcW w:w="120" w:type="dxa"/>
            <w:vAlign w:val="bottom"/>
            <w:shd w:val="clear" w:color="auto" w:fill="CCEEFF"/>
          </w:tcPr>
          <w:p>
            <w:pPr>
              <w:spacing w:after="0"/>
              <w:rPr>
                <w:sz w:val="12"/>
                <w:szCs w:val="12"/>
                <w:color w:val="auto"/>
              </w:rPr>
            </w:pPr>
          </w:p>
        </w:tc>
      </w:tr>
      <w:tr>
        <w:trPr>
          <w:trHeight w:val="144"/>
        </w:trPr>
        <w:tc>
          <w:tcPr>
            <w:tcW w:w="60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Basic loss per unit</w:t>
            </w: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(0.94)</w:t>
            </w:r>
          </w:p>
        </w:tc>
        <w:tc>
          <w:tcPr>
            <w:tcW w:w="420" w:type="dxa"/>
            <w:vAlign w:val="bottom"/>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(0.84)</w:t>
            </w: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(2.67)</w:t>
            </w:r>
          </w:p>
        </w:tc>
        <w:tc>
          <w:tcPr>
            <w:tcW w:w="420" w:type="dxa"/>
            <w:vAlign w:val="bottom"/>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(1.55)</w:t>
            </w:r>
          </w:p>
        </w:tc>
      </w:tr>
      <w:tr>
        <w:trPr>
          <w:trHeight w:val="144"/>
        </w:trPr>
        <w:tc>
          <w:tcPr>
            <w:tcW w:w="6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Basic weighted average Class A Units</w:t>
            </w:r>
          </w:p>
        </w:tc>
        <w:tc>
          <w:tcPr>
            <w:tcW w:w="260" w:type="dxa"/>
            <w:vAlign w:val="bottom"/>
            <w:shd w:val="clear" w:color="auto" w:fill="CCEEFF"/>
          </w:tcPr>
          <w:p>
            <w:pPr>
              <w:spacing w:after="0"/>
              <w:rPr>
                <w:sz w:val="12"/>
                <w:szCs w:val="12"/>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10,875,000</w:t>
            </w: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10,875,000</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10,875,000</w:t>
            </w:r>
          </w:p>
        </w:tc>
        <w:tc>
          <w:tcPr>
            <w:tcW w:w="4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10,875,000</w:t>
            </w:r>
          </w:p>
        </w:tc>
      </w:tr>
      <w:tr>
        <w:trPr>
          <w:trHeight w:val="142"/>
        </w:trPr>
        <w:tc>
          <w:tcPr>
            <w:tcW w:w="600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r>
      <w:tr>
        <w:trPr>
          <w:trHeight w:val="144"/>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Other comprehensive income (loss), net of taxes:</w:t>
            </w:r>
          </w:p>
        </w:tc>
        <w:tc>
          <w:tcPr>
            <w:tcW w:w="260" w:type="dxa"/>
            <w:vAlign w:val="bottom"/>
            <w:shd w:val="clear" w:color="auto" w:fill="CCEEFF"/>
          </w:tcPr>
          <w:p>
            <w:pPr>
              <w:spacing w:after="0"/>
              <w:rPr>
                <w:sz w:val="12"/>
                <w:szCs w:val="12"/>
                <w:color w:val="auto"/>
              </w:rPr>
            </w:pPr>
          </w:p>
        </w:tc>
        <w:tc>
          <w:tcPr>
            <w:tcW w:w="90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60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Unrealized loss on AFS debt securities - related party</w:t>
            </w: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(2,373)</w:t>
            </w:r>
          </w:p>
        </w:tc>
        <w:tc>
          <w:tcPr>
            <w:tcW w:w="420" w:type="dxa"/>
            <w:vAlign w:val="bottom"/>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(2,373)</w:t>
            </w:r>
          </w:p>
        </w:tc>
        <w:tc>
          <w:tcPr>
            <w:tcW w:w="420" w:type="dxa"/>
            <w:vAlign w:val="bottom"/>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2"/>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other comprehensive loss, net of taxes</w:t>
            </w:r>
          </w:p>
        </w:tc>
        <w:tc>
          <w:tcPr>
            <w:tcW w:w="26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(2,373)</w:t>
            </w:r>
          </w:p>
        </w:tc>
        <w:tc>
          <w:tcPr>
            <w:tcW w:w="220" w:type="dxa"/>
            <w:vAlign w:val="bottom"/>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22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(2,373)</w:t>
            </w:r>
          </w:p>
        </w:tc>
        <w:tc>
          <w:tcPr>
            <w:tcW w:w="220" w:type="dxa"/>
            <w:vAlign w:val="bottom"/>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shd w:val="clear" w:color="auto" w:fill="CCEEFF"/>
          </w:tcPr>
          <w:p>
            <w:pPr>
              <w:spacing w:after="0"/>
              <w:rPr>
                <w:sz w:val="12"/>
                <w:szCs w:val="12"/>
                <w:color w:val="auto"/>
              </w:rPr>
            </w:pPr>
          </w:p>
        </w:tc>
      </w:tr>
      <w:tr>
        <w:trPr>
          <w:trHeight w:val="144"/>
        </w:trPr>
        <w:tc>
          <w:tcPr>
            <w:tcW w:w="6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gridSpan w:val="2"/>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gridSpan w:val="2"/>
          </w:tcPr>
          <w:p>
            <w:pPr>
              <w:spacing w:after="0"/>
              <w:rPr>
                <w:sz w:val="12"/>
                <w:szCs w:val="12"/>
                <w:color w:val="auto"/>
              </w:rPr>
            </w:pPr>
          </w:p>
        </w:tc>
      </w:tr>
      <w:tr>
        <w:trPr>
          <w:trHeight w:val="142"/>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comprehensive loss, net of taxes</w:t>
            </w:r>
          </w:p>
        </w:tc>
        <w:tc>
          <w:tcPr>
            <w:tcW w:w="26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(10,014)</w:t>
            </w:r>
          </w:p>
        </w:tc>
        <w:tc>
          <w:tcPr>
            <w:tcW w:w="220" w:type="dxa"/>
            <w:vAlign w:val="bottom"/>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(18,916)</w:t>
            </w:r>
          </w:p>
        </w:tc>
        <w:tc>
          <w:tcPr>
            <w:tcW w:w="22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(28,854)</w:t>
            </w:r>
          </w:p>
        </w:tc>
        <w:tc>
          <w:tcPr>
            <w:tcW w:w="220" w:type="dxa"/>
            <w:vAlign w:val="bottom"/>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(17,951)</w:t>
            </w:r>
          </w:p>
        </w:tc>
        <w:tc>
          <w:tcPr>
            <w:tcW w:w="120" w:type="dxa"/>
            <w:vAlign w:val="bottom"/>
            <w:shd w:val="clear" w:color="auto" w:fill="CCEEFF"/>
          </w:tcPr>
          <w:p>
            <w:pPr>
              <w:spacing w:after="0"/>
              <w:rPr>
                <w:sz w:val="12"/>
                <w:szCs w:val="12"/>
                <w:color w:val="auto"/>
              </w:rPr>
            </w:pPr>
          </w:p>
        </w:tc>
      </w:tr>
      <w:tr>
        <w:trPr>
          <w:trHeight w:val="144"/>
        </w:trPr>
        <w:tc>
          <w:tcPr>
            <w:tcW w:w="60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Less: Comprehensive loss attributable to non-controlling interest</w:t>
            </w:r>
          </w:p>
        </w:tc>
        <w:tc>
          <w:tcPr>
            <w:tcW w:w="260" w:type="dxa"/>
            <w:vAlign w:val="bottom"/>
          </w:tcPr>
          <w:p>
            <w:pPr>
              <w:spacing w:after="0"/>
              <w:rPr>
                <w:sz w:val="12"/>
                <w:szCs w:val="12"/>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(5,430)</w:t>
            </w:r>
          </w:p>
        </w:tc>
        <w:tc>
          <w:tcPr>
            <w:tcW w:w="420" w:type="dxa"/>
            <w:vAlign w:val="bottom"/>
          </w:tcPr>
          <w:p>
            <w:pPr>
              <w:spacing w:after="0"/>
              <w:rPr>
                <w:sz w:val="12"/>
                <w:szCs w:val="12"/>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(45)</w:t>
            </w:r>
          </w:p>
        </w:tc>
        <w:tc>
          <w:tcPr>
            <w:tcW w:w="260" w:type="dxa"/>
            <w:vAlign w:val="bottom"/>
          </w:tcPr>
          <w:p>
            <w:pPr>
              <w:spacing w:after="0"/>
              <w:rPr>
                <w:sz w:val="12"/>
                <w:szCs w:val="12"/>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(11,762)</w:t>
            </w:r>
          </w:p>
        </w:tc>
        <w:tc>
          <w:tcPr>
            <w:tcW w:w="420" w:type="dxa"/>
            <w:vAlign w:val="bottom"/>
          </w:tcPr>
          <w:p>
            <w:pPr>
              <w:spacing w:after="0"/>
              <w:rPr>
                <w:sz w:val="12"/>
                <w:szCs w:val="12"/>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(101)</w:t>
            </w:r>
          </w:p>
        </w:tc>
      </w:tr>
      <w:tr>
        <w:trPr>
          <w:trHeight w:val="142"/>
        </w:trPr>
        <w:tc>
          <w:tcPr>
            <w:tcW w:w="6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Comprehensive Loss Attributable to Innventure LLC Unitholders</w:t>
            </w:r>
          </w:p>
        </w:tc>
        <w:tc>
          <w:tcPr>
            <w:tcW w:w="260" w:type="dxa"/>
            <w:vAlign w:val="bottom"/>
            <w:tcBorders>
              <w:top w:val="single" w:sz="8" w:color="auto"/>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(4,584)</w:t>
            </w:r>
          </w:p>
        </w:tc>
        <w:tc>
          <w:tcPr>
            <w:tcW w:w="22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top w:val="single" w:sz="8" w:color="auto"/>
              <w:bottom w:val="single" w:sz="8" w:color="auto"/>
            </w:tcBorders>
            <w:shd w:val="clear" w:color="auto" w:fill="CCEEFF"/>
          </w:tcPr>
          <w:p>
            <w:pPr>
              <w:jc w:val="right"/>
              <w:ind w:right="30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(18,871)</w:t>
            </w:r>
          </w:p>
        </w:tc>
        <w:tc>
          <w:tcPr>
            <w:tcW w:w="22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(17,092)</w:t>
            </w:r>
          </w:p>
        </w:tc>
        <w:tc>
          <w:tcPr>
            <w:tcW w:w="22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top w:val="single" w:sz="8" w:color="auto"/>
              <w:bottom w:val="single" w:sz="8" w:color="auto"/>
            </w:tcBorders>
            <w:shd w:val="clear" w:color="auto" w:fill="CCEEFF"/>
          </w:tcPr>
          <w:p>
            <w:pPr>
              <w:jc w:val="right"/>
              <w:ind w:right="30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(17,850)</w:t>
            </w:r>
          </w:p>
        </w:tc>
        <w:tc>
          <w:tcPr>
            <w:tcW w:w="120" w:type="dxa"/>
            <w:vAlign w:val="bottom"/>
            <w:tcBorders>
              <w:bottom w:val="single" w:sz="8" w:color="CCEEFF"/>
            </w:tcBorders>
            <w:shd w:val="clear" w:color="auto" w:fill="CCEEFF"/>
          </w:tcPr>
          <w:p>
            <w:pPr>
              <w:spacing w:after="0"/>
              <w:rPr>
                <w:sz w:val="12"/>
                <w:szCs w:val="12"/>
                <w:color w:val="auto"/>
              </w:rPr>
            </w:pPr>
          </w:p>
        </w:tc>
      </w:tr>
    </w:tbl>
    <w:p>
      <w:pPr>
        <w:spacing w:after="0" w:line="1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i w:val="1"/>
          <w:iCs w:val="1"/>
          <w:color w:val="auto"/>
        </w:rPr>
        <w:t>See accompanying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86360</wp:posOffset>
            </wp:positionV>
            <wp:extent cx="7178040" cy="114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Innventure LLC and Subsidiaries</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Condensed Consolidated Statements of Changes in Mezzanine Capital</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(in thousands) (Unaudited)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7340" w:type="dxa"/>
            <w:vAlign w:val="bottom"/>
          </w:tcPr>
          <w:p>
            <w:pPr>
              <w:spacing w:after="0"/>
              <w:rPr>
                <w:sz w:val="12"/>
                <w:szCs w:val="12"/>
                <w:color w:val="auto"/>
              </w:rPr>
            </w:pPr>
          </w:p>
        </w:tc>
        <w:tc>
          <w:tcPr>
            <w:tcW w:w="840" w:type="dxa"/>
            <w:vAlign w:val="bottom"/>
          </w:tcPr>
          <w:p>
            <w:pPr>
              <w:jc w:val="right"/>
              <w:ind w:right="24"/>
              <w:spacing w:after="0"/>
              <w:rPr>
                <w:sz w:val="20"/>
                <w:szCs w:val="20"/>
                <w:color w:val="auto"/>
              </w:rPr>
            </w:pPr>
            <w:r>
              <w:rPr>
                <w:rFonts w:ascii="Times New Roman" w:cs="Times New Roman" w:eastAsia="Times New Roman" w:hAnsi="Times New Roman"/>
                <w:sz w:val="12"/>
                <w:szCs w:val="12"/>
                <w:b w:val="1"/>
                <w:bCs w:val="1"/>
                <w:color w:val="auto"/>
              </w:rPr>
              <w:t>Class I</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2"/>
                <w:szCs w:val="12"/>
                <w:b w:val="1"/>
                <w:bCs w:val="1"/>
                <w:color w:val="auto"/>
              </w:rPr>
              <w:t>Class PCTA</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9"/>
        </w:trPr>
        <w:tc>
          <w:tcPr>
            <w:tcW w:w="7340" w:type="dxa"/>
            <w:vAlign w:val="bottom"/>
          </w:tcPr>
          <w:p>
            <w:pPr>
              <w:spacing w:after="0"/>
              <w:rPr>
                <w:sz w:val="13"/>
                <w:szCs w:val="13"/>
                <w:color w:val="auto"/>
              </w:rPr>
            </w:pP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240" w:type="dxa"/>
            <w:vAlign w:val="bottom"/>
          </w:tcPr>
          <w:p>
            <w:pPr>
              <w:spacing w:after="0"/>
              <w:rPr>
                <w:sz w:val="13"/>
                <w:szCs w:val="13"/>
                <w:color w:val="auto"/>
              </w:rPr>
            </w:pPr>
          </w:p>
        </w:tc>
        <w:tc>
          <w:tcPr>
            <w:tcW w:w="1000" w:type="dxa"/>
            <w:vAlign w:val="bottom"/>
            <w:gridSpan w:val="2"/>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142"/>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December 31, 2022</w:t>
            </w:r>
          </w:p>
        </w:tc>
        <w:tc>
          <w:tcPr>
            <w:tcW w:w="840" w:type="dxa"/>
            <w:vAlign w:val="bottom"/>
            <w:tcBorders>
              <w:top w:val="single" w:sz="8" w:color="auto"/>
            </w:tcBorders>
            <w:shd w:val="clear" w:color="auto" w:fill="CCEEFF"/>
          </w:tcPr>
          <w:p>
            <w:pPr>
              <w:jc w:val="right"/>
              <w:ind w:right="72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2,984</w:t>
            </w:r>
          </w:p>
        </w:tc>
        <w:tc>
          <w:tcPr>
            <w:tcW w:w="24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12,882</w:t>
            </w:r>
          </w:p>
        </w:tc>
        <w:tc>
          <w:tcPr>
            <w:tcW w:w="22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15,866</w:t>
            </w:r>
          </w:p>
        </w:tc>
        <w:tc>
          <w:tcPr>
            <w:tcW w:w="120" w:type="dxa"/>
            <w:vAlign w:val="bottom"/>
            <w:shd w:val="clear" w:color="auto" w:fill="CCEEFF"/>
          </w:tcPr>
          <w:p>
            <w:pPr>
              <w:spacing w:after="0"/>
              <w:rPr>
                <w:sz w:val="12"/>
                <w:szCs w:val="12"/>
                <w:color w:val="auto"/>
              </w:rPr>
            </w:pPr>
          </w:p>
        </w:tc>
      </w:tr>
      <w:tr>
        <w:trPr>
          <w:trHeight w:val="144"/>
        </w:trPr>
        <w:tc>
          <w:tcPr>
            <w:tcW w:w="73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Accretion of redeemable units to redemption value</w:t>
            </w:r>
          </w:p>
        </w:tc>
        <w:tc>
          <w:tcPr>
            <w:tcW w:w="84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457</w:t>
            </w: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458</w:t>
            </w:r>
          </w:p>
        </w:tc>
      </w:tr>
      <w:tr>
        <w:trPr>
          <w:trHeight w:val="142"/>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March 31, 2023</w:t>
            </w:r>
          </w:p>
        </w:tc>
        <w:tc>
          <w:tcPr>
            <w:tcW w:w="84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2,985</w:t>
            </w:r>
          </w:p>
        </w:tc>
        <w:tc>
          <w:tcPr>
            <w:tcW w:w="24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13,339</w:t>
            </w:r>
          </w:p>
        </w:tc>
        <w:tc>
          <w:tcPr>
            <w:tcW w:w="22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16,324</w:t>
            </w:r>
          </w:p>
        </w:tc>
        <w:tc>
          <w:tcPr>
            <w:tcW w:w="120" w:type="dxa"/>
            <w:vAlign w:val="bottom"/>
            <w:shd w:val="clear" w:color="auto" w:fill="CCEEFF"/>
          </w:tcPr>
          <w:p>
            <w:pPr>
              <w:spacing w:after="0"/>
              <w:rPr>
                <w:sz w:val="12"/>
                <w:szCs w:val="12"/>
                <w:color w:val="auto"/>
              </w:rPr>
            </w:pPr>
          </w:p>
        </w:tc>
      </w:tr>
      <w:tr>
        <w:trPr>
          <w:trHeight w:val="144"/>
        </w:trPr>
        <w:tc>
          <w:tcPr>
            <w:tcW w:w="73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Proceeds from capital calls to unitholders</w:t>
            </w:r>
          </w:p>
        </w:tc>
        <w:tc>
          <w:tcPr>
            <w:tcW w:w="84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130</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130</w:t>
            </w:r>
          </w:p>
        </w:tc>
      </w:tr>
      <w:tr>
        <w:trPr>
          <w:trHeight w:val="144"/>
        </w:trPr>
        <w:tc>
          <w:tcPr>
            <w:tcW w:w="7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Accretion of redeemable units to redemption value</w:t>
            </w:r>
          </w:p>
        </w:tc>
        <w:tc>
          <w:tcPr>
            <w:tcW w:w="84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423</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7,031</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7,454</w:t>
            </w:r>
          </w:p>
        </w:tc>
      </w:tr>
      <w:tr>
        <w:trPr>
          <w:trHeight w:val="20"/>
        </w:trPr>
        <w:tc>
          <w:tcPr>
            <w:tcW w:w="734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73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June 30, 2023</w:t>
            </w:r>
          </w:p>
        </w:tc>
        <w:tc>
          <w:tcPr>
            <w:tcW w:w="84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3,538</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20,370</w:t>
            </w: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23,908</w:t>
            </w:r>
          </w:p>
        </w:tc>
      </w:tr>
      <w:tr>
        <w:trPr>
          <w:trHeight w:val="144"/>
        </w:trPr>
        <w:tc>
          <w:tcPr>
            <w:tcW w:w="7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Accretion of redeemable units to redemption value</w:t>
            </w:r>
          </w:p>
        </w:tc>
        <w:tc>
          <w:tcPr>
            <w:tcW w:w="8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(469)</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(9,680)</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(10,149)</w:t>
            </w:r>
          </w:p>
        </w:tc>
      </w:tr>
      <w:tr>
        <w:trPr>
          <w:trHeight w:val="20"/>
        </w:trPr>
        <w:tc>
          <w:tcPr>
            <w:tcW w:w="734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73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September 30, 2023</w:t>
            </w:r>
          </w:p>
        </w:tc>
        <w:tc>
          <w:tcPr>
            <w:tcW w:w="840" w:type="dxa"/>
            <w:vAlign w:val="bottom"/>
          </w:tcPr>
          <w:p>
            <w:pPr>
              <w:jc w:val="right"/>
              <w:ind w:right="72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3,069</w:t>
            </w:r>
          </w:p>
        </w:tc>
        <w:tc>
          <w:tcPr>
            <w:tcW w:w="240" w:type="dxa"/>
            <w:vAlign w:val="bottom"/>
          </w:tcPr>
          <w:p>
            <w:pPr>
              <w:spacing w:after="0"/>
              <w:rPr>
                <w:sz w:val="12"/>
                <w:szCs w:val="12"/>
                <w:color w:val="auto"/>
              </w:rPr>
            </w:pP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10,690</w:t>
            </w: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13,759</w:t>
            </w:r>
          </w:p>
        </w:tc>
      </w:tr>
      <w:tr>
        <w:trPr>
          <w:trHeight w:val="142"/>
        </w:trPr>
        <w:tc>
          <w:tcPr>
            <w:tcW w:w="7340" w:type="dxa"/>
            <w:vAlign w:val="bottom"/>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73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December 31, 2023</w:t>
            </w:r>
          </w:p>
        </w:tc>
        <w:tc>
          <w:tcPr>
            <w:tcW w:w="840" w:type="dxa"/>
            <w:vAlign w:val="bottom"/>
          </w:tcPr>
          <w:p>
            <w:pPr>
              <w:jc w:val="right"/>
              <w:ind w:right="72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2,912</w:t>
            </w:r>
          </w:p>
        </w:tc>
        <w:tc>
          <w:tcPr>
            <w:tcW w:w="240" w:type="dxa"/>
            <w:vAlign w:val="bottom"/>
          </w:tcPr>
          <w:p>
            <w:pPr>
              <w:spacing w:after="0"/>
              <w:rPr>
                <w:sz w:val="12"/>
                <w:szCs w:val="12"/>
                <w:color w:val="auto"/>
              </w:rPr>
            </w:pP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7,718</w:t>
            </w: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10,630</w:t>
            </w:r>
          </w:p>
        </w:tc>
      </w:tr>
      <w:tr>
        <w:trPr>
          <w:trHeight w:val="144"/>
        </w:trPr>
        <w:tc>
          <w:tcPr>
            <w:tcW w:w="7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Accretion of redeemable units to redemption value</w:t>
            </w:r>
          </w:p>
        </w:tc>
        <w:tc>
          <w:tcPr>
            <w:tcW w:w="84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280</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4,135</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4,415</w:t>
            </w:r>
          </w:p>
        </w:tc>
      </w:tr>
      <w:tr>
        <w:trPr>
          <w:trHeight w:val="20"/>
        </w:trPr>
        <w:tc>
          <w:tcPr>
            <w:tcW w:w="734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73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March 31, 2024</w:t>
            </w:r>
          </w:p>
        </w:tc>
        <w:tc>
          <w:tcPr>
            <w:tcW w:w="84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3,192</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11,853</w:t>
            </w: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15,045</w:t>
            </w:r>
          </w:p>
        </w:tc>
      </w:tr>
      <w:tr>
        <w:trPr>
          <w:trHeight w:val="144"/>
        </w:trPr>
        <w:tc>
          <w:tcPr>
            <w:tcW w:w="7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Accretion of redeemable units to redemption value</w:t>
            </w:r>
          </w:p>
        </w:tc>
        <w:tc>
          <w:tcPr>
            <w:tcW w:w="84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934</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(572)</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362</w:t>
            </w:r>
          </w:p>
        </w:tc>
      </w:tr>
      <w:tr>
        <w:trPr>
          <w:trHeight w:val="20"/>
        </w:trPr>
        <w:tc>
          <w:tcPr>
            <w:tcW w:w="734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73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June 30, 2024</w:t>
            </w:r>
          </w:p>
        </w:tc>
        <w:tc>
          <w:tcPr>
            <w:tcW w:w="84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4,126</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11,281</w:t>
            </w: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15,407</w:t>
            </w:r>
          </w:p>
        </w:tc>
      </w:tr>
      <w:tr>
        <w:trPr>
          <w:trHeight w:val="144"/>
        </w:trPr>
        <w:tc>
          <w:tcPr>
            <w:tcW w:w="7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Accretion of redeemable units to redemption value</w:t>
            </w:r>
          </w:p>
        </w:tc>
        <w:tc>
          <w:tcPr>
            <w:tcW w:w="84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351</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6,822</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7,173</w:t>
            </w:r>
          </w:p>
        </w:tc>
      </w:tr>
      <w:tr>
        <w:trPr>
          <w:trHeight w:val="20"/>
        </w:trPr>
        <w:tc>
          <w:tcPr>
            <w:tcW w:w="734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73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September 30, 2024</w:t>
            </w:r>
          </w:p>
        </w:tc>
        <w:tc>
          <w:tcPr>
            <w:tcW w:w="840" w:type="dxa"/>
            <w:vAlign w:val="bottom"/>
          </w:tcPr>
          <w:p>
            <w:pPr>
              <w:jc w:val="right"/>
              <w:ind w:right="72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4,477</w:t>
            </w:r>
          </w:p>
        </w:tc>
        <w:tc>
          <w:tcPr>
            <w:tcW w:w="240" w:type="dxa"/>
            <w:vAlign w:val="bottom"/>
          </w:tcPr>
          <w:p>
            <w:pPr>
              <w:spacing w:after="0"/>
              <w:rPr>
                <w:sz w:val="12"/>
                <w:szCs w:val="12"/>
                <w:color w:val="auto"/>
              </w:rPr>
            </w:pP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18,103</w:t>
            </w: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22,580</w:t>
            </w:r>
          </w:p>
        </w:tc>
      </w:tr>
      <w:tr>
        <w:trPr>
          <w:trHeight w:val="20"/>
        </w:trPr>
        <w:tc>
          <w:tcPr>
            <w:tcW w:w="73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i w:val="1"/>
          <w:iCs w:val="1"/>
          <w:color w:val="auto"/>
        </w:rPr>
        <w:t>See accompanying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86360</wp:posOffset>
            </wp:positionV>
            <wp:extent cx="7178040" cy="114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Innventure LLC and Subsidiaries</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Condensed Consolidated Statements of Changes in Unitholders' Deficit</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(in thousands) (Unaudited)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9"/>
              </w:rPr>
              <w:t>Accumulated</w:t>
            </w: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2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7"/>
              </w:rPr>
              <w:t>Other</w:t>
            </w: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4"/>
              </w:rPr>
              <w:t>Total</w:t>
            </w:r>
          </w:p>
        </w:tc>
      </w:tr>
      <w:tr>
        <w:trPr>
          <w:trHeight w:val="144"/>
        </w:trPr>
        <w:tc>
          <w:tcPr>
            <w:tcW w:w="2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Class B</w:t>
            </w:r>
          </w:p>
        </w:tc>
        <w:tc>
          <w:tcPr>
            <w:tcW w:w="260" w:type="dxa"/>
            <w:vAlign w:val="bottom"/>
          </w:tcPr>
          <w:p>
            <w:pPr>
              <w:spacing w:after="0"/>
              <w:rPr>
                <w:sz w:val="12"/>
                <w:szCs w:val="12"/>
                <w:color w:val="auto"/>
              </w:rPr>
            </w:pPr>
          </w:p>
        </w:tc>
        <w:tc>
          <w:tcPr>
            <w:tcW w:w="880" w:type="dxa"/>
            <w:vAlign w:val="bottom"/>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Class B-1</w:t>
            </w: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w w:val="99"/>
              </w:rPr>
              <w:t>Accumulated</w:t>
            </w: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Comprehensive</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Non-Controlling</w:t>
            </w:r>
          </w:p>
        </w:tc>
        <w:tc>
          <w:tcPr>
            <w:tcW w:w="180" w:type="dxa"/>
            <w:vAlign w:val="bottom"/>
          </w:tcPr>
          <w:p>
            <w:pPr>
              <w:spacing w:after="0"/>
              <w:rPr>
                <w:sz w:val="12"/>
                <w:szCs w:val="12"/>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Unitholders'</w:t>
            </w:r>
          </w:p>
        </w:tc>
      </w:tr>
      <w:tr>
        <w:trPr>
          <w:trHeight w:val="159"/>
        </w:trPr>
        <w:tc>
          <w:tcPr>
            <w:tcW w:w="2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Preferred</w:t>
            </w:r>
          </w:p>
        </w:tc>
        <w:tc>
          <w:tcPr>
            <w:tcW w:w="260" w:type="dxa"/>
            <w:vAlign w:val="bottom"/>
          </w:tcPr>
          <w:p>
            <w:pPr>
              <w:spacing w:after="0"/>
              <w:rPr>
                <w:sz w:val="13"/>
                <w:szCs w:val="13"/>
                <w:color w:val="auto"/>
              </w:rPr>
            </w:pPr>
          </w:p>
        </w:tc>
        <w:tc>
          <w:tcPr>
            <w:tcW w:w="880" w:type="dxa"/>
            <w:vAlign w:val="bottom"/>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Preferred</w:t>
            </w:r>
          </w:p>
        </w:tc>
        <w:tc>
          <w:tcPr>
            <w:tcW w:w="280" w:type="dxa"/>
            <w:vAlign w:val="bottom"/>
          </w:tcPr>
          <w:p>
            <w:pPr>
              <w:spacing w:after="0"/>
              <w:rPr>
                <w:sz w:val="13"/>
                <w:szCs w:val="13"/>
                <w:color w:val="auto"/>
              </w:rPr>
            </w:pPr>
          </w:p>
        </w:tc>
        <w:tc>
          <w:tcPr>
            <w:tcW w:w="860" w:type="dxa"/>
            <w:vAlign w:val="bottom"/>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rPr>
              <w:t>Class A</w:t>
            </w:r>
          </w:p>
        </w:tc>
        <w:tc>
          <w:tcPr>
            <w:tcW w:w="280" w:type="dxa"/>
            <w:vAlign w:val="bottom"/>
          </w:tcPr>
          <w:p>
            <w:pPr>
              <w:spacing w:after="0"/>
              <w:rPr>
                <w:sz w:val="13"/>
                <w:szCs w:val="13"/>
                <w:color w:val="auto"/>
              </w:rPr>
            </w:pPr>
          </w:p>
        </w:tc>
        <w:tc>
          <w:tcPr>
            <w:tcW w:w="880" w:type="dxa"/>
            <w:vAlign w:val="bottom"/>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Class C</w:t>
            </w:r>
          </w:p>
        </w:tc>
        <w:tc>
          <w:tcPr>
            <w:tcW w:w="200" w:type="dxa"/>
            <w:vAlign w:val="bottom"/>
          </w:tcPr>
          <w:p>
            <w:pPr>
              <w:spacing w:after="0"/>
              <w:rPr>
                <w:sz w:val="13"/>
                <w:szCs w:val="13"/>
                <w:color w:val="auto"/>
              </w:rPr>
            </w:pPr>
          </w:p>
        </w:tc>
        <w:tc>
          <w:tcPr>
            <w:tcW w:w="960" w:type="dxa"/>
            <w:vAlign w:val="bottom"/>
          </w:tcPr>
          <w:p>
            <w:pPr>
              <w:jc w:val="right"/>
              <w:ind w:right="360"/>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160" w:type="dxa"/>
            <w:vAlign w:val="bottom"/>
          </w:tcPr>
          <w:p>
            <w:pPr>
              <w:spacing w:after="0"/>
              <w:rPr>
                <w:sz w:val="13"/>
                <w:szCs w:val="13"/>
                <w:color w:val="auto"/>
              </w:rPr>
            </w:pPr>
          </w:p>
        </w:tc>
        <w:tc>
          <w:tcPr>
            <w:tcW w:w="940" w:type="dxa"/>
            <w:vAlign w:val="bottom"/>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4"/>
              </w:rPr>
              <w:t>Loss</w:t>
            </w:r>
          </w:p>
        </w:tc>
        <w:tc>
          <w:tcPr>
            <w:tcW w:w="240" w:type="dxa"/>
            <w:vAlign w:val="bottom"/>
          </w:tcPr>
          <w:p>
            <w:pPr>
              <w:spacing w:after="0"/>
              <w:rPr>
                <w:sz w:val="13"/>
                <w:szCs w:val="13"/>
                <w:color w:val="auto"/>
              </w:rPr>
            </w:pPr>
          </w:p>
        </w:tc>
        <w:tc>
          <w:tcPr>
            <w:tcW w:w="860" w:type="dxa"/>
            <w:vAlign w:val="bottom"/>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rPr>
              <w:t>Interest</w:t>
            </w:r>
          </w:p>
        </w:tc>
        <w:tc>
          <w:tcPr>
            <w:tcW w:w="180" w:type="dxa"/>
            <w:vAlign w:val="bottom"/>
          </w:tcPr>
          <w:p>
            <w:pPr>
              <w:spacing w:after="0"/>
              <w:rPr>
                <w:sz w:val="13"/>
                <w:szCs w:val="13"/>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9"/>
              </w:rPr>
              <w:t>Deficit</w:t>
            </w:r>
          </w:p>
        </w:tc>
      </w:tr>
      <w:tr>
        <w:trPr>
          <w:trHeight w:val="142"/>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December 31, 2023</w:t>
            </w:r>
          </w:p>
        </w:tc>
        <w:tc>
          <w:tcPr>
            <w:tcW w:w="140" w:type="dxa"/>
            <w:vAlign w:val="bottom"/>
            <w:tcBorders>
              <w:top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80" w:type="dxa"/>
            <w:vAlign w:val="bottom"/>
            <w:tcBorders>
              <w:top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38,122</w:t>
            </w:r>
          </w:p>
        </w:tc>
        <w:tc>
          <w:tcPr>
            <w:tcW w:w="26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w:t>
            </w:r>
          </w:p>
        </w:tc>
        <w:tc>
          <w:tcPr>
            <w:tcW w:w="880" w:type="dxa"/>
            <w:vAlign w:val="bottom"/>
            <w:tcBorders>
              <w:top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3,323</w:t>
            </w:r>
          </w:p>
        </w:tc>
        <w:tc>
          <w:tcPr>
            <w:tcW w:w="280" w:type="dxa"/>
            <w:vAlign w:val="bottom"/>
            <w:tcBorders>
              <w:top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w:t>
            </w:r>
          </w:p>
        </w:tc>
        <w:tc>
          <w:tcPr>
            <w:tcW w:w="860" w:type="dxa"/>
            <w:vAlign w:val="bottom"/>
            <w:tcBorders>
              <w:top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1,950</w:t>
            </w:r>
          </w:p>
        </w:tc>
        <w:tc>
          <w:tcPr>
            <w:tcW w:w="280" w:type="dxa"/>
            <w:vAlign w:val="bottom"/>
            <w:tcBorders>
              <w:top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w:t>
            </w:r>
          </w:p>
        </w:tc>
        <w:tc>
          <w:tcPr>
            <w:tcW w:w="880" w:type="dxa"/>
            <w:vAlign w:val="bottom"/>
            <w:tcBorders>
              <w:top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844</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960" w:type="dxa"/>
            <w:vAlign w:val="bottom"/>
            <w:tcBorders>
              <w:top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(64,284)</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940" w:type="dxa"/>
            <w:vAlign w:val="bottom"/>
            <w:tcBorders>
              <w:top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w:t>
            </w:r>
          </w:p>
        </w:tc>
        <w:tc>
          <w:tcPr>
            <w:tcW w:w="24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w:t>
            </w:r>
          </w:p>
        </w:tc>
        <w:tc>
          <w:tcPr>
            <w:tcW w:w="860" w:type="dxa"/>
            <w:vAlign w:val="bottom"/>
            <w:tcBorders>
              <w:top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1,559</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(18,486)</w:t>
            </w:r>
          </w:p>
        </w:tc>
        <w:tc>
          <w:tcPr>
            <w:tcW w:w="120" w:type="dxa"/>
            <w:vAlign w:val="bottom"/>
            <w:shd w:val="clear" w:color="auto" w:fill="CCEEFF"/>
          </w:tcPr>
          <w:p>
            <w:pPr>
              <w:spacing w:after="0"/>
              <w:rPr>
                <w:sz w:val="12"/>
                <w:szCs w:val="12"/>
                <w:color w:val="auto"/>
              </w:rPr>
            </w:pPr>
          </w:p>
        </w:tc>
      </w:tr>
      <w:tr>
        <w:trPr>
          <w:trHeight w:val="144"/>
        </w:trPr>
        <w:tc>
          <w:tcPr>
            <w:tcW w:w="238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Net loss</w:t>
            </w:r>
          </w:p>
        </w:tc>
        <w:tc>
          <w:tcPr>
            <w:tcW w:w="140" w:type="dxa"/>
            <w:vAlign w:val="bottom"/>
          </w:tcPr>
          <w:p>
            <w:pPr>
              <w:spacing w:after="0"/>
              <w:rPr>
                <w:sz w:val="12"/>
                <w:szCs w:val="12"/>
                <w:color w:val="auto"/>
              </w:rPr>
            </w:pPr>
          </w:p>
        </w:tc>
        <w:tc>
          <w:tcPr>
            <w:tcW w:w="88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2"/>
                <w:szCs w:val="12"/>
                <w:color w:val="auto"/>
              </w:rPr>
            </w:pPr>
          </w:p>
        </w:tc>
        <w:tc>
          <w:tcPr>
            <w:tcW w:w="88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2"/>
                <w:szCs w:val="12"/>
                <w:color w:val="auto"/>
              </w:rPr>
            </w:pPr>
          </w:p>
        </w:tc>
        <w:tc>
          <w:tcPr>
            <w:tcW w:w="8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2"/>
                <w:szCs w:val="12"/>
                <w:color w:val="auto"/>
              </w:rPr>
            </w:pPr>
          </w:p>
        </w:tc>
        <w:tc>
          <w:tcPr>
            <w:tcW w:w="88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9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(5,219)</w:t>
            </w:r>
          </w:p>
        </w:tc>
        <w:tc>
          <w:tcPr>
            <w:tcW w:w="160" w:type="dxa"/>
            <w:vAlign w:val="bottom"/>
          </w:tcPr>
          <w:p>
            <w:pPr>
              <w:spacing w:after="0"/>
              <w:rPr>
                <w:sz w:val="12"/>
                <w:szCs w:val="12"/>
                <w:color w:val="auto"/>
              </w:rPr>
            </w:pPr>
          </w:p>
        </w:tc>
        <w:tc>
          <w:tcPr>
            <w:tcW w:w="94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2"/>
                <w:szCs w:val="12"/>
                <w:color w:val="auto"/>
              </w:rPr>
            </w:pP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(2,307)</w:t>
            </w:r>
          </w:p>
        </w:tc>
        <w:tc>
          <w:tcPr>
            <w:tcW w:w="180" w:type="dxa"/>
            <w:vAlign w:val="bottom"/>
          </w:tcPr>
          <w:p>
            <w:pPr>
              <w:spacing w:after="0"/>
              <w:rPr>
                <w:sz w:val="12"/>
                <w:szCs w:val="12"/>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(7,526)</w:t>
            </w:r>
          </w:p>
        </w:tc>
      </w:tr>
      <w:tr>
        <w:trPr>
          <w:trHeight w:val="144"/>
        </w:trPr>
        <w:tc>
          <w:tcPr>
            <w:tcW w:w="2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Units issued to NCI</w:t>
            </w: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3,503</w:t>
            </w: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3,503</w:t>
            </w:r>
          </w:p>
        </w:tc>
      </w:tr>
      <w:tr>
        <w:trPr>
          <w:trHeight w:val="133"/>
        </w:trPr>
        <w:tc>
          <w:tcPr>
            <w:tcW w:w="2380" w:type="dxa"/>
            <w:vAlign w:val="bottom"/>
          </w:tcPr>
          <w:p>
            <w:pPr>
              <w:ind w:left="100"/>
              <w:spacing w:after="0" w:line="133" w:lineRule="exact"/>
              <w:rPr>
                <w:sz w:val="20"/>
                <w:szCs w:val="20"/>
                <w:color w:val="auto"/>
              </w:rPr>
            </w:pPr>
            <w:r>
              <w:rPr>
                <w:rFonts w:ascii="Times New Roman" w:cs="Times New Roman" w:eastAsia="Times New Roman" w:hAnsi="Times New Roman"/>
                <w:sz w:val="12"/>
                <w:szCs w:val="12"/>
                <w:color w:val="auto"/>
              </w:rPr>
              <w:t>Issuance of preferred units, net of issuance</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5"/>
        </w:trPr>
        <w:tc>
          <w:tcPr>
            <w:tcW w:w="23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costs</w:t>
            </w:r>
          </w:p>
        </w:tc>
        <w:tc>
          <w:tcPr>
            <w:tcW w:w="140" w:type="dxa"/>
            <w:vAlign w:val="bottom"/>
          </w:tcPr>
          <w:p>
            <w:pPr>
              <w:spacing w:after="0"/>
              <w:rPr>
                <w:sz w:val="13"/>
                <w:szCs w:val="13"/>
                <w:color w:val="auto"/>
              </w:rPr>
            </w:pPr>
          </w:p>
        </w:tc>
        <w:tc>
          <w:tcPr>
            <w:tcW w:w="88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7,566</w:t>
            </w:r>
          </w:p>
        </w:tc>
        <w:tc>
          <w:tcPr>
            <w:tcW w:w="260" w:type="dxa"/>
            <w:vAlign w:val="bottom"/>
          </w:tcPr>
          <w:p>
            <w:pPr>
              <w:spacing w:after="0"/>
              <w:rPr>
                <w:sz w:val="13"/>
                <w:szCs w:val="13"/>
                <w:color w:val="auto"/>
              </w:rPr>
            </w:pPr>
          </w:p>
        </w:tc>
        <w:tc>
          <w:tcPr>
            <w:tcW w:w="88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3"/>
                <w:szCs w:val="13"/>
                <w:color w:val="auto"/>
              </w:rPr>
            </w:pPr>
          </w:p>
        </w:tc>
        <w:tc>
          <w:tcPr>
            <w:tcW w:w="8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3"/>
                <w:szCs w:val="13"/>
                <w:color w:val="auto"/>
              </w:rPr>
            </w:pPr>
          </w:p>
        </w:tc>
        <w:tc>
          <w:tcPr>
            <w:tcW w:w="88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9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94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8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7,566</w:t>
            </w:r>
          </w:p>
        </w:tc>
      </w:tr>
      <w:tr>
        <w:trPr>
          <w:trHeight w:val="144"/>
        </w:trPr>
        <w:tc>
          <w:tcPr>
            <w:tcW w:w="2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Unit-based compensation</w:t>
            </w: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51</w:t>
            </w: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345</w:t>
            </w: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396</w:t>
            </w:r>
          </w:p>
        </w:tc>
      </w:tr>
      <w:tr>
        <w:trPr>
          <w:trHeight w:val="133"/>
        </w:trPr>
        <w:tc>
          <w:tcPr>
            <w:tcW w:w="2380" w:type="dxa"/>
            <w:vAlign w:val="bottom"/>
          </w:tcPr>
          <w:p>
            <w:pPr>
              <w:ind w:left="100"/>
              <w:spacing w:after="0" w:line="133" w:lineRule="exact"/>
              <w:rPr>
                <w:sz w:val="20"/>
                <w:szCs w:val="20"/>
                <w:color w:val="auto"/>
              </w:rPr>
            </w:pPr>
            <w:r>
              <w:rPr>
                <w:rFonts w:ascii="Times New Roman" w:cs="Times New Roman" w:eastAsia="Times New Roman" w:hAnsi="Times New Roman"/>
                <w:sz w:val="12"/>
                <w:szCs w:val="12"/>
                <w:color w:val="auto"/>
              </w:rPr>
              <w:t>Issuance of units to NCI in exchange of</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5"/>
        </w:trPr>
        <w:tc>
          <w:tcPr>
            <w:tcW w:w="23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convertible promissory notes</w:t>
            </w:r>
          </w:p>
        </w:tc>
        <w:tc>
          <w:tcPr>
            <w:tcW w:w="140" w:type="dxa"/>
            <w:vAlign w:val="bottom"/>
          </w:tcPr>
          <w:p>
            <w:pPr>
              <w:spacing w:after="0"/>
              <w:rPr>
                <w:sz w:val="13"/>
                <w:szCs w:val="13"/>
                <w:color w:val="auto"/>
              </w:rPr>
            </w:pPr>
          </w:p>
        </w:tc>
        <w:tc>
          <w:tcPr>
            <w:tcW w:w="88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3"/>
                <w:szCs w:val="13"/>
                <w:color w:val="auto"/>
              </w:rPr>
            </w:pPr>
          </w:p>
        </w:tc>
        <w:tc>
          <w:tcPr>
            <w:tcW w:w="88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3"/>
                <w:szCs w:val="13"/>
                <w:color w:val="auto"/>
              </w:rPr>
            </w:pPr>
          </w:p>
        </w:tc>
        <w:tc>
          <w:tcPr>
            <w:tcW w:w="8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3"/>
                <w:szCs w:val="13"/>
                <w:color w:val="auto"/>
              </w:rPr>
            </w:pPr>
          </w:p>
        </w:tc>
        <w:tc>
          <w:tcPr>
            <w:tcW w:w="88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9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94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8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8,443</w:t>
            </w:r>
          </w:p>
        </w:tc>
        <w:tc>
          <w:tcPr>
            <w:tcW w:w="18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8,443</w:t>
            </w:r>
          </w:p>
        </w:tc>
      </w:tr>
      <w:tr>
        <w:trPr>
          <w:trHeight w:val="133"/>
        </w:trPr>
        <w:tc>
          <w:tcPr>
            <w:tcW w:w="2380" w:type="dxa"/>
            <w:vAlign w:val="bottom"/>
            <w:shd w:val="clear" w:color="auto" w:fill="CCEEFF"/>
          </w:tcPr>
          <w:p>
            <w:pPr>
              <w:ind w:left="100"/>
              <w:spacing w:after="0" w:line="133" w:lineRule="exact"/>
              <w:rPr>
                <w:sz w:val="20"/>
                <w:szCs w:val="20"/>
                <w:color w:val="auto"/>
              </w:rPr>
            </w:pPr>
            <w:r>
              <w:rPr>
                <w:rFonts w:ascii="Times New Roman" w:cs="Times New Roman" w:eastAsia="Times New Roman" w:hAnsi="Times New Roman"/>
                <w:sz w:val="12"/>
                <w:szCs w:val="12"/>
                <w:color w:val="auto"/>
              </w:rPr>
              <w:t>Accretion of redeemable units to redemption</w:t>
            </w: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55"/>
        </w:trPr>
        <w:tc>
          <w:tcPr>
            <w:tcW w:w="2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value</w:t>
            </w: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(4,415)</w:t>
            </w:r>
          </w:p>
        </w:tc>
        <w:tc>
          <w:tcPr>
            <w:tcW w:w="16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(4,415)</w:t>
            </w:r>
          </w:p>
        </w:tc>
      </w:tr>
      <w:tr>
        <w:trPr>
          <w:trHeight w:val="20"/>
        </w:trPr>
        <w:tc>
          <w:tcPr>
            <w:tcW w:w="23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23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March 31, 2024</w:t>
            </w:r>
          </w:p>
        </w:tc>
        <w:tc>
          <w:tcPr>
            <w:tcW w:w="140" w:type="dxa"/>
            <w:vAlign w:val="bottom"/>
          </w:tcPr>
          <w:p>
            <w:pPr>
              <w:spacing w:after="0"/>
              <w:rPr>
                <w:sz w:val="12"/>
                <w:szCs w:val="12"/>
                <w:color w:val="auto"/>
              </w:rPr>
            </w:pPr>
          </w:p>
        </w:tc>
        <w:tc>
          <w:tcPr>
            <w:tcW w:w="880" w:type="dxa"/>
            <w:vAlign w:val="bottom"/>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45,688</w:t>
            </w:r>
          </w:p>
        </w:tc>
        <w:tc>
          <w:tcPr>
            <w:tcW w:w="260" w:type="dxa"/>
            <w:vAlign w:val="bottom"/>
          </w:tcPr>
          <w:p>
            <w:pPr>
              <w:spacing w:after="0"/>
              <w:rPr>
                <w:sz w:val="12"/>
                <w:szCs w:val="12"/>
                <w:color w:val="auto"/>
              </w:rPr>
            </w:pPr>
          </w:p>
        </w:tc>
        <w:tc>
          <w:tcPr>
            <w:tcW w:w="880" w:type="dxa"/>
            <w:vAlign w:val="bottom"/>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3,323</w:t>
            </w:r>
          </w:p>
        </w:tc>
        <w:tc>
          <w:tcPr>
            <w:tcW w:w="280" w:type="dxa"/>
            <w:vAlign w:val="bottom"/>
          </w:tcPr>
          <w:p>
            <w:pPr>
              <w:spacing w:after="0"/>
              <w:rPr>
                <w:sz w:val="12"/>
                <w:szCs w:val="12"/>
                <w:color w:val="auto"/>
              </w:rPr>
            </w:pPr>
          </w:p>
        </w:tc>
        <w:tc>
          <w:tcPr>
            <w:tcW w:w="860" w:type="dxa"/>
            <w:vAlign w:val="bottom"/>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1,950</w:t>
            </w:r>
          </w:p>
        </w:tc>
        <w:tc>
          <w:tcPr>
            <w:tcW w:w="280" w:type="dxa"/>
            <w:vAlign w:val="bottom"/>
          </w:tcPr>
          <w:p>
            <w:pPr>
              <w:spacing w:after="0"/>
              <w:rPr>
                <w:sz w:val="12"/>
                <w:szCs w:val="12"/>
                <w:color w:val="auto"/>
              </w:rPr>
            </w:pPr>
          </w:p>
        </w:tc>
        <w:tc>
          <w:tcPr>
            <w:tcW w:w="880" w:type="dxa"/>
            <w:vAlign w:val="bottom"/>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895</w:t>
            </w:r>
          </w:p>
        </w:tc>
        <w:tc>
          <w:tcPr>
            <w:tcW w:w="200" w:type="dxa"/>
            <w:vAlign w:val="bottom"/>
          </w:tcPr>
          <w:p>
            <w:pPr>
              <w:spacing w:after="0"/>
              <w:rPr>
                <w:sz w:val="12"/>
                <w:szCs w:val="12"/>
                <w:color w:val="auto"/>
              </w:rPr>
            </w:pPr>
          </w:p>
        </w:tc>
        <w:tc>
          <w:tcPr>
            <w:tcW w:w="960" w:type="dxa"/>
            <w:vAlign w:val="bottom"/>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(73,918)</w:t>
            </w:r>
          </w:p>
        </w:tc>
        <w:tc>
          <w:tcPr>
            <w:tcW w:w="160" w:type="dxa"/>
            <w:vAlign w:val="bottom"/>
          </w:tcPr>
          <w:p>
            <w:pPr>
              <w:spacing w:after="0"/>
              <w:rPr>
                <w:sz w:val="12"/>
                <w:szCs w:val="12"/>
                <w:color w:val="auto"/>
              </w:rPr>
            </w:pPr>
          </w:p>
        </w:tc>
        <w:tc>
          <w:tcPr>
            <w:tcW w:w="940" w:type="dxa"/>
            <w:vAlign w:val="bottom"/>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w:t>
            </w:r>
          </w:p>
        </w:tc>
        <w:tc>
          <w:tcPr>
            <w:tcW w:w="240" w:type="dxa"/>
            <w:vAlign w:val="bottom"/>
          </w:tcPr>
          <w:p>
            <w:pPr>
              <w:spacing w:after="0"/>
              <w:rPr>
                <w:sz w:val="12"/>
                <w:szCs w:val="12"/>
                <w:color w:val="auto"/>
              </w:rPr>
            </w:pPr>
          </w:p>
        </w:tc>
        <w:tc>
          <w:tcPr>
            <w:tcW w:w="860" w:type="dxa"/>
            <w:vAlign w:val="bottom"/>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11,543</w:t>
            </w:r>
          </w:p>
        </w:tc>
        <w:tc>
          <w:tcPr>
            <w:tcW w:w="180" w:type="dxa"/>
            <w:vAlign w:val="bottom"/>
          </w:tcPr>
          <w:p>
            <w:pPr>
              <w:spacing w:after="0"/>
              <w:rPr>
                <w:sz w:val="12"/>
                <w:szCs w:val="12"/>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(10,519)</w:t>
            </w:r>
          </w:p>
        </w:tc>
      </w:tr>
      <w:tr>
        <w:trPr>
          <w:trHeight w:val="144"/>
        </w:trPr>
        <w:tc>
          <w:tcPr>
            <w:tcW w:w="2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Net loss</w:t>
            </w: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(7,288)</w:t>
            </w: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(4,026)</w:t>
            </w: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(11,314)</w:t>
            </w:r>
          </w:p>
        </w:tc>
      </w:tr>
      <w:tr>
        <w:trPr>
          <w:trHeight w:val="144"/>
        </w:trPr>
        <w:tc>
          <w:tcPr>
            <w:tcW w:w="238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Units issued to NCI</w:t>
            </w:r>
          </w:p>
        </w:tc>
        <w:tc>
          <w:tcPr>
            <w:tcW w:w="140" w:type="dxa"/>
            <w:vAlign w:val="bottom"/>
          </w:tcPr>
          <w:p>
            <w:pPr>
              <w:spacing w:after="0"/>
              <w:rPr>
                <w:sz w:val="12"/>
                <w:szCs w:val="12"/>
                <w:color w:val="auto"/>
              </w:rPr>
            </w:pPr>
          </w:p>
        </w:tc>
        <w:tc>
          <w:tcPr>
            <w:tcW w:w="88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2"/>
                <w:szCs w:val="12"/>
                <w:color w:val="auto"/>
              </w:rPr>
            </w:pPr>
          </w:p>
        </w:tc>
        <w:tc>
          <w:tcPr>
            <w:tcW w:w="88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2"/>
                <w:szCs w:val="12"/>
                <w:color w:val="auto"/>
              </w:rPr>
            </w:pPr>
          </w:p>
        </w:tc>
        <w:tc>
          <w:tcPr>
            <w:tcW w:w="8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2"/>
                <w:szCs w:val="12"/>
                <w:color w:val="auto"/>
              </w:rPr>
            </w:pPr>
          </w:p>
        </w:tc>
        <w:tc>
          <w:tcPr>
            <w:tcW w:w="88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9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94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2"/>
                <w:szCs w:val="12"/>
                <w:color w:val="auto"/>
              </w:rPr>
            </w:pPr>
          </w:p>
        </w:tc>
        <w:tc>
          <w:tcPr>
            <w:tcW w:w="8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7,348</w:t>
            </w:r>
          </w:p>
        </w:tc>
        <w:tc>
          <w:tcPr>
            <w:tcW w:w="18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7,348</w:t>
            </w:r>
          </w:p>
        </w:tc>
      </w:tr>
      <w:tr>
        <w:trPr>
          <w:trHeight w:val="133"/>
        </w:trPr>
        <w:tc>
          <w:tcPr>
            <w:tcW w:w="2380" w:type="dxa"/>
            <w:vAlign w:val="bottom"/>
            <w:shd w:val="clear" w:color="auto" w:fill="CCEEFF"/>
          </w:tcPr>
          <w:p>
            <w:pPr>
              <w:ind w:left="100"/>
              <w:spacing w:after="0" w:line="133" w:lineRule="exact"/>
              <w:rPr>
                <w:sz w:val="20"/>
                <w:szCs w:val="20"/>
                <w:color w:val="auto"/>
              </w:rPr>
            </w:pPr>
            <w:r>
              <w:rPr>
                <w:rFonts w:ascii="Times New Roman" w:cs="Times New Roman" w:eastAsia="Times New Roman" w:hAnsi="Times New Roman"/>
                <w:sz w:val="12"/>
                <w:szCs w:val="12"/>
                <w:color w:val="auto"/>
              </w:rPr>
              <w:t>Issuance of preferred units, net of issuance</w:t>
            </w: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55"/>
        </w:trPr>
        <w:tc>
          <w:tcPr>
            <w:tcW w:w="2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costs</w:t>
            </w: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2,852</w:t>
            </w: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2,852</w:t>
            </w:r>
          </w:p>
        </w:tc>
      </w:tr>
      <w:tr>
        <w:trPr>
          <w:trHeight w:val="144"/>
        </w:trPr>
        <w:tc>
          <w:tcPr>
            <w:tcW w:w="238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Unit-based compensation</w:t>
            </w:r>
          </w:p>
        </w:tc>
        <w:tc>
          <w:tcPr>
            <w:tcW w:w="140" w:type="dxa"/>
            <w:vAlign w:val="bottom"/>
          </w:tcPr>
          <w:p>
            <w:pPr>
              <w:spacing w:after="0"/>
              <w:rPr>
                <w:sz w:val="12"/>
                <w:szCs w:val="12"/>
                <w:color w:val="auto"/>
              </w:rPr>
            </w:pPr>
          </w:p>
        </w:tc>
        <w:tc>
          <w:tcPr>
            <w:tcW w:w="88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2"/>
                <w:szCs w:val="12"/>
                <w:color w:val="auto"/>
              </w:rPr>
            </w:pPr>
          </w:p>
        </w:tc>
        <w:tc>
          <w:tcPr>
            <w:tcW w:w="88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2"/>
                <w:szCs w:val="12"/>
                <w:color w:val="auto"/>
              </w:rPr>
            </w:pPr>
          </w:p>
        </w:tc>
        <w:tc>
          <w:tcPr>
            <w:tcW w:w="8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2"/>
                <w:szCs w:val="12"/>
                <w:color w:val="auto"/>
              </w:rPr>
            </w:pPr>
          </w:p>
        </w:tc>
        <w:tc>
          <w:tcPr>
            <w:tcW w:w="88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45</w:t>
            </w:r>
          </w:p>
        </w:tc>
        <w:tc>
          <w:tcPr>
            <w:tcW w:w="200" w:type="dxa"/>
            <w:vAlign w:val="bottom"/>
          </w:tcPr>
          <w:p>
            <w:pPr>
              <w:spacing w:after="0"/>
              <w:rPr>
                <w:sz w:val="12"/>
                <w:szCs w:val="12"/>
                <w:color w:val="auto"/>
              </w:rPr>
            </w:pPr>
          </w:p>
        </w:tc>
        <w:tc>
          <w:tcPr>
            <w:tcW w:w="9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94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2"/>
                <w:szCs w:val="12"/>
                <w:color w:val="auto"/>
              </w:rPr>
            </w:pPr>
          </w:p>
        </w:tc>
        <w:tc>
          <w:tcPr>
            <w:tcW w:w="8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248</w:t>
            </w:r>
          </w:p>
        </w:tc>
        <w:tc>
          <w:tcPr>
            <w:tcW w:w="18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293</w:t>
            </w:r>
          </w:p>
        </w:tc>
      </w:tr>
      <w:tr>
        <w:trPr>
          <w:trHeight w:val="133"/>
        </w:trPr>
        <w:tc>
          <w:tcPr>
            <w:tcW w:w="2380" w:type="dxa"/>
            <w:vAlign w:val="bottom"/>
            <w:shd w:val="clear" w:color="auto" w:fill="CCEEFF"/>
          </w:tcPr>
          <w:p>
            <w:pPr>
              <w:ind w:left="100"/>
              <w:spacing w:after="0" w:line="133" w:lineRule="exact"/>
              <w:rPr>
                <w:sz w:val="20"/>
                <w:szCs w:val="20"/>
                <w:color w:val="auto"/>
              </w:rPr>
            </w:pPr>
            <w:r>
              <w:rPr>
                <w:rFonts w:ascii="Times New Roman" w:cs="Times New Roman" w:eastAsia="Times New Roman" w:hAnsi="Times New Roman"/>
                <w:sz w:val="12"/>
                <w:szCs w:val="12"/>
                <w:color w:val="auto"/>
              </w:rPr>
              <w:t>Accretion of redeemable units to redemption</w:t>
            </w: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55"/>
        </w:trPr>
        <w:tc>
          <w:tcPr>
            <w:tcW w:w="2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value</w:t>
            </w: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(362)</w:t>
            </w:r>
          </w:p>
        </w:tc>
        <w:tc>
          <w:tcPr>
            <w:tcW w:w="16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(362)</w:t>
            </w:r>
          </w:p>
        </w:tc>
      </w:tr>
      <w:tr>
        <w:trPr>
          <w:trHeight w:val="20"/>
        </w:trPr>
        <w:tc>
          <w:tcPr>
            <w:tcW w:w="23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23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June 30, 2024</w:t>
            </w:r>
          </w:p>
        </w:tc>
        <w:tc>
          <w:tcPr>
            <w:tcW w:w="140" w:type="dxa"/>
            <w:vAlign w:val="bottom"/>
          </w:tcPr>
          <w:p>
            <w:pPr>
              <w:spacing w:after="0"/>
              <w:rPr>
                <w:sz w:val="12"/>
                <w:szCs w:val="12"/>
                <w:color w:val="auto"/>
              </w:rPr>
            </w:pPr>
          </w:p>
        </w:tc>
        <w:tc>
          <w:tcPr>
            <w:tcW w:w="880" w:type="dxa"/>
            <w:vAlign w:val="bottom"/>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48,540</w:t>
            </w:r>
          </w:p>
        </w:tc>
        <w:tc>
          <w:tcPr>
            <w:tcW w:w="260" w:type="dxa"/>
            <w:vAlign w:val="bottom"/>
          </w:tcPr>
          <w:p>
            <w:pPr>
              <w:spacing w:after="0"/>
              <w:rPr>
                <w:sz w:val="12"/>
                <w:szCs w:val="12"/>
                <w:color w:val="auto"/>
              </w:rPr>
            </w:pPr>
          </w:p>
        </w:tc>
        <w:tc>
          <w:tcPr>
            <w:tcW w:w="880" w:type="dxa"/>
            <w:vAlign w:val="bottom"/>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3,323</w:t>
            </w:r>
          </w:p>
        </w:tc>
        <w:tc>
          <w:tcPr>
            <w:tcW w:w="280" w:type="dxa"/>
            <w:vAlign w:val="bottom"/>
          </w:tcPr>
          <w:p>
            <w:pPr>
              <w:spacing w:after="0"/>
              <w:rPr>
                <w:sz w:val="12"/>
                <w:szCs w:val="12"/>
                <w:color w:val="auto"/>
              </w:rPr>
            </w:pPr>
          </w:p>
        </w:tc>
        <w:tc>
          <w:tcPr>
            <w:tcW w:w="860" w:type="dxa"/>
            <w:vAlign w:val="bottom"/>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1,950</w:t>
            </w:r>
          </w:p>
        </w:tc>
        <w:tc>
          <w:tcPr>
            <w:tcW w:w="280" w:type="dxa"/>
            <w:vAlign w:val="bottom"/>
          </w:tcPr>
          <w:p>
            <w:pPr>
              <w:spacing w:after="0"/>
              <w:rPr>
                <w:sz w:val="12"/>
                <w:szCs w:val="12"/>
                <w:color w:val="auto"/>
              </w:rPr>
            </w:pPr>
          </w:p>
        </w:tc>
        <w:tc>
          <w:tcPr>
            <w:tcW w:w="880" w:type="dxa"/>
            <w:vAlign w:val="bottom"/>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940</w:t>
            </w:r>
          </w:p>
        </w:tc>
        <w:tc>
          <w:tcPr>
            <w:tcW w:w="200" w:type="dxa"/>
            <w:vAlign w:val="bottom"/>
          </w:tcPr>
          <w:p>
            <w:pPr>
              <w:spacing w:after="0"/>
              <w:rPr>
                <w:sz w:val="12"/>
                <w:szCs w:val="12"/>
                <w:color w:val="auto"/>
              </w:rPr>
            </w:pPr>
          </w:p>
        </w:tc>
        <w:tc>
          <w:tcPr>
            <w:tcW w:w="960" w:type="dxa"/>
            <w:vAlign w:val="bottom"/>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(81,568)</w:t>
            </w:r>
          </w:p>
        </w:tc>
        <w:tc>
          <w:tcPr>
            <w:tcW w:w="160" w:type="dxa"/>
            <w:vAlign w:val="bottom"/>
          </w:tcPr>
          <w:p>
            <w:pPr>
              <w:spacing w:after="0"/>
              <w:rPr>
                <w:sz w:val="12"/>
                <w:szCs w:val="12"/>
                <w:color w:val="auto"/>
              </w:rPr>
            </w:pPr>
          </w:p>
        </w:tc>
        <w:tc>
          <w:tcPr>
            <w:tcW w:w="940" w:type="dxa"/>
            <w:vAlign w:val="bottom"/>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w:t>
            </w:r>
          </w:p>
        </w:tc>
        <w:tc>
          <w:tcPr>
            <w:tcW w:w="240" w:type="dxa"/>
            <w:vAlign w:val="bottom"/>
          </w:tcPr>
          <w:p>
            <w:pPr>
              <w:spacing w:after="0"/>
              <w:rPr>
                <w:sz w:val="12"/>
                <w:szCs w:val="12"/>
                <w:color w:val="auto"/>
              </w:rPr>
            </w:pPr>
          </w:p>
        </w:tc>
        <w:tc>
          <w:tcPr>
            <w:tcW w:w="860" w:type="dxa"/>
            <w:vAlign w:val="bottom"/>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15,113</w:t>
            </w:r>
          </w:p>
        </w:tc>
        <w:tc>
          <w:tcPr>
            <w:tcW w:w="180" w:type="dxa"/>
            <w:vAlign w:val="bottom"/>
          </w:tcPr>
          <w:p>
            <w:pPr>
              <w:spacing w:after="0"/>
              <w:rPr>
                <w:sz w:val="12"/>
                <w:szCs w:val="12"/>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(11,702)</w:t>
            </w:r>
          </w:p>
        </w:tc>
      </w:tr>
      <w:tr>
        <w:trPr>
          <w:trHeight w:val="144"/>
        </w:trPr>
        <w:tc>
          <w:tcPr>
            <w:tcW w:w="2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Net loss</w:t>
            </w: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(2,211)</w:t>
            </w: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(5,430)</w:t>
            </w: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(7,641)</w:t>
            </w:r>
          </w:p>
        </w:tc>
      </w:tr>
      <w:tr>
        <w:trPr>
          <w:trHeight w:val="144"/>
        </w:trPr>
        <w:tc>
          <w:tcPr>
            <w:tcW w:w="238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Other comprehensive loss, net of taxes</w:t>
            </w:r>
          </w:p>
        </w:tc>
        <w:tc>
          <w:tcPr>
            <w:tcW w:w="140" w:type="dxa"/>
            <w:vAlign w:val="bottom"/>
          </w:tcPr>
          <w:p>
            <w:pPr>
              <w:spacing w:after="0"/>
              <w:rPr>
                <w:sz w:val="12"/>
                <w:szCs w:val="12"/>
                <w:color w:val="auto"/>
              </w:rPr>
            </w:pPr>
          </w:p>
        </w:tc>
        <w:tc>
          <w:tcPr>
            <w:tcW w:w="88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2"/>
                <w:szCs w:val="12"/>
                <w:color w:val="auto"/>
              </w:rPr>
            </w:pPr>
          </w:p>
        </w:tc>
        <w:tc>
          <w:tcPr>
            <w:tcW w:w="88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2"/>
                <w:szCs w:val="12"/>
                <w:color w:val="auto"/>
              </w:rPr>
            </w:pPr>
          </w:p>
        </w:tc>
        <w:tc>
          <w:tcPr>
            <w:tcW w:w="8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2"/>
                <w:szCs w:val="12"/>
                <w:color w:val="auto"/>
              </w:rPr>
            </w:pPr>
          </w:p>
        </w:tc>
        <w:tc>
          <w:tcPr>
            <w:tcW w:w="88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9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(2,373)</w:t>
            </w:r>
          </w:p>
        </w:tc>
        <w:tc>
          <w:tcPr>
            <w:tcW w:w="240" w:type="dxa"/>
            <w:vAlign w:val="bottom"/>
          </w:tcPr>
          <w:p>
            <w:pPr>
              <w:spacing w:after="0"/>
              <w:rPr>
                <w:sz w:val="12"/>
                <w:szCs w:val="12"/>
                <w:color w:val="auto"/>
              </w:rPr>
            </w:pPr>
          </w:p>
        </w:tc>
        <w:tc>
          <w:tcPr>
            <w:tcW w:w="8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(2,373)</w:t>
            </w:r>
          </w:p>
        </w:tc>
      </w:tr>
      <w:tr>
        <w:trPr>
          <w:trHeight w:val="144"/>
        </w:trPr>
        <w:tc>
          <w:tcPr>
            <w:tcW w:w="2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Units issued to NCI</w:t>
            </w: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3,071</w:t>
            </w: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3,071</w:t>
            </w:r>
          </w:p>
        </w:tc>
      </w:tr>
      <w:tr>
        <w:trPr>
          <w:trHeight w:val="133"/>
        </w:trPr>
        <w:tc>
          <w:tcPr>
            <w:tcW w:w="2380" w:type="dxa"/>
            <w:vAlign w:val="bottom"/>
          </w:tcPr>
          <w:p>
            <w:pPr>
              <w:ind w:left="100"/>
              <w:spacing w:after="0" w:line="133" w:lineRule="exact"/>
              <w:rPr>
                <w:sz w:val="20"/>
                <w:szCs w:val="20"/>
                <w:color w:val="auto"/>
              </w:rPr>
            </w:pPr>
            <w:r>
              <w:rPr>
                <w:rFonts w:ascii="Times New Roman" w:cs="Times New Roman" w:eastAsia="Times New Roman" w:hAnsi="Times New Roman"/>
                <w:sz w:val="12"/>
                <w:szCs w:val="12"/>
                <w:color w:val="auto"/>
              </w:rPr>
              <w:t>Issuance of preferred units, net of issuance</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5"/>
        </w:trPr>
        <w:tc>
          <w:tcPr>
            <w:tcW w:w="23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costs</w:t>
            </w:r>
          </w:p>
        </w:tc>
        <w:tc>
          <w:tcPr>
            <w:tcW w:w="140" w:type="dxa"/>
            <w:vAlign w:val="bottom"/>
          </w:tcPr>
          <w:p>
            <w:pPr>
              <w:spacing w:after="0"/>
              <w:rPr>
                <w:sz w:val="13"/>
                <w:szCs w:val="13"/>
                <w:color w:val="auto"/>
              </w:rPr>
            </w:pPr>
          </w:p>
        </w:tc>
        <w:tc>
          <w:tcPr>
            <w:tcW w:w="88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3,143</w:t>
            </w:r>
          </w:p>
        </w:tc>
        <w:tc>
          <w:tcPr>
            <w:tcW w:w="260" w:type="dxa"/>
            <w:vAlign w:val="bottom"/>
          </w:tcPr>
          <w:p>
            <w:pPr>
              <w:spacing w:after="0"/>
              <w:rPr>
                <w:sz w:val="13"/>
                <w:szCs w:val="13"/>
                <w:color w:val="auto"/>
              </w:rPr>
            </w:pPr>
          </w:p>
        </w:tc>
        <w:tc>
          <w:tcPr>
            <w:tcW w:w="88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3"/>
                <w:szCs w:val="13"/>
                <w:color w:val="auto"/>
              </w:rPr>
            </w:pPr>
          </w:p>
        </w:tc>
        <w:tc>
          <w:tcPr>
            <w:tcW w:w="8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3"/>
                <w:szCs w:val="13"/>
                <w:color w:val="auto"/>
              </w:rPr>
            </w:pPr>
          </w:p>
        </w:tc>
        <w:tc>
          <w:tcPr>
            <w:tcW w:w="88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9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94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8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3,143</w:t>
            </w:r>
          </w:p>
        </w:tc>
      </w:tr>
      <w:tr>
        <w:trPr>
          <w:trHeight w:val="144"/>
        </w:trPr>
        <w:tc>
          <w:tcPr>
            <w:tcW w:w="2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Unit-based compensation</w:t>
            </w: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41</w:t>
            </w: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326</w:t>
            </w: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367</w:t>
            </w:r>
          </w:p>
        </w:tc>
      </w:tr>
      <w:tr>
        <w:trPr>
          <w:trHeight w:val="133"/>
        </w:trPr>
        <w:tc>
          <w:tcPr>
            <w:tcW w:w="2380" w:type="dxa"/>
            <w:vAlign w:val="bottom"/>
          </w:tcPr>
          <w:p>
            <w:pPr>
              <w:ind w:left="100"/>
              <w:spacing w:after="0" w:line="133" w:lineRule="exact"/>
              <w:rPr>
                <w:sz w:val="20"/>
                <w:szCs w:val="20"/>
                <w:color w:val="auto"/>
              </w:rPr>
            </w:pPr>
            <w:r>
              <w:rPr>
                <w:rFonts w:ascii="Times New Roman" w:cs="Times New Roman" w:eastAsia="Times New Roman" w:hAnsi="Times New Roman"/>
                <w:sz w:val="12"/>
                <w:szCs w:val="12"/>
                <w:color w:val="auto"/>
              </w:rPr>
              <w:t>Accretion of redeemable units to redemption</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5"/>
        </w:trPr>
        <w:tc>
          <w:tcPr>
            <w:tcW w:w="23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value</w:t>
            </w:r>
          </w:p>
        </w:tc>
        <w:tc>
          <w:tcPr>
            <w:tcW w:w="140" w:type="dxa"/>
            <w:vAlign w:val="bottom"/>
          </w:tcPr>
          <w:p>
            <w:pPr>
              <w:spacing w:after="0"/>
              <w:rPr>
                <w:sz w:val="13"/>
                <w:szCs w:val="13"/>
                <w:color w:val="auto"/>
              </w:rPr>
            </w:pPr>
          </w:p>
        </w:tc>
        <w:tc>
          <w:tcPr>
            <w:tcW w:w="88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3"/>
                <w:szCs w:val="13"/>
                <w:color w:val="auto"/>
              </w:rPr>
            </w:pPr>
          </w:p>
        </w:tc>
        <w:tc>
          <w:tcPr>
            <w:tcW w:w="88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3"/>
                <w:szCs w:val="13"/>
                <w:color w:val="auto"/>
              </w:rPr>
            </w:pPr>
          </w:p>
        </w:tc>
        <w:tc>
          <w:tcPr>
            <w:tcW w:w="8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3"/>
                <w:szCs w:val="13"/>
                <w:color w:val="auto"/>
              </w:rPr>
            </w:pPr>
          </w:p>
        </w:tc>
        <w:tc>
          <w:tcPr>
            <w:tcW w:w="88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9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(7,173)</w:t>
            </w:r>
          </w:p>
        </w:tc>
        <w:tc>
          <w:tcPr>
            <w:tcW w:w="160" w:type="dxa"/>
            <w:vAlign w:val="bottom"/>
          </w:tcPr>
          <w:p>
            <w:pPr>
              <w:spacing w:after="0"/>
              <w:rPr>
                <w:sz w:val="13"/>
                <w:szCs w:val="13"/>
                <w:color w:val="auto"/>
              </w:rPr>
            </w:pPr>
          </w:p>
        </w:tc>
        <w:tc>
          <w:tcPr>
            <w:tcW w:w="94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8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(7,173)</w:t>
            </w:r>
          </w:p>
        </w:tc>
      </w:tr>
      <w:tr>
        <w:trPr>
          <w:trHeight w:val="142"/>
        </w:trPr>
        <w:tc>
          <w:tcPr>
            <w:tcW w:w="2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September 30, 2024</w:t>
            </w:r>
          </w:p>
        </w:tc>
        <w:tc>
          <w:tcPr>
            <w:tcW w:w="14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8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51,683</w:t>
            </w:r>
          </w:p>
        </w:tc>
        <w:tc>
          <w:tcPr>
            <w:tcW w:w="26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w:t>
            </w:r>
          </w:p>
        </w:tc>
        <w:tc>
          <w:tcPr>
            <w:tcW w:w="88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3,323</w:t>
            </w:r>
          </w:p>
        </w:tc>
        <w:tc>
          <w:tcPr>
            <w:tcW w:w="28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w:t>
            </w:r>
          </w:p>
        </w:tc>
        <w:tc>
          <w:tcPr>
            <w:tcW w:w="86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1,950</w:t>
            </w:r>
          </w:p>
        </w:tc>
        <w:tc>
          <w:tcPr>
            <w:tcW w:w="28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w:t>
            </w:r>
          </w:p>
        </w:tc>
        <w:tc>
          <w:tcPr>
            <w:tcW w:w="88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981</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96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(90,952)</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94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(2,373)</w:t>
            </w:r>
          </w:p>
        </w:tc>
        <w:tc>
          <w:tcPr>
            <w:tcW w:w="24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w:t>
            </w:r>
          </w:p>
        </w:tc>
        <w:tc>
          <w:tcPr>
            <w:tcW w:w="86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13,080</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(22,308)</w:t>
            </w:r>
          </w:p>
        </w:tc>
        <w:tc>
          <w:tcPr>
            <w:tcW w:w="120" w:type="dxa"/>
            <w:vAlign w:val="bottom"/>
            <w:tcBorders>
              <w:bottom w:val="single" w:sz="8" w:color="CCEEFF"/>
            </w:tcBorders>
            <w:shd w:val="clear" w:color="auto" w:fill="CCEEFF"/>
          </w:tcPr>
          <w:p>
            <w:pPr>
              <w:spacing w:after="0"/>
              <w:rPr>
                <w:sz w:val="12"/>
                <w:szCs w:val="12"/>
                <w:color w:val="auto"/>
              </w:rPr>
            </w:pPr>
          </w:p>
        </w:tc>
      </w:tr>
      <w:tr>
        <w:trPr>
          <w:trHeight w:val="259"/>
        </w:trPr>
        <w:tc>
          <w:tcPr>
            <w:tcW w:w="238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r>
    </w:tbl>
    <w:p>
      <w:pPr>
        <w:sectPr>
          <w:pgSz w:w="11900" w:h="16838" w:orient="portrait"/>
          <w:cols w:equalWidth="0" w:num="1">
            <w:col w:w="11300"/>
          </w:cols>
          <w:pgMar w:left="300" w:top="125" w:right="299" w:bottom="1440" w:gutter="0" w:footer="0" w:header="0"/>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Innventure LLC and Subsidiaries</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Condensed Consolidated Statements of Changes in Unitholders' Deficit (continued)</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(in thousands) (Unaudited)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9"/>
              </w:rPr>
              <w:t>Accumulated</w:t>
            </w: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2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7"/>
              </w:rPr>
              <w:t>Other</w:t>
            </w: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4"/>
              </w:rPr>
              <w:t>Total</w:t>
            </w:r>
          </w:p>
        </w:tc>
      </w:tr>
      <w:tr>
        <w:trPr>
          <w:trHeight w:val="144"/>
        </w:trPr>
        <w:tc>
          <w:tcPr>
            <w:tcW w:w="2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Class B</w:t>
            </w:r>
          </w:p>
        </w:tc>
        <w:tc>
          <w:tcPr>
            <w:tcW w:w="260" w:type="dxa"/>
            <w:vAlign w:val="bottom"/>
          </w:tcPr>
          <w:p>
            <w:pPr>
              <w:spacing w:after="0"/>
              <w:rPr>
                <w:sz w:val="12"/>
                <w:szCs w:val="12"/>
                <w:color w:val="auto"/>
              </w:rPr>
            </w:pPr>
          </w:p>
        </w:tc>
        <w:tc>
          <w:tcPr>
            <w:tcW w:w="880" w:type="dxa"/>
            <w:vAlign w:val="bottom"/>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Class B-1</w:t>
            </w: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w w:val="99"/>
              </w:rPr>
              <w:t>Accumulated</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Comprehensive</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Non-Controlling</w:t>
            </w:r>
          </w:p>
        </w:tc>
        <w:tc>
          <w:tcPr>
            <w:tcW w:w="180" w:type="dxa"/>
            <w:vAlign w:val="bottom"/>
          </w:tcPr>
          <w:p>
            <w:pPr>
              <w:spacing w:after="0"/>
              <w:rPr>
                <w:sz w:val="12"/>
                <w:szCs w:val="12"/>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Unitholders'</w:t>
            </w:r>
          </w:p>
        </w:tc>
      </w:tr>
      <w:tr>
        <w:trPr>
          <w:trHeight w:val="159"/>
        </w:trPr>
        <w:tc>
          <w:tcPr>
            <w:tcW w:w="2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Preferred</w:t>
            </w:r>
          </w:p>
        </w:tc>
        <w:tc>
          <w:tcPr>
            <w:tcW w:w="260" w:type="dxa"/>
            <w:vAlign w:val="bottom"/>
          </w:tcPr>
          <w:p>
            <w:pPr>
              <w:spacing w:after="0"/>
              <w:rPr>
                <w:sz w:val="13"/>
                <w:szCs w:val="13"/>
                <w:color w:val="auto"/>
              </w:rPr>
            </w:pPr>
          </w:p>
        </w:tc>
        <w:tc>
          <w:tcPr>
            <w:tcW w:w="880" w:type="dxa"/>
            <w:vAlign w:val="bottom"/>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Preferred</w:t>
            </w:r>
          </w:p>
        </w:tc>
        <w:tc>
          <w:tcPr>
            <w:tcW w:w="280" w:type="dxa"/>
            <w:vAlign w:val="bottom"/>
          </w:tcPr>
          <w:p>
            <w:pPr>
              <w:spacing w:after="0"/>
              <w:rPr>
                <w:sz w:val="13"/>
                <w:szCs w:val="13"/>
                <w:color w:val="auto"/>
              </w:rPr>
            </w:pPr>
          </w:p>
        </w:tc>
        <w:tc>
          <w:tcPr>
            <w:tcW w:w="860" w:type="dxa"/>
            <w:vAlign w:val="bottom"/>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rPr>
              <w:t>Class A</w:t>
            </w:r>
          </w:p>
        </w:tc>
        <w:tc>
          <w:tcPr>
            <w:tcW w:w="280" w:type="dxa"/>
            <w:vAlign w:val="bottom"/>
          </w:tcPr>
          <w:p>
            <w:pPr>
              <w:spacing w:after="0"/>
              <w:rPr>
                <w:sz w:val="13"/>
                <w:szCs w:val="13"/>
                <w:color w:val="auto"/>
              </w:rPr>
            </w:pPr>
          </w:p>
        </w:tc>
        <w:tc>
          <w:tcPr>
            <w:tcW w:w="880" w:type="dxa"/>
            <w:vAlign w:val="bottom"/>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Class C</w:t>
            </w:r>
          </w:p>
        </w:tc>
        <w:tc>
          <w:tcPr>
            <w:tcW w:w="200" w:type="dxa"/>
            <w:vAlign w:val="bottom"/>
          </w:tcPr>
          <w:p>
            <w:pPr>
              <w:spacing w:after="0"/>
              <w:rPr>
                <w:sz w:val="13"/>
                <w:szCs w:val="13"/>
                <w:color w:val="auto"/>
              </w:rPr>
            </w:pPr>
          </w:p>
        </w:tc>
        <w:tc>
          <w:tcPr>
            <w:tcW w:w="960" w:type="dxa"/>
            <w:vAlign w:val="bottom"/>
          </w:tcPr>
          <w:p>
            <w:pPr>
              <w:jc w:val="right"/>
              <w:ind w:right="360"/>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160" w:type="dxa"/>
            <w:vAlign w:val="bottom"/>
          </w:tcPr>
          <w:p>
            <w:pPr>
              <w:spacing w:after="0"/>
              <w:rPr>
                <w:sz w:val="13"/>
                <w:szCs w:val="13"/>
                <w:color w:val="auto"/>
              </w:rPr>
            </w:pPr>
          </w:p>
        </w:tc>
        <w:tc>
          <w:tcPr>
            <w:tcW w:w="920" w:type="dxa"/>
            <w:vAlign w:val="bottom"/>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4"/>
              </w:rPr>
              <w:t>Loss</w:t>
            </w:r>
          </w:p>
        </w:tc>
        <w:tc>
          <w:tcPr>
            <w:tcW w:w="260" w:type="dxa"/>
            <w:vAlign w:val="bottom"/>
          </w:tcPr>
          <w:p>
            <w:pPr>
              <w:spacing w:after="0"/>
              <w:rPr>
                <w:sz w:val="13"/>
                <w:szCs w:val="13"/>
                <w:color w:val="auto"/>
              </w:rPr>
            </w:pPr>
          </w:p>
        </w:tc>
        <w:tc>
          <w:tcPr>
            <w:tcW w:w="860" w:type="dxa"/>
            <w:vAlign w:val="bottom"/>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rPr>
              <w:t>Interest</w:t>
            </w:r>
          </w:p>
        </w:tc>
        <w:tc>
          <w:tcPr>
            <w:tcW w:w="180" w:type="dxa"/>
            <w:vAlign w:val="bottom"/>
          </w:tcPr>
          <w:p>
            <w:pPr>
              <w:spacing w:after="0"/>
              <w:rPr>
                <w:sz w:val="13"/>
                <w:szCs w:val="13"/>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9"/>
              </w:rPr>
              <w:t>Deficit</w:t>
            </w:r>
          </w:p>
        </w:tc>
      </w:tr>
      <w:tr>
        <w:trPr>
          <w:trHeight w:val="142"/>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December 31, 2022</w:t>
            </w:r>
          </w:p>
        </w:tc>
        <w:tc>
          <w:tcPr>
            <w:tcW w:w="140" w:type="dxa"/>
            <w:vAlign w:val="bottom"/>
            <w:tcBorders>
              <w:top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80" w:type="dxa"/>
            <w:vAlign w:val="bottom"/>
            <w:tcBorders>
              <w:top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20,803</w:t>
            </w:r>
          </w:p>
        </w:tc>
        <w:tc>
          <w:tcPr>
            <w:tcW w:w="26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w:t>
            </w:r>
          </w:p>
        </w:tc>
        <w:tc>
          <w:tcPr>
            <w:tcW w:w="880" w:type="dxa"/>
            <w:vAlign w:val="bottom"/>
            <w:tcBorders>
              <w:top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3,323</w:t>
            </w:r>
          </w:p>
        </w:tc>
        <w:tc>
          <w:tcPr>
            <w:tcW w:w="280" w:type="dxa"/>
            <w:vAlign w:val="bottom"/>
            <w:tcBorders>
              <w:top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w:t>
            </w:r>
          </w:p>
        </w:tc>
        <w:tc>
          <w:tcPr>
            <w:tcW w:w="860" w:type="dxa"/>
            <w:vAlign w:val="bottom"/>
            <w:tcBorders>
              <w:top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1,950</w:t>
            </w:r>
          </w:p>
        </w:tc>
        <w:tc>
          <w:tcPr>
            <w:tcW w:w="280" w:type="dxa"/>
            <w:vAlign w:val="bottom"/>
            <w:tcBorders>
              <w:top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w:t>
            </w:r>
          </w:p>
        </w:tc>
        <w:tc>
          <w:tcPr>
            <w:tcW w:w="880" w:type="dxa"/>
            <w:vAlign w:val="bottom"/>
            <w:tcBorders>
              <w:top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639</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960" w:type="dxa"/>
            <w:vAlign w:val="bottom"/>
            <w:tcBorders>
              <w:top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(38,564)</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92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2"/>
                <w:szCs w:val="12"/>
                <w:b w:val="1"/>
                <w:bCs w:val="1"/>
                <w:color w:val="auto"/>
              </w:rPr>
              <w:t>—</w:t>
            </w:r>
          </w:p>
        </w:tc>
        <w:tc>
          <w:tcPr>
            <w:tcW w:w="26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w:t>
            </w:r>
          </w:p>
        </w:tc>
        <w:tc>
          <w:tcPr>
            <w:tcW w:w="860" w:type="dxa"/>
            <w:vAlign w:val="bottom"/>
            <w:tcBorders>
              <w:top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656</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(11,193)</w:t>
            </w:r>
          </w:p>
        </w:tc>
        <w:tc>
          <w:tcPr>
            <w:tcW w:w="120" w:type="dxa"/>
            <w:vAlign w:val="bottom"/>
            <w:shd w:val="clear" w:color="auto" w:fill="CCEEFF"/>
          </w:tcPr>
          <w:p>
            <w:pPr>
              <w:spacing w:after="0"/>
              <w:rPr>
                <w:sz w:val="12"/>
                <w:szCs w:val="12"/>
                <w:color w:val="auto"/>
              </w:rPr>
            </w:pPr>
          </w:p>
        </w:tc>
      </w:tr>
      <w:tr>
        <w:trPr>
          <w:trHeight w:val="144"/>
        </w:trPr>
        <w:tc>
          <w:tcPr>
            <w:tcW w:w="238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Net loss</w:t>
            </w:r>
          </w:p>
        </w:tc>
        <w:tc>
          <w:tcPr>
            <w:tcW w:w="140" w:type="dxa"/>
            <w:vAlign w:val="bottom"/>
          </w:tcPr>
          <w:p>
            <w:pPr>
              <w:spacing w:after="0"/>
              <w:rPr>
                <w:sz w:val="12"/>
                <w:szCs w:val="12"/>
                <w:color w:val="auto"/>
              </w:rPr>
            </w:pPr>
          </w:p>
        </w:tc>
        <w:tc>
          <w:tcPr>
            <w:tcW w:w="88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2"/>
                <w:szCs w:val="12"/>
                <w:color w:val="auto"/>
              </w:rPr>
            </w:pPr>
          </w:p>
        </w:tc>
        <w:tc>
          <w:tcPr>
            <w:tcW w:w="88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2"/>
                <w:szCs w:val="12"/>
                <w:color w:val="auto"/>
              </w:rPr>
            </w:pPr>
          </w:p>
        </w:tc>
        <w:tc>
          <w:tcPr>
            <w:tcW w:w="8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2"/>
                <w:szCs w:val="12"/>
                <w:color w:val="auto"/>
              </w:rPr>
            </w:pPr>
          </w:p>
        </w:tc>
        <w:tc>
          <w:tcPr>
            <w:tcW w:w="88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9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(3,573)</w:t>
            </w:r>
          </w:p>
        </w:tc>
        <w:tc>
          <w:tcPr>
            <w:tcW w:w="160" w:type="dxa"/>
            <w:vAlign w:val="bottom"/>
          </w:tcPr>
          <w:p>
            <w:pPr>
              <w:spacing w:after="0"/>
              <w:rPr>
                <w:sz w:val="12"/>
                <w:szCs w:val="12"/>
                <w:color w:val="auto"/>
              </w:rPr>
            </w:pPr>
          </w:p>
        </w:tc>
        <w:tc>
          <w:tcPr>
            <w:tcW w:w="920" w:type="dxa"/>
            <w:vAlign w:val="bottom"/>
          </w:tcPr>
          <w:p>
            <w:pPr>
              <w:ind w:left="70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2"/>
                <w:szCs w:val="12"/>
                <w:color w:val="auto"/>
              </w:rPr>
            </w:pP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(23)</w:t>
            </w:r>
          </w:p>
        </w:tc>
        <w:tc>
          <w:tcPr>
            <w:tcW w:w="180" w:type="dxa"/>
            <w:vAlign w:val="bottom"/>
          </w:tcPr>
          <w:p>
            <w:pPr>
              <w:spacing w:after="0"/>
              <w:rPr>
                <w:sz w:val="12"/>
                <w:szCs w:val="12"/>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(3,596)</w:t>
            </w:r>
          </w:p>
        </w:tc>
      </w:tr>
      <w:tr>
        <w:trPr>
          <w:trHeight w:val="144"/>
        </w:trPr>
        <w:tc>
          <w:tcPr>
            <w:tcW w:w="2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Units issued to NCI</w:t>
            </w: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104</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104</w:t>
            </w:r>
          </w:p>
        </w:tc>
        <w:tc>
          <w:tcPr>
            <w:tcW w:w="120" w:type="dxa"/>
            <w:vAlign w:val="bottom"/>
            <w:shd w:val="clear" w:color="auto" w:fill="CCEEFF"/>
          </w:tcPr>
          <w:p>
            <w:pPr>
              <w:spacing w:after="0"/>
              <w:rPr>
                <w:sz w:val="12"/>
                <w:szCs w:val="12"/>
                <w:color w:val="auto"/>
              </w:rPr>
            </w:pPr>
          </w:p>
        </w:tc>
      </w:tr>
      <w:tr>
        <w:trPr>
          <w:trHeight w:val="133"/>
        </w:trPr>
        <w:tc>
          <w:tcPr>
            <w:tcW w:w="2380" w:type="dxa"/>
            <w:vAlign w:val="bottom"/>
          </w:tcPr>
          <w:p>
            <w:pPr>
              <w:ind w:left="100"/>
              <w:spacing w:after="0" w:line="133" w:lineRule="exact"/>
              <w:rPr>
                <w:sz w:val="20"/>
                <w:szCs w:val="20"/>
                <w:color w:val="auto"/>
              </w:rPr>
            </w:pPr>
            <w:r>
              <w:rPr>
                <w:rFonts w:ascii="Times New Roman" w:cs="Times New Roman" w:eastAsia="Times New Roman" w:hAnsi="Times New Roman"/>
                <w:sz w:val="12"/>
                <w:szCs w:val="12"/>
                <w:color w:val="auto"/>
              </w:rPr>
              <w:t>Issuance of preferred units, net of issuance</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5"/>
        </w:trPr>
        <w:tc>
          <w:tcPr>
            <w:tcW w:w="23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costs</w:t>
            </w:r>
          </w:p>
        </w:tc>
        <w:tc>
          <w:tcPr>
            <w:tcW w:w="140" w:type="dxa"/>
            <w:vAlign w:val="bottom"/>
          </w:tcPr>
          <w:p>
            <w:pPr>
              <w:spacing w:after="0"/>
              <w:rPr>
                <w:sz w:val="13"/>
                <w:szCs w:val="13"/>
                <w:color w:val="auto"/>
              </w:rPr>
            </w:pPr>
          </w:p>
        </w:tc>
        <w:tc>
          <w:tcPr>
            <w:tcW w:w="88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712</w:t>
            </w:r>
          </w:p>
        </w:tc>
        <w:tc>
          <w:tcPr>
            <w:tcW w:w="260" w:type="dxa"/>
            <w:vAlign w:val="bottom"/>
          </w:tcPr>
          <w:p>
            <w:pPr>
              <w:spacing w:after="0"/>
              <w:rPr>
                <w:sz w:val="13"/>
                <w:szCs w:val="13"/>
                <w:color w:val="auto"/>
              </w:rPr>
            </w:pPr>
          </w:p>
        </w:tc>
        <w:tc>
          <w:tcPr>
            <w:tcW w:w="88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3"/>
                <w:szCs w:val="13"/>
                <w:color w:val="auto"/>
              </w:rPr>
            </w:pPr>
          </w:p>
        </w:tc>
        <w:tc>
          <w:tcPr>
            <w:tcW w:w="8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3"/>
                <w:szCs w:val="13"/>
                <w:color w:val="auto"/>
              </w:rPr>
            </w:pPr>
          </w:p>
        </w:tc>
        <w:tc>
          <w:tcPr>
            <w:tcW w:w="88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9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920" w:type="dxa"/>
            <w:vAlign w:val="bottom"/>
          </w:tcPr>
          <w:p>
            <w:pPr>
              <w:ind w:left="70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3"/>
                <w:szCs w:val="13"/>
                <w:color w:val="auto"/>
              </w:rPr>
            </w:pPr>
          </w:p>
        </w:tc>
        <w:tc>
          <w:tcPr>
            <w:tcW w:w="8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712</w:t>
            </w:r>
          </w:p>
        </w:tc>
        <w:tc>
          <w:tcPr>
            <w:tcW w:w="120" w:type="dxa"/>
            <w:vAlign w:val="bottom"/>
          </w:tcPr>
          <w:p>
            <w:pPr>
              <w:spacing w:after="0"/>
              <w:rPr>
                <w:sz w:val="13"/>
                <w:szCs w:val="13"/>
                <w:color w:val="auto"/>
              </w:rPr>
            </w:pPr>
          </w:p>
        </w:tc>
      </w:tr>
      <w:tr>
        <w:trPr>
          <w:trHeight w:val="144"/>
        </w:trPr>
        <w:tc>
          <w:tcPr>
            <w:tcW w:w="2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Unit-based compensation</w:t>
            </w: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50</w:t>
            </w: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103</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153</w:t>
            </w:r>
          </w:p>
        </w:tc>
        <w:tc>
          <w:tcPr>
            <w:tcW w:w="120" w:type="dxa"/>
            <w:vAlign w:val="bottom"/>
            <w:shd w:val="clear" w:color="auto" w:fill="CCEEFF"/>
          </w:tcPr>
          <w:p>
            <w:pPr>
              <w:spacing w:after="0"/>
              <w:rPr>
                <w:sz w:val="12"/>
                <w:szCs w:val="12"/>
                <w:color w:val="auto"/>
              </w:rPr>
            </w:pPr>
          </w:p>
        </w:tc>
      </w:tr>
      <w:tr>
        <w:trPr>
          <w:trHeight w:val="133"/>
        </w:trPr>
        <w:tc>
          <w:tcPr>
            <w:tcW w:w="2380" w:type="dxa"/>
            <w:vAlign w:val="bottom"/>
          </w:tcPr>
          <w:p>
            <w:pPr>
              <w:ind w:left="100"/>
              <w:spacing w:after="0" w:line="133" w:lineRule="exact"/>
              <w:rPr>
                <w:sz w:val="20"/>
                <w:szCs w:val="20"/>
                <w:color w:val="auto"/>
              </w:rPr>
            </w:pPr>
            <w:r>
              <w:rPr>
                <w:rFonts w:ascii="Times New Roman" w:cs="Times New Roman" w:eastAsia="Times New Roman" w:hAnsi="Times New Roman"/>
                <w:sz w:val="12"/>
                <w:szCs w:val="12"/>
                <w:color w:val="auto"/>
              </w:rPr>
              <w:t>Accretion of redeemable units to redemption</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5"/>
        </w:trPr>
        <w:tc>
          <w:tcPr>
            <w:tcW w:w="23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value</w:t>
            </w:r>
          </w:p>
        </w:tc>
        <w:tc>
          <w:tcPr>
            <w:tcW w:w="140" w:type="dxa"/>
            <w:vAlign w:val="bottom"/>
          </w:tcPr>
          <w:p>
            <w:pPr>
              <w:spacing w:after="0"/>
              <w:rPr>
                <w:sz w:val="13"/>
                <w:szCs w:val="13"/>
                <w:color w:val="auto"/>
              </w:rPr>
            </w:pPr>
          </w:p>
        </w:tc>
        <w:tc>
          <w:tcPr>
            <w:tcW w:w="88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3"/>
                <w:szCs w:val="13"/>
                <w:color w:val="auto"/>
              </w:rPr>
            </w:pPr>
          </w:p>
        </w:tc>
        <w:tc>
          <w:tcPr>
            <w:tcW w:w="88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3"/>
                <w:szCs w:val="13"/>
                <w:color w:val="auto"/>
              </w:rPr>
            </w:pPr>
          </w:p>
        </w:tc>
        <w:tc>
          <w:tcPr>
            <w:tcW w:w="8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3"/>
                <w:szCs w:val="13"/>
                <w:color w:val="auto"/>
              </w:rPr>
            </w:pPr>
          </w:p>
        </w:tc>
        <w:tc>
          <w:tcPr>
            <w:tcW w:w="88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9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(458)</w:t>
            </w:r>
          </w:p>
        </w:tc>
        <w:tc>
          <w:tcPr>
            <w:tcW w:w="160" w:type="dxa"/>
            <w:vAlign w:val="bottom"/>
          </w:tcPr>
          <w:p>
            <w:pPr>
              <w:spacing w:after="0"/>
              <w:rPr>
                <w:sz w:val="13"/>
                <w:szCs w:val="13"/>
                <w:color w:val="auto"/>
              </w:rPr>
            </w:pPr>
          </w:p>
        </w:tc>
        <w:tc>
          <w:tcPr>
            <w:tcW w:w="920" w:type="dxa"/>
            <w:vAlign w:val="bottom"/>
          </w:tcPr>
          <w:p>
            <w:pPr>
              <w:ind w:left="70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3"/>
                <w:szCs w:val="13"/>
                <w:color w:val="auto"/>
              </w:rPr>
            </w:pPr>
          </w:p>
        </w:tc>
        <w:tc>
          <w:tcPr>
            <w:tcW w:w="8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(458)</w:t>
            </w:r>
          </w:p>
        </w:tc>
      </w:tr>
      <w:tr>
        <w:trPr>
          <w:trHeight w:val="142"/>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March 31, 2023</w:t>
            </w:r>
          </w:p>
        </w:tc>
        <w:tc>
          <w:tcPr>
            <w:tcW w:w="1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21,515</w:t>
            </w:r>
          </w:p>
        </w:tc>
        <w:tc>
          <w:tcPr>
            <w:tcW w:w="26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3,323</w:t>
            </w:r>
          </w:p>
        </w:tc>
        <w:tc>
          <w:tcPr>
            <w:tcW w:w="28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1,950</w:t>
            </w:r>
          </w:p>
        </w:tc>
        <w:tc>
          <w:tcPr>
            <w:tcW w:w="28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689</w:t>
            </w:r>
          </w:p>
        </w:tc>
        <w:tc>
          <w:tcPr>
            <w:tcW w:w="20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(42,595)</w:t>
            </w:r>
          </w:p>
        </w:tc>
        <w:tc>
          <w:tcPr>
            <w:tcW w:w="16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2"/>
                <w:szCs w:val="12"/>
                <w:b w:val="1"/>
                <w:bCs w:val="1"/>
                <w:color w:val="auto"/>
              </w:rPr>
              <w:t>—</w:t>
            </w:r>
          </w:p>
        </w:tc>
        <w:tc>
          <w:tcPr>
            <w:tcW w:w="26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840</w:t>
            </w:r>
          </w:p>
        </w:tc>
        <w:tc>
          <w:tcPr>
            <w:tcW w:w="18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(14,278)</w:t>
            </w:r>
          </w:p>
        </w:tc>
        <w:tc>
          <w:tcPr>
            <w:tcW w:w="120" w:type="dxa"/>
            <w:vAlign w:val="bottom"/>
            <w:shd w:val="clear" w:color="auto" w:fill="CCEEFF"/>
          </w:tcPr>
          <w:p>
            <w:pPr>
              <w:spacing w:after="0"/>
              <w:rPr>
                <w:sz w:val="12"/>
                <w:szCs w:val="12"/>
                <w:color w:val="auto"/>
              </w:rPr>
            </w:pPr>
          </w:p>
        </w:tc>
      </w:tr>
      <w:tr>
        <w:trPr>
          <w:trHeight w:val="144"/>
        </w:trPr>
        <w:tc>
          <w:tcPr>
            <w:tcW w:w="238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Net loss</w:t>
            </w:r>
          </w:p>
        </w:tc>
        <w:tc>
          <w:tcPr>
            <w:tcW w:w="140" w:type="dxa"/>
            <w:vAlign w:val="bottom"/>
          </w:tcPr>
          <w:p>
            <w:pPr>
              <w:spacing w:after="0"/>
              <w:rPr>
                <w:sz w:val="12"/>
                <w:szCs w:val="12"/>
                <w:color w:val="auto"/>
              </w:rPr>
            </w:pPr>
          </w:p>
        </w:tc>
        <w:tc>
          <w:tcPr>
            <w:tcW w:w="88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2"/>
                <w:szCs w:val="12"/>
                <w:color w:val="auto"/>
              </w:rPr>
            </w:pPr>
          </w:p>
        </w:tc>
        <w:tc>
          <w:tcPr>
            <w:tcW w:w="88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2"/>
                <w:szCs w:val="12"/>
                <w:color w:val="auto"/>
              </w:rPr>
            </w:pPr>
          </w:p>
        </w:tc>
        <w:tc>
          <w:tcPr>
            <w:tcW w:w="8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2"/>
                <w:szCs w:val="12"/>
                <w:color w:val="auto"/>
              </w:rPr>
            </w:pPr>
          </w:p>
        </w:tc>
        <w:tc>
          <w:tcPr>
            <w:tcW w:w="88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9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4,594</w:t>
            </w:r>
          </w:p>
        </w:tc>
        <w:tc>
          <w:tcPr>
            <w:tcW w:w="160" w:type="dxa"/>
            <w:vAlign w:val="bottom"/>
          </w:tcPr>
          <w:p>
            <w:pPr>
              <w:spacing w:after="0"/>
              <w:rPr>
                <w:sz w:val="12"/>
                <w:szCs w:val="12"/>
                <w:color w:val="auto"/>
              </w:rPr>
            </w:pPr>
          </w:p>
        </w:tc>
        <w:tc>
          <w:tcPr>
            <w:tcW w:w="920" w:type="dxa"/>
            <w:vAlign w:val="bottom"/>
          </w:tcPr>
          <w:p>
            <w:pPr>
              <w:ind w:left="70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2"/>
                <w:szCs w:val="12"/>
                <w:color w:val="auto"/>
              </w:rPr>
            </w:pP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(33)</w:t>
            </w:r>
          </w:p>
        </w:tc>
        <w:tc>
          <w:tcPr>
            <w:tcW w:w="1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4,561</w:t>
            </w:r>
          </w:p>
        </w:tc>
        <w:tc>
          <w:tcPr>
            <w:tcW w:w="120" w:type="dxa"/>
            <w:vAlign w:val="bottom"/>
          </w:tcPr>
          <w:p>
            <w:pPr>
              <w:spacing w:after="0"/>
              <w:rPr>
                <w:sz w:val="12"/>
                <w:szCs w:val="12"/>
                <w:color w:val="auto"/>
              </w:rPr>
            </w:pPr>
          </w:p>
        </w:tc>
      </w:tr>
      <w:tr>
        <w:trPr>
          <w:trHeight w:val="133"/>
        </w:trPr>
        <w:tc>
          <w:tcPr>
            <w:tcW w:w="2380" w:type="dxa"/>
            <w:vAlign w:val="bottom"/>
            <w:shd w:val="clear" w:color="auto" w:fill="CCEEFF"/>
          </w:tcPr>
          <w:p>
            <w:pPr>
              <w:ind w:left="100"/>
              <w:spacing w:after="0" w:line="133" w:lineRule="exact"/>
              <w:rPr>
                <w:sz w:val="20"/>
                <w:szCs w:val="20"/>
                <w:color w:val="auto"/>
              </w:rPr>
            </w:pPr>
            <w:r>
              <w:rPr>
                <w:rFonts w:ascii="Times New Roman" w:cs="Times New Roman" w:eastAsia="Times New Roman" w:hAnsi="Times New Roman"/>
                <w:sz w:val="12"/>
                <w:szCs w:val="12"/>
                <w:color w:val="auto"/>
              </w:rPr>
              <w:t>Issuance of preferred units, net of issuance</w:t>
            </w: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55"/>
        </w:trPr>
        <w:tc>
          <w:tcPr>
            <w:tcW w:w="2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costs</w:t>
            </w: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2,599</w:t>
            </w: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3"/>
                <w:szCs w:val="13"/>
                <w:color w:val="auto"/>
              </w:rPr>
            </w:pPr>
          </w:p>
        </w:tc>
        <w:tc>
          <w:tcPr>
            <w:tcW w:w="9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2,599</w:t>
            </w:r>
          </w:p>
        </w:tc>
        <w:tc>
          <w:tcPr>
            <w:tcW w:w="120" w:type="dxa"/>
            <w:vAlign w:val="bottom"/>
            <w:shd w:val="clear" w:color="auto" w:fill="CCEEFF"/>
          </w:tcPr>
          <w:p>
            <w:pPr>
              <w:spacing w:after="0"/>
              <w:rPr>
                <w:sz w:val="13"/>
                <w:szCs w:val="13"/>
                <w:color w:val="auto"/>
              </w:rPr>
            </w:pPr>
          </w:p>
        </w:tc>
      </w:tr>
      <w:tr>
        <w:trPr>
          <w:trHeight w:val="144"/>
        </w:trPr>
        <w:tc>
          <w:tcPr>
            <w:tcW w:w="238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Unit-based compensation</w:t>
            </w:r>
          </w:p>
        </w:tc>
        <w:tc>
          <w:tcPr>
            <w:tcW w:w="140" w:type="dxa"/>
            <w:vAlign w:val="bottom"/>
          </w:tcPr>
          <w:p>
            <w:pPr>
              <w:spacing w:after="0"/>
              <w:rPr>
                <w:sz w:val="12"/>
                <w:szCs w:val="12"/>
                <w:color w:val="auto"/>
              </w:rPr>
            </w:pPr>
          </w:p>
        </w:tc>
        <w:tc>
          <w:tcPr>
            <w:tcW w:w="88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2"/>
                <w:szCs w:val="12"/>
                <w:color w:val="auto"/>
              </w:rPr>
            </w:pPr>
          </w:p>
        </w:tc>
        <w:tc>
          <w:tcPr>
            <w:tcW w:w="88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2"/>
                <w:szCs w:val="12"/>
                <w:color w:val="auto"/>
              </w:rPr>
            </w:pPr>
          </w:p>
        </w:tc>
        <w:tc>
          <w:tcPr>
            <w:tcW w:w="8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2"/>
                <w:szCs w:val="12"/>
                <w:color w:val="auto"/>
              </w:rPr>
            </w:pPr>
          </w:p>
        </w:tc>
        <w:tc>
          <w:tcPr>
            <w:tcW w:w="88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52</w:t>
            </w:r>
          </w:p>
        </w:tc>
        <w:tc>
          <w:tcPr>
            <w:tcW w:w="200" w:type="dxa"/>
            <w:vAlign w:val="bottom"/>
          </w:tcPr>
          <w:p>
            <w:pPr>
              <w:spacing w:after="0"/>
              <w:rPr>
                <w:sz w:val="12"/>
                <w:szCs w:val="12"/>
                <w:color w:val="auto"/>
              </w:rPr>
            </w:pPr>
          </w:p>
        </w:tc>
        <w:tc>
          <w:tcPr>
            <w:tcW w:w="9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920" w:type="dxa"/>
            <w:vAlign w:val="bottom"/>
          </w:tcPr>
          <w:p>
            <w:pPr>
              <w:ind w:left="70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2"/>
                <w:szCs w:val="12"/>
                <w:color w:val="auto"/>
              </w:rPr>
            </w:pPr>
          </w:p>
        </w:tc>
        <w:tc>
          <w:tcPr>
            <w:tcW w:w="8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133</w:t>
            </w:r>
          </w:p>
        </w:tc>
        <w:tc>
          <w:tcPr>
            <w:tcW w:w="1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185</w:t>
            </w:r>
          </w:p>
        </w:tc>
        <w:tc>
          <w:tcPr>
            <w:tcW w:w="120" w:type="dxa"/>
            <w:vAlign w:val="bottom"/>
          </w:tcPr>
          <w:p>
            <w:pPr>
              <w:spacing w:after="0"/>
              <w:rPr>
                <w:sz w:val="12"/>
                <w:szCs w:val="12"/>
                <w:color w:val="auto"/>
              </w:rPr>
            </w:pPr>
          </w:p>
        </w:tc>
      </w:tr>
      <w:tr>
        <w:trPr>
          <w:trHeight w:val="133"/>
        </w:trPr>
        <w:tc>
          <w:tcPr>
            <w:tcW w:w="2380" w:type="dxa"/>
            <w:vAlign w:val="bottom"/>
            <w:shd w:val="clear" w:color="auto" w:fill="CCEEFF"/>
          </w:tcPr>
          <w:p>
            <w:pPr>
              <w:ind w:left="100"/>
              <w:spacing w:after="0" w:line="133" w:lineRule="exact"/>
              <w:rPr>
                <w:sz w:val="20"/>
                <w:szCs w:val="20"/>
                <w:color w:val="auto"/>
              </w:rPr>
            </w:pPr>
            <w:r>
              <w:rPr>
                <w:rFonts w:ascii="Times New Roman" w:cs="Times New Roman" w:eastAsia="Times New Roman" w:hAnsi="Times New Roman"/>
                <w:sz w:val="12"/>
                <w:szCs w:val="12"/>
                <w:color w:val="auto"/>
              </w:rPr>
              <w:t>Accretion of redeemable units to redemption</w:t>
            </w: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55"/>
        </w:trPr>
        <w:tc>
          <w:tcPr>
            <w:tcW w:w="2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value</w:t>
            </w: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(7,454)</w:t>
            </w:r>
          </w:p>
        </w:tc>
        <w:tc>
          <w:tcPr>
            <w:tcW w:w="160" w:type="dxa"/>
            <w:vAlign w:val="bottom"/>
            <w:shd w:val="clear" w:color="auto" w:fill="CCEEFF"/>
          </w:tcPr>
          <w:p>
            <w:pPr>
              <w:spacing w:after="0"/>
              <w:rPr>
                <w:sz w:val="13"/>
                <w:szCs w:val="13"/>
                <w:color w:val="auto"/>
              </w:rPr>
            </w:pPr>
          </w:p>
        </w:tc>
        <w:tc>
          <w:tcPr>
            <w:tcW w:w="9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(7,454)</w:t>
            </w:r>
          </w:p>
        </w:tc>
      </w:tr>
      <w:tr>
        <w:trPr>
          <w:trHeight w:val="20"/>
        </w:trPr>
        <w:tc>
          <w:tcPr>
            <w:tcW w:w="23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23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June 30, 2023</w:t>
            </w:r>
          </w:p>
        </w:tc>
        <w:tc>
          <w:tcPr>
            <w:tcW w:w="140" w:type="dxa"/>
            <w:vAlign w:val="bottom"/>
          </w:tcPr>
          <w:p>
            <w:pPr>
              <w:spacing w:after="0"/>
              <w:rPr>
                <w:sz w:val="12"/>
                <w:szCs w:val="12"/>
                <w:color w:val="auto"/>
              </w:rPr>
            </w:pPr>
          </w:p>
        </w:tc>
        <w:tc>
          <w:tcPr>
            <w:tcW w:w="880" w:type="dxa"/>
            <w:vAlign w:val="bottom"/>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24,114</w:t>
            </w:r>
          </w:p>
        </w:tc>
        <w:tc>
          <w:tcPr>
            <w:tcW w:w="260" w:type="dxa"/>
            <w:vAlign w:val="bottom"/>
          </w:tcPr>
          <w:p>
            <w:pPr>
              <w:spacing w:after="0"/>
              <w:rPr>
                <w:sz w:val="12"/>
                <w:szCs w:val="12"/>
                <w:color w:val="auto"/>
              </w:rPr>
            </w:pPr>
          </w:p>
        </w:tc>
        <w:tc>
          <w:tcPr>
            <w:tcW w:w="880" w:type="dxa"/>
            <w:vAlign w:val="bottom"/>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3,323</w:t>
            </w:r>
          </w:p>
        </w:tc>
        <w:tc>
          <w:tcPr>
            <w:tcW w:w="280" w:type="dxa"/>
            <w:vAlign w:val="bottom"/>
          </w:tcPr>
          <w:p>
            <w:pPr>
              <w:spacing w:after="0"/>
              <w:rPr>
                <w:sz w:val="12"/>
                <w:szCs w:val="12"/>
                <w:color w:val="auto"/>
              </w:rPr>
            </w:pPr>
          </w:p>
        </w:tc>
        <w:tc>
          <w:tcPr>
            <w:tcW w:w="860" w:type="dxa"/>
            <w:vAlign w:val="bottom"/>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1,950</w:t>
            </w:r>
          </w:p>
        </w:tc>
        <w:tc>
          <w:tcPr>
            <w:tcW w:w="280" w:type="dxa"/>
            <w:vAlign w:val="bottom"/>
          </w:tcPr>
          <w:p>
            <w:pPr>
              <w:spacing w:after="0"/>
              <w:rPr>
                <w:sz w:val="12"/>
                <w:szCs w:val="12"/>
                <w:color w:val="auto"/>
              </w:rPr>
            </w:pPr>
          </w:p>
        </w:tc>
        <w:tc>
          <w:tcPr>
            <w:tcW w:w="880" w:type="dxa"/>
            <w:vAlign w:val="bottom"/>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741</w:t>
            </w:r>
          </w:p>
        </w:tc>
        <w:tc>
          <w:tcPr>
            <w:tcW w:w="200" w:type="dxa"/>
            <w:vAlign w:val="bottom"/>
          </w:tcPr>
          <w:p>
            <w:pPr>
              <w:spacing w:after="0"/>
              <w:rPr>
                <w:sz w:val="12"/>
                <w:szCs w:val="12"/>
                <w:color w:val="auto"/>
              </w:rPr>
            </w:pPr>
          </w:p>
        </w:tc>
        <w:tc>
          <w:tcPr>
            <w:tcW w:w="960" w:type="dxa"/>
            <w:vAlign w:val="bottom"/>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(45,455)</w:t>
            </w:r>
          </w:p>
        </w:tc>
        <w:tc>
          <w:tcPr>
            <w:tcW w:w="160" w:type="dxa"/>
            <w:vAlign w:val="bottom"/>
          </w:tcPr>
          <w:p>
            <w:pPr>
              <w:spacing w:after="0"/>
              <w:rPr>
                <w:sz w:val="12"/>
                <w:szCs w:val="12"/>
                <w:color w:val="auto"/>
              </w:rPr>
            </w:pPr>
          </w:p>
        </w:tc>
        <w:tc>
          <w:tcPr>
            <w:tcW w:w="920" w:type="dxa"/>
            <w:vAlign w:val="bottom"/>
          </w:tcPr>
          <w:p>
            <w:pPr>
              <w:ind w:left="700"/>
              <w:spacing w:after="0"/>
              <w:rPr>
                <w:sz w:val="20"/>
                <w:szCs w:val="20"/>
                <w:color w:val="auto"/>
              </w:rPr>
            </w:pPr>
            <w:r>
              <w:rPr>
                <w:rFonts w:ascii="Times New Roman" w:cs="Times New Roman" w:eastAsia="Times New Roman" w:hAnsi="Times New Roman"/>
                <w:sz w:val="12"/>
                <w:szCs w:val="12"/>
                <w:b w:val="1"/>
                <w:bCs w:val="1"/>
                <w:color w:val="auto"/>
              </w:rPr>
              <w:t>—</w:t>
            </w:r>
          </w:p>
        </w:tc>
        <w:tc>
          <w:tcPr>
            <w:tcW w:w="260" w:type="dxa"/>
            <w:vAlign w:val="bottom"/>
          </w:tcPr>
          <w:p>
            <w:pPr>
              <w:spacing w:after="0"/>
              <w:rPr>
                <w:sz w:val="12"/>
                <w:szCs w:val="12"/>
                <w:color w:val="auto"/>
              </w:rPr>
            </w:pPr>
          </w:p>
        </w:tc>
        <w:tc>
          <w:tcPr>
            <w:tcW w:w="860" w:type="dxa"/>
            <w:vAlign w:val="bottom"/>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940</w:t>
            </w:r>
          </w:p>
        </w:tc>
        <w:tc>
          <w:tcPr>
            <w:tcW w:w="180" w:type="dxa"/>
            <w:vAlign w:val="bottom"/>
          </w:tcPr>
          <w:p>
            <w:pPr>
              <w:spacing w:after="0"/>
              <w:rPr>
                <w:sz w:val="12"/>
                <w:szCs w:val="12"/>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(14,387)</w:t>
            </w:r>
          </w:p>
        </w:tc>
      </w:tr>
      <w:tr>
        <w:trPr>
          <w:trHeight w:val="144"/>
        </w:trPr>
        <w:tc>
          <w:tcPr>
            <w:tcW w:w="2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Net loss</w:t>
            </w: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(18,871)</w:t>
            </w: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(45)</w:t>
            </w: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(18,916)</w:t>
            </w:r>
          </w:p>
        </w:tc>
      </w:tr>
      <w:tr>
        <w:trPr>
          <w:trHeight w:val="144"/>
        </w:trPr>
        <w:tc>
          <w:tcPr>
            <w:tcW w:w="238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Units issued to NCI</w:t>
            </w:r>
          </w:p>
        </w:tc>
        <w:tc>
          <w:tcPr>
            <w:tcW w:w="140" w:type="dxa"/>
            <w:vAlign w:val="bottom"/>
          </w:tcPr>
          <w:p>
            <w:pPr>
              <w:spacing w:after="0"/>
              <w:rPr>
                <w:sz w:val="12"/>
                <w:szCs w:val="12"/>
                <w:color w:val="auto"/>
              </w:rPr>
            </w:pPr>
          </w:p>
        </w:tc>
        <w:tc>
          <w:tcPr>
            <w:tcW w:w="88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2"/>
                <w:szCs w:val="12"/>
                <w:color w:val="auto"/>
              </w:rPr>
            </w:pPr>
          </w:p>
        </w:tc>
        <w:tc>
          <w:tcPr>
            <w:tcW w:w="88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2"/>
                <w:szCs w:val="12"/>
                <w:color w:val="auto"/>
              </w:rPr>
            </w:pPr>
          </w:p>
        </w:tc>
        <w:tc>
          <w:tcPr>
            <w:tcW w:w="8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2"/>
                <w:szCs w:val="12"/>
                <w:color w:val="auto"/>
              </w:rPr>
            </w:pPr>
          </w:p>
        </w:tc>
        <w:tc>
          <w:tcPr>
            <w:tcW w:w="88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9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920" w:type="dxa"/>
            <w:vAlign w:val="bottom"/>
          </w:tcPr>
          <w:p>
            <w:pPr>
              <w:ind w:left="70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2"/>
                <w:szCs w:val="12"/>
                <w:color w:val="auto"/>
              </w:rPr>
            </w:pPr>
          </w:p>
        </w:tc>
        <w:tc>
          <w:tcPr>
            <w:tcW w:w="8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101</w:t>
            </w:r>
          </w:p>
        </w:tc>
        <w:tc>
          <w:tcPr>
            <w:tcW w:w="1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w:t>
            </w:r>
          </w:p>
        </w:tc>
        <w:tc>
          <w:tcPr>
            <w:tcW w:w="120" w:type="dxa"/>
            <w:vAlign w:val="bottom"/>
          </w:tcPr>
          <w:p>
            <w:pPr>
              <w:spacing w:after="0"/>
              <w:rPr>
                <w:sz w:val="12"/>
                <w:szCs w:val="12"/>
                <w:color w:val="auto"/>
              </w:rPr>
            </w:pPr>
          </w:p>
        </w:tc>
      </w:tr>
      <w:tr>
        <w:trPr>
          <w:trHeight w:val="133"/>
        </w:trPr>
        <w:tc>
          <w:tcPr>
            <w:tcW w:w="2380" w:type="dxa"/>
            <w:vAlign w:val="bottom"/>
            <w:shd w:val="clear" w:color="auto" w:fill="CCEEFF"/>
          </w:tcPr>
          <w:p>
            <w:pPr>
              <w:ind w:left="100"/>
              <w:spacing w:after="0" w:line="133" w:lineRule="exact"/>
              <w:rPr>
                <w:sz w:val="20"/>
                <w:szCs w:val="20"/>
                <w:color w:val="auto"/>
              </w:rPr>
            </w:pPr>
            <w:r>
              <w:rPr>
                <w:rFonts w:ascii="Times New Roman" w:cs="Times New Roman" w:eastAsia="Times New Roman" w:hAnsi="Times New Roman"/>
                <w:sz w:val="12"/>
                <w:szCs w:val="12"/>
                <w:color w:val="auto"/>
              </w:rPr>
              <w:t>Issuance of preferred units, net of issuance</w:t>
            </w: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55"/>
        </w:trPr>
        <w:tc>
          <w:tcPr>
            <w:tcW w:w="2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costs</w:t>
            </w: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5,038</w:t>
            </w: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3"/>
                <w:szCs w:val="13"/>
                <w:color w:val="auto"/>
              </w:rPr>
            </w:pPr>
          </w:p>
        </w:tc>
        <w:tc>
          <w:tcPr>
            <w:tcW w:w="9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5,038</w:t>
            </w:r>
          </w:p>
        </w:tc>
        <w:tc>
          <w:tcPr>
            <w:tcW w:w="120" w:type="dxa"/>
            <w:vAlign w:val="bottom"/>
            <w:shd w:val="clear" w:color="auto" w:fill="CCEEFF"/>
          </w:tcPr>
          <w:p>
            <w:pPr>
              <w:spacing w:after="0"/>
              <w:rPr>
                <w:sz w:val="13"/>
                <w:szCs w:val="13"/>
                <w:color w:val="auto"/>
              </w:rPr>
            </w:pPr>
          </w:p>
        </w:tc>
      </w:tr>
      <w:tr>
        <w:trPr>
          <w:trHeight w:val="144"/>
        </w:trPr>
        <w:tc>
          <w:tcPr>
            <w:tcW w:w="238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Tax advanced distributions to members</w:t>
            </w:r>
          </w:p>
        </w:tc>
        <w:tc>
          <w:tcPr>
            <w:tcW w:w="140" w:type="dxa"/>
            <w:vAlign w:val="bottom"/>
          </w:tcPr>
          <w:p>
            <w:pPr>
              <w:spacing w:after="0"/>
              <w:rPr>
                <w:sz w:val="12"/>
                <w:szCs w:val="12"/>
                <w:color w:val="auto"/>
              </w:rPr>
            </w:pPr>
          </w:p>
        </w:tc>
        <w:tc>
          <w:tcPr>
            <w:tcW w:w="88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2"/>
                <w:szCs w:val="12"/>
                <w:color w:val="auto"/>
              </w:rPr>
            </w:pPr>
          </w:p>
        </w:tc>
        <w:tc>
          <w:tcPr>
            <w:tcW w:w="88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2"/>
                <w:szCs w:val="12"/>
                <w:color w:val="auto"/>
              </w:rPr>
            </w:pPr>
          </w:p>
        </w:tc>
        <w:tc>
          <w:tcPr>
            <w:tcW w:w="8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2"/>
                <w:szCs w:val="12"/>
                <w:color w:val="auto"/>
              </w:rPr>
            </w:pPr>
          </w:p>
        </w:tc>
        <w:tc>
          <w:tcPr>
            <w:tcW w:w="88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9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(243)</w:t>
            </w:r>
          </w:p>
        </w:tc>
        <w:tc>
          <w:tcPr>
            <w:tcW w:w="160" w:type="dxa"/>
            <w:vAlign w:val="bottom"/>
          </w:tcPr>
          <w:p>
            <w:pPr>
              <w:spacing w:after="0"/>
              <w:rPr>
                <w:sz w:val="12"/>
                <w:szCs w:val="12"/>
                <w:color w:val="auto"/>
              </w:rPr>
            </w:pPr>
          </w:p>
        </w:tc>
        <w:tc>
          <w:tcPr>
            <w:tcW w:w="920" w:type="dxa"/>
            <w:vAlign w:val="bottom"/>
          </w:tcPr>
          <w:p>
            <w:pPr>
              <w:ind w:left="70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2"/>
                <w:szCs w:val="12"/>
                <w:color w:val="auto"/>
              </w:rPr>
            </w:pPr>
          </w:p>
        </w:tc>
        <w:tc>
          <w:tcPr>
            <w:tcW w:w="8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(243)</w:t>
            </w:r>
          </w:p>
        </w:tc>
      </w:tr>
      <w:tr>
        <w:trPr>
          <w:trHeight w:val="144"/>
        </w:trPr>
        <w:tc>
          <w:tcPr>
            <w:tcW w:w="2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Unit-based compensation</w:t>
            </w: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51</w:t>
            </w: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244</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295</w:t>
            </w:r>
          </w:p>
        </w:tc>
        <w:tc>
          <w:tcPr>
            <w:tcW w:w="120" w:type="dxa"/>
            <w:vAlign w:val="bottom"/>
            <w:shd w:val="clear" w:color="auto" w:fill="CCEEFF"/>
          </w:tcPr>
          <w:p>
            <w:pPr>
              <w:spacing w:after="0"/>
              <w:rPr>
                <w:sz w:val="12"/>
                <w:szCs w:val="12"/>
                <w:color w:val="auto"/>
              </w:rPr>
            </w:pPr>
          </w:p>
        </w:tc>
      </w:tr>
      <w:tr>
        <w:trPr>
          <w:trHeight w:val="133"/>
        </w:trPr>
        <w:tc>
          <w:tcPr>
            <w:tcW w:w="2380" w:type="dxa"/>
            <w:vAlign w:val="bottom"/>
          </w:tcPr>
          <w:p>
            <w:pPr>
              <w:ind w:left="100"/>
              <w:spacing w:after="0" w:line="133" w:lineRule="exact"/>
              <w:rPr>
                <w:sz w:val="20"/>
                <w:szCs w:val="20"/>
                <w:color w:val="auto"/>
              </w:rPr>
            </w:pPr>
            <w:r>
              <w:rPr>
                <w:rFonts w:ascii="Times New Roman" w:cs="Times New Roman" w:eastAsia="Times New Roman" w:hAnsi="Times New Roman"/>
                <w:sz w:val="12"/>
                <w:szCs w:val="12"/>
                <w:color w:val="auto"/>
              </w:rPr>
              <w:t>Accretion of redeemable units to redemption</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5"/>
        </w:trPr>
        <w:tc>
          <w:tcPr>
            <w:tcW w:w="23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value</w:t>
            </w: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10,149</w:t>
            </w:r>
          </w:p>
        </w:tc>
        <w:tc>
          <w:tcPr>
            <w:tcW w:w="1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10,149</w:t>
            </w:r>
          </w:p>
        </w:tc>
        <w:tc>
          <w:tcPr>
            <w:tcW w:w="120" w:type="dxa"/>
            <w:vAlign w:val="bottom"/>
          </w:tcPr>
          <w:p>
            <w:pPr>
              <w:spacing w:after="0"/>
              <w:rPr>
                <w:sz w:val="13"/>
                <w:szCs w:val="13"/>
                <w:color w:val="auto"/>
              </w:rPr>
            </w:pPr>
          </w:p>
        </w:tc>
      </w:tr>
      <w:tr>
        <w:trPr>
          <w:trHeight w:val="142"/>
        </w:trPr>
        <w:tc>
          <w:tcPr>
            <w:tcW w:w="2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September 30, 2023</w:t>
            </w:r>
          </w:p>
        </w:tc>
        <w:tc>
          <w:tcPr>
            <w:tcW w:w="14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8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29,152</w:t>
            </w:r>
          </w:p>
        </w:tc>
        <w:tc>
          <w:tcPr>
            <w:tcW w:w="26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w:t>
            </w:r>
          </w:p>
        </w:tc>
        <w:tc>
          <w:tcPr>
            <w:tcW w:w="88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3,323</w:t>
            </w:r>
          </w:p>
        </w:tc>
        <w:tc>
          <w:tcPr>
            <w:tcW w:w="2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w:t>
            </w:r>
          </w:p>
        </w:tc>
        <w:tc>
          <w:tcPr>
            <w:tcW w:w="86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1,950</w:t>
            </w:r>
          </w:p>
        </w:tc>
        <w:tc>
          <w:tcPr>
            <w:tcW w:w="2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w:t>
            </w:r>
          </w:p>
        </w:tc>
        <w:tc>
          <w:tcPr>
            <w:tcW w:w="88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792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96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(54,420)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92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2"/>
                <w:szCs w:val="12"/>
                <w:b w:val="1"/>
                <w:bCs w:val="1"/>
                <w:color w:val="auto"/>
              </w:rPr>
              <w:t>—</w:t>
            </w:r>
          </w:p>
        </w:tc>
        <w:tc>
          <w:tcPr>
            <w:tcW w:w="26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w:t>
            </w:r>
          </w:p>
        </w:tc>
        <w:tc>
          <w:tcPr>
            <w:tcW w:w="86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1,240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(17,963)</w:t>
            </w:r>
          </w:p>
        </w:tc>
        <w:tc>
          <w:tcPr>
            <w:tcW w:w="120" w:type="dxa"/>
            <w:vAlign w:val="bottom"/>
            <w:tcBorders>
              <w:bottom w:val="single" w:sz="8" w:color="CCEEFF"/>
            </w:tcBorders>
            <w:shd w:val="clear" w:color="auto" w:fill="CCEEFF"/>
          </w:tcPr>
          <w:p>
            <w:pPr>
              <w:spacing w:after="0"/>
              <w:rPr>
                <w:sz w:val="12"/>
                <w:szCs w:val="12"/>
                <w:color w:val="auto"/>
              </w:rPr>
            </w:pPr>
          </w:p>
        </w:tc>
      </w:tr>
    </w:tbl>
    <w:p>
      <w:pPr>
        <w:spacing w:after="0" w:line="1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i w:val="1"/>
          <w:iCs w:val="1"/>
          <w:color w:val="auto"/>
        </w:rPr>
        <w:t>See accompanying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86360</wp:posOffset>
            </wp:positionV>
            <wp:extent cx="7178040" cy="114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10" w:name="page11"/>
    <w:bookmarkEnd w:id="10"/>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Innventure LLC and Subsidiaries</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Condensed Consolidated Statements of Cash Flows</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(in thousands) (Unaudited)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700" w:type="dxa"/>
            <w:vAlign w:val="bottom"/>
          </w:tcPr>
          <w:p>
            <w:pPr>
              <w:spacing w:after="0"/>
              <w:rPr>
                <w:sz w:val="13"/>
                <w:szCs w:val="13"/>
                <w:color w:val="auto"/>
              </w:rPr>
            </w:pPr>
          </w:p>
        </w:tc>
        <w:tc>
          <w:tcPr>
            <w:tcW w:w="2600" w:type="dxa"/>
            <w:vAlign w:val="bottom"/>
            <w:gridSpan w:val="6"/>
          </w:tcPr>
          <w:p>
            <w:pPr>
              <w:jc w:val="right"/>
              <w:ind w:right="480"/>
              <w:spacing w:after="0"/>
              <w:rPr>
                <w:sz w:val="20"/>
                <w:szCs w:val="20"/>
                <w:color w:val="auto"/>
              </w:rPr>
            </w:pPr>
            <w:r>
              <w:rPr>
                <w:rFonts w:ascii="Times New Roman" w:cs="Times New Roman" w:eastAsia="Times New Roman" w:hAnsi="Times New Roman"/>
                <w:sz w:val="12"/>
                <w:szCs w:val="12"/>
                <w:b w:val="1"/>
                <w:bCs w:val="1"/>
                <w:color w:val="auto"/>
              </w:rPr>
              <w:t>Nine months ended September 30,</w:t>
            </w:r>
          </w:p>
        </w:tc>
      </w:tr>
      <w:tr>
        <w:trPr>
          <w:trHeight w:val="142"/>
        </w:trPr>
        <w:tc>
          <w:tcPr>
            <w:tcW w:w="870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2024</w:t>
            </w:r>
          </w:p>
        </w:tc>
        <w:tc>
          <w:tcPr>
            <w:tcW w:w="40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2023</w:t>
            </w:r>
          </w:p>
        </w:tc>
        <w:tc>
          <w:tcPr>
            <w:tcW w:w="120" w:type="dxa"/>
            <w:vAlign w:val="bottom"/>
          </w:tcPr>
          <w:p>
            <w:pPr>
              <w:spacing w:after="0"/>
              <w:rPr>
                <w:sz w:val="12"/>
                <w:szCs w:val="12"/>
                <w:color w:val="auto"/>
              </w:rPr>
            </w:pPr>
          </w:p>
        </w:tc>
      </w:tr>
      <w:tr>
        <w:trPr>
          <w:trHeight w:val="142"/>
        </w:trPr>
        <w:tc>
          <w:tcPr>
            <w:tcW w:w="87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Cash Flows Used in Operating Activities</w:t>
            </w: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8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Net loss</w:t>
            </w:r>
          </w:p>
        </w:tc>
        <w:tc>
          <w:tcPr>
            <w:tcW w:w="740" w:type="dxa"/>
            <w:vAlign w:val="bottom"/>
            <w:shd w:val="clear" w:color="auto" w:fill="CCEEFF"/>
          </w:tcPr>
          <w:p>
            <w:pPr>
              <w:jc w:val="right"/>
              <w:ind w:right="62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(26,481)</w:t>
            </w: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(17,951)</w:t>
            </w:r>
          </w:p>
        </w:tc>
      </w:tr>
      <w:tr>
        <w:trPr>
          <w:trHeight w:val="144"/>
        </w:trPr>
        <w:tc>
          <w:tcPr>
            <w:tcW w:w="8700" w:type="dxa"/>
            <w:vAlign w:val="bottom"/>
          </w:tcPr>
          <w:p>
            <w:pPr>
              <w:ind w:left="100"/>
              <w:spacing w:after="0"/>
              <w:rPr>
                <w:sz w:val="20"/>
                <w:szCs w:val="20"/>
                <w:color w:val="auto"/>
              </w:rPr>
            </w:pPr>
            <w:r>
              <w:rPr>
                <w:rFonts w:ascii="Times New Roman" w:cs="Times New Roman" w:eastAsia="Times New Roman" w:hAnsi="Times New Roman"/>
                <w:sz w:val="12"/>
                <w:szCs w:val="12"/>
                <w:i w:val="1"/>
                <w:iCs w:val="1"/>
                <w:color w:val="auto"/>
              </w:rPr>
              <w:t>Adjustments to reconcile net loss to net cash and cash equivalents used in operating activities:</w:t>
            </w: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8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Unit-based compensation</w:t>
            </w:r>
          </w:p>
        </w:tc>
        <w:tc>
          <w:tcPr>
            <w:tcW w:w="7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1,056</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633</w:t>
            </w:r>
          </w:p>
        </w:tc>
      </w:tr>
      <w:tr>
        <w:trPr>
          <w:trHeight w:val="144"/>
        </w:trPr>
        <w:tc>
          <w:tcPr>
            <w:tcW w:w="87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Interest income on debt securities - related party</w:t>
            </w:r>
          </w:p>
        </w:tc>
        <w:tc>
          <w:tcPr>
            <w:tcW w:w="740" w:type="dxa"/>
            <w:vAlign w:val="bottom"/>
          </w:tcPr>
          <w:p>
            <w:pPr>
              <w:spacing w:after="0"/>
              <w:rPr>
                <w:sz w:val="12"/>
                <w:szCs w:val="12"/>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(110)</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8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Accrued unpaid interest on note payable</w:t>
            </w:r>
          </w:p>
        </w:tc>
        <w:tc>
          <w:tcPr>
            <w:tcW w:w="7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931</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397</w:t>
            </w:r>
          </w:p>
        </w:tc>
      </w:tr>
      <w:tr>
        <w:trPr>
          <w:trHeight w:val="144"/>
        </w:trPr>
        <w:tc>
          <w:tcPr>
            <w:tcW w:w="87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Change in fair value of embedded derivative liability</w:t>
            </w:r>
          </w:p>
        </w:tc>
        <w:tc>
          <w:tcPr>
            <w:tcW w:w="7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478</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492</w:t>
            </w:r>
          </w:p>
        </w:tc>
      </w:tr>
      <w:tr>
        <w:trPr>
          <w:trHeight w:val="144"/>
        </w:trPr>
        <w:tc>
          <w:tcPr>
            <w:tcW w:w="8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Change in fair value of payables due to related parties</w:t>
            </w:r>
          </w:p>
        </w:tc>
        <w:tc>
          <w:tcPr>
            <w:tcW w:w="7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468</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(99)</w:t>
            </w:r>
          </w:p>
        </w:tc>
      </w:tr>
      <w:tr>
        <w:trPr>
          <w:trHeight w:val="144"/>
        </w:trPr>
        <w:tc>
          <w:tcPr>
            <w:tcW w:w="87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Non-cash interest expense on notes payable</w:t>
            </w:r>
          </w:p>
        </w:tc>
        <w:tc>
          <w:tcPr>
            <w:tcW w:w="7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351</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252</w:t>
            </w:r>
          </w:p>
        </w:tc>
      </w:tr>
      <w:tr>
        <w:trPr>
          <w:trHeight w:val="144"/>
        </w:trPr>
        <w:tc>
          <w:tcPr>
            <w:tcW w:w="8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Net (gain) loss on investments</w:t>
            </w:r>
          </w:p>
        </w:tc>
        <w:tc>
          <w:tcPr>
            <w:tcW w:w="7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(11,547)</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2,718</w:t>
            </w:r>
          </w:p>
        </w:tc>
      </w:tr>
      <w:tr>
        <w:trPr>
          <w:trHeight w:val="144"/>
        </w:trPr>
        <w:tc>
          <w:tcPr>
            <w:tcW w:w="87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Equity method investment loss (gain)</w:t>
            </w:r>
          </w:p>
        </w:tc>
        <w:tc>
          <w:tcPr>
            <w:tcW w:w="740" w:type="dxa"/>
            <w:vAlign w:val="bottom"/>
          </w:tcPr>
          <w:p>
            <w:pPr>
              <w:spacing w:after="0"/>
              <w:rPr>
                <w:sz w:val="12"/>
                <w:szCs w:val="12"/>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(893)</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291</w:t>
            </w:r>
          </w:p>
        </w:tc>
      </w:tr>
      <w:tr>
        <w:trPr>
          <w:trHeight w:val="144"/>
        </w:trPr>
        <w:tc>
          <w:tcPr>
            <w:tcW w:w="8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Loss on conversion of promissory notes</w:t>
            </w:r>
          </w:p>
        </w:tc>
        <w:tc>
          <w:tcPr>
            <w:tcW w:w="7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1,119</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87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Depreciation expense</w:t>
            </w:r>
          </w:p>
        </w:tc>
        <w:tc>
          <w:tcPr>
            <w:tcW w:w="7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146</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8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Non-cash rent costs</w:t>
            </w:r>
          </w:p>
        </w:tc>
        <w:tc>
          <w:tcPr>
            <w:tcW w:w="7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186</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133</w:t>
            </w:r>
          </w:p>
        </w:tc>
      </w:tr>
      <w:tr>
        <w:trPr>
          <w:trHeight w:val="144"/>
        </w:trPr>
        <w:tc>
          <w:tcPr>
            <w:tcW w:w="87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Amortization of debt issuance costs - related party</w:t>
            </w:r>
          </w:p>
        </w:tc>
        <w:tc>
          <w:tcPr>
            <w:tcW w:w="740" w:type="dxa"/>
            <w:vAlign w:val="bottom"/>
          </w:tcPr>
          <w:p>
            <w:pPr>
              <w:spacing w:after="0"/>
              <w:rPr>
                <w:sz w:val="12"/>
                <w:szCs w:val="12"/>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8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Other, net</w:t>
            </w:r>
          </w:p>
        </w:tc>
        <w:tc>
          <w:tcPr>
            <w:tcW w:w="7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27</w:t>
            </w:r>
          </w:p>
        </w:tc>
      </w:tr>
      <w:tr>
        <w:trPr>
          <w:trHeight w:val="144"/>
        </w:trPr>
        <w:tc>
          <w:tcPr>
            <w:tcW w:w="8700" w:type="dxa"/>
            <w:vAlign w:val="bottom"/>
          </w:tcPr>
          <w:p>
            <w:pPr>
              <w:ind w:left="100"/>
              <w:spacing w:after="0"/>
              <w:rPr>
                <w:sz w:val="20"/>
                <w:szCs w:val="20"/>
                <w:color w:val="auto"/>
              </w:rPr>
            </w:pPr>
            <w:r>
              <w:rPr>
                <w:rFonts w:ascii="Times New Roman" w:cs="Times New Roman" w:eastAsia="Times New Roman" w:hAnsi="Times New Roman"/>
                <w:sz w:val="12"/>
                <w:szCs w:val="12"/>
                <w:i w:val="1"/>
                <w:iCs w:val="1"/>
                <w:color w:val="auto"/>
              </w:rPr>
              <w:t>Changes in operating assets and liabilities:</w:t>
            </w: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8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Prepaid expenses and other current assets</w:t>
            </w:r>
          </w:p>
        </w:tc>
        <w:tc>
          <w:tcPr>
            <w:tcW w:w="7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(1,605)</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(930)</w:t>
            </w:r>
          </w:p>
        </w:tc>
      </w:tr>
      <w:tr>
        <w:trPr>
          <w:trHeight w:val="144"/>
        </w:trPr>
        <w:tc>
          <w:tcPr>
            <w:tcW w:w="870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Inventory</w:t>
            </w:r>
          </w:p>
        </w:tc>
        <w:tc>
          <w:tcPr>
            <w:tcW w:w="740" w:type="dxa"/>
            <w:vAlign w:val="bottom"/>
          </w:tcPr>
          <w:p>
            <w:pPr>
              <w:spacing w:after="0"/>
              <w:rPr>
                <w:sz w:val="12"/>
                <w:szCs w:val="12"/>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(2,824)</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8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Accounts payable</w:t>
            </w:r>
          </w:p>
        </w:tc>
        <w:tc>
          <w:tcPr>
            <w:tcW w:w="7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4,863</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(32)</w:t>
            </w:r>
          </w:p>
        </w:tc>
      </w:tr>
      <w:tr>
        <w:trPr>
          <w:trHeight w:val="144"/>
        </w:trPr>
        <w:tc>
          <w:tcPr>
            <w:tcW w:w="870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Accrued employee benefits</w:t>
            </w:r>
          </w:p>
        </w:tc>
        <w:tc>
          <w:tcPr>
            <w:tcW w:w="7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3,838</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2,111</w:t>
            </w:r>
          </w:p>
        </w:tc>
      </w:tr>
      <w:tr>
        <w:trPr>
          <w:trHeight w:val="144"/>
        </w:trPr>
        <w:tc>
          <w:tcPr>
            <w:tcW w:w="8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Accrued expenses</w:t>
            </w:r>
          </w:p>
        </w:tc>
        <w:tc>
          <w:tcPr>
            <w:tcW w:w="7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674</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113</w:t>
            </w:r>
          </w:p>
        </w:tc>
      </w:tr>
      <w:tr>
        <w:trPr>
          <w:trHeight w:val="144"/>
        </w:trPr>
        <w:tc>
          <w:tcPr>
            <w:tcW w:w="870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Other current liabilities</w:t>
            </w:r>
          </w:p>
        </w:tc>
        <w:tc>
          <w:tcPr>
            <w:tcW w:w="740" w:type="dxa"/>
            <w:vAlign w:val="bottom"/>
          </w:tcPr>
          <w:p>
            <w:pPr>
              <w:spacing w:after="0"/>
              <w:rPr>
                <w:sz w:val="12"/>
                <w:szCs w:val="12"/>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(147)</w:t>
            </w:r>
          </w:p>
        </w:tc>
        <w:tc>
          <w:tcPr>
            <w:tcW w:w="26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(89)</w:t>
            </w:r>
          </w:p>
        </w:tc>
      </w:tr>
      <w:tr>
        <w:trPr>
          <w:trHeight w:val="144"/>
        </w:trPr>
        <w:tc>
          <w:tcPr>
            <w:tcW w:w="8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Liability for future preferred stock issuance</w:t>
            </w:r>
          </w:p>
        </w:tc>
        <w:tc>
          <w:tcPr>
            <w:tcW w:w="7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10,870</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870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Other assets</w:t>
            </w:r>
          </w:p>
        </w:tc>
        <w:tc>
          <w:tcPr>
            <w:tcW w:w="740" w:type="dxa"/>
            <w:vAlign w:val="bottom"/>
          </w:tcPr>
          <w:p>
            <w:pPr>
              <w:spacing w:after="0"/>
              <w:rPr>
                <w:sz w:val="12"/>
                <w:szCs w:val="12"/>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(20)</w:t>
            </w:r>
          </w:p>
        </w:tc>
        <w:tc>
          <w:tcPr>
            <w:tcW w:w="26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(202)</w:t>
            </w:r>
          </w:p>
        </w:tc>
      </w:tr>
      <w:tr>
        <w:trPr>
          <w:trHeight w:val="142"/>
        </w:trPr>
        <w:tc>
          <w:tcPr>
            <w:tcW w:w="8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Cash Used in Operating Activities</w:t>
            </w:r>
          </w:p>
        </w:tc>
        <w:tc>
          <w:tcPr>
            <w:tcW w:w="740" w:type="dxa"/>
            <w:vAlign w:val="bottom"/>
            <w:tcBorders>
              <w:top w:val="single" w:sz="8" w:color="auto"/>
              <w:bottom w:val="single" w:sz="8" w:color="auto"/>
            </w:tcBorders>
            <w:shd w:val="clear" w:color="auto" w:fill="CCEEFF"/>
          </w:tcPr>
          <w:p>
            <w:pPr>
              <w:spacing w:after="0"/>
              <w:rPr>
                <w:sz w:val="12"/>
                <w:szCs w:val="12"/>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2"/>
              </w:rPr>
              <w:t>(18,647)</w:t>
            </w:r>
          </w:p>
        </w:tc>
        <w:tc>
          <w:tcPr>
            <w:tcW w:w="22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spacing w:after="0"/>
              <w:rPr>
                <w:sz w:val="12"/>
                <w:szCs w:val="12"/>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(12,136)</w:t>
            </w:r>
          </w:p>
        </w:tc>
        <w:tc>
          <w:tcPr>
            <w:tcW w:w="120" w:type="dxa"/>
            <w:vAlign w:val="bottom"/>
            <w:tcBorders>
              <w:bottom w:val="single" w:sz="8" w:color="CCEEFF"/>
            </w:tcBorders>
            <w:shd w:val="clear" w:color="auto" w:fill="CCEEFF"/>
          </w:tcPr>
          <w:p>
            <w:pPr>
              <w:spacing w:after="0"/>
              <w:rPr>
                <w:sz w:val="12"/>
                <w:szCs w:val="12"/>
                <w:color w:val="auto"/>
              </w:rPr>
            </w:pPr>
          </w:p>
        </w:tc>
      </w:tr>
      <w:tr>
        <w:trPr>
          <w:trHeight w:val="142"/>
        </w:trPr>
        <w:tc>
          <w:tcPr>
            <w:tcW w:w="8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Cash Flows Used in Investing Activities</w:t>
            </w:r>
          </w:p>
        </w:tc>
        <w:tc>
          <w:tcPr>
            <w:tcW w:w="7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87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Purchase of shares in equity method investees</w:t>
            </w:r>
          </w:p>
        </w:tc>
        <w:tc>
          <w:tcPr>
            <w:tcW w:w="740" w:type="dxa"/>
            <w:vAlign w:val="bottom"/>
          </w:tcPr>
          <w:p>
            <w:pPr>
              <w:spacing w:after="0"/>
              <w:rPr>
                <w:sz w:val="12"/>
                <w:szCs w:val="12"/>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(2,000)</w:t>
            </w:r>
          </w:p>
        </w:tc>
      </w:tr>
      <w:tr>
        <w:trPr>
          <w:trHeight w:val="144"/>
        </w:trPr>
        <w:tc>
          <w:tcPr>
            <w:tcW w:w="8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Contributions to equity method investees</w:t>
            </w:r>
          </w:p>
        </w:tc>
        <w:tc>
          <w:tcPr>
            <w:tcW w:w="7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(130)</w:t>
            </w:r>
          </w:p>
        </w:tc>
      </w:tr>
      <w:tr>
        <w:trPr>
          <w:trHeight w:val="144"/>
        </w:trPr>
        <w:tc>
          <w:tcPr>
            <w:tcW w:w="87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Investment in debt securities - related party</w:t>
            </w:r>
          </w:p>
        </w:tc>
        <w:tc>
          <w:tcPr>
            <w:tcW w:w="740" w:type="dxa"/>
            <w:vAlign w:val="bottom"/>
          </w:tcPr>
          <w:p>
            <w:pPr>
              <w:spacing w:after="0"/>
              <w:rPr>
                <w:sz w:val="12"/>
                <w:szCs w:val="12"/>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(7,400)</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8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Acquisition of property, plant and equipment</w:t>
            </w:r>
          </w:p>
        </w:tc>
        <w:tc>
          <w:tcPr>
            <w:tcW w:w="7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(736)</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(173)</w:t>
            </w:r>
          </w:p>
        </w:tc>
      </w:tr>
      <w:tr>
        <w:trPr>
          <w:trHeight w:val="144"/>
        </w:trPr>
        <w:tc>
          <w:tcPr>
            <w:tcW w:w="87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Proceeds received related to PCT stock sale</w:t>
            </w:r>
          </w:p>
        </w:tc>
        <w:tc>
          <w:tcPr>
            <w:tcW w:w="7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2,314</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708</w:t>
            </w:r>
          </w:p>
        </w:tc>
      </w:tr>
      <w:tr>
        <w:trPr>
          <w:trHeight w:val="142"/>
        </w:trPr>
        <w:tc>
          <w:tcPr>
            <w:tcW w:w="8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Cash Used in Investing Activities</w:t>
            </w:r>
          </w:p>
        </w:tc>
        <w:tc>
          <w:tcPr>
            <w:tcW w:w="740" w:type="dxa"/>
            <w:vAlign w:val="bottom"/>
            <w:tcBorders>
              <w:top w:val="single" w:sz="8" w:color="auto"/>
              <w:bottom w:val="single" w:sz="8" w:color="auto"/>
            </w:tcBorders>
            <w:shd w:val="clear" w:color="auto" w:fill="CCEEFF"/>
          </w:tcPr>
          <w:p>
            <w:pPr>
              <w:spacing w:after="0"/>
              <w:rPr>
                <w:sz w:val="12"/>
                <w:szCs w:val="12"/>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(5,822)</w:t>
            </w:r>
          </w:p>
        </w:tc>
        <w:tc>
          <w:tcPr>
            <w:tcW w:w="22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spacing w:after="0"/>
              <w:rPr>
                <w:sz w:val="12"/>
                <w:szCs w:val="12"/>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(1,595)</w:t>
            </w:r>
          </w:p>
        </w:tc>
        <w:tc>
          <w:tcPr>
            <w:tcW w:w="120" w:type="dxa"/>
            <w:vAlign w:val="bottom"/>
            <w:tcBorders>
              <w:bottom w:val="single" w:sz="8" w:color="CCEEFF"/>
            </w:tcBorders>
            <w:shd w:val="clear" w:color="auto" w:fill="CCEEFF"/>
          </w:tcPr>
          <w:p>
            <w:pPr>
              <w:spacing w:after="0"/>
              <w:rPr>
                <w:sz w:val="12"/>
                <w:szCs w:val="12"/>
                <w:color w:val="auto"/>
              </w:rPr>
            </w:pPr>
          </w:p>
        </w:tc>
      </w:tr>
      <w:tr>
        <w:trPr>
          <w:trHeight w:val="142"/>
        </w:trPr>
        <w:tc>
          <w:tcPr>
            <w:tcW w:w="8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Cash Flows Provided by Financing Activities</w:t>
            </w:r>
          </w:p>
        </w:tc>
        <w:tc>
          <w:tcPr>
            <w:tcW w:w="7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87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Proceeds from issuance of capital, net of issuance costs</w:t>
            </w:r>
          </w:p>
        </w:tc>
        <w:tc>
          <w:tcPr>
            <w:tcW w:w="7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13,122</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8,249</w:t>
            </w:r>
          </w:p>
        </w:tc>
      </w:tr>
      <w:tr>
        <w:trPr>
          <w:trHeight w:val="144"/>
        </w:trPr>
        <w:tc>
          <w:tcPr>
            <w:tcW w:w="8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Proceeds from the issuance of units to NCI</w:t>
            </w:r>
          </w:p>
        </w:tc>
        <w:tc>
          <w:tcPr>
            <w:tcW w:w="7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13,859</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205</w:t>
            </w:r>
          </w:p>
        </w:tc>
      </w:tr>
      <w:tr>
        <w:trPr>
          <w:trHeight w:val="144"/>
        </w:trPr>
        <w:tc>
          <w:tcPr>
            <w:tcW w:w="87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Proceeds from convertible notes payable</w:t>
            </w:r>
          </w:p>
        </w:tc>
        <w:tc>
          <w:tcPr>
            <w:tcW w:w="740" w:type="dxa"/>
            <w:vAlign w:val="bottom"/>
          </w:tcPr>
          <w:p>
            <w:pPr>
              <w:spacing w:after="0"/>
              <w:rPr>
                <w:sz w:val="12"/>
                <w:szCs w:val="12"/>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2,000</w:t>
            </w:r>
          </w:p>
        </w:tc>
      </w:tr>
      <w:tr>
        <w:trPr>
          <w:trHeight w:val="144"/>
        </w:trPr>
        <w:tc>
          <w:tcPr>
            <w:tcW w:w="8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Payment of debts</w:t>
            </w:r>
          </w:p>
        </w:tc>
        <w:tc>
          <w:tcPr>
            <w:tcW w:w="7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(790)</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(19)</w:t>
            </w:r>
          </w:p>
        </w:tc>
      </w:tr>
      <w:tr>
        <w:trPr>
          <w:trHeight w:val="144"/>
        </w:trPr>
        <w:tc>
          <w:tcPr>
            <w:tcW w:w="87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Receipt of Capital from Class I Unitholder</w:t>
            </w:r>
          </w:p>
        </w:tc>
        <w:tc>
          <w:tcPr>
            <w:tcW w:w="740" w:type="dxa"/>
            <w:vAlign w:val="bottom"/>
          </w:tcPr>
          <w:p>
            <w:pPr>
              <w:spacing w:after="0"/>
              <w:rPr>
                <w:sz w:val="12"/>
                <w:szCs w:val="12"/>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130</w:t>
            </w:r>
          </w:p>
        </w:tc>
      </w:tr>
      <w:tr>
        <w:trPr>
          <w:trHeight w:val="144"/>
        </w:trPr>
        <w:tc>
          <w:tcPr>
            <w:tcW w:w="8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Tax advance distribution to Members</w:t>
            </w:r>
          </w:p>
        </w:tc>
        <w:tc>
          <w:tcPr>
            <w:tcW w:w="7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(243)</w:t>
            </w:r>
          </w:p>
        </w:tc>
      </w:tr>
      <w:tr>
        <w:trPr>
          <w:trHeight w:val="144"/>
        </w:trPr>
        <w:tc>
          <w:tcPr>
            <w:tcW w:w="87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Proceeds of related party notes payable</w:t>
            </w:r>
          </w:p>
        </w:tc>
        <w:tc>
          <w:tcPr>
            <w:tcW w:w="7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12,000</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w:t>
            </w:r>
          </w:p>
        </w:tc>
      </w:tr>
      <w:tr>
        <w:trPr>
          <w:trHeight w:val="142"/>
        </w:trPr>
        <w:tc>
          <w:tcPr>
            <w:tcW w:w="8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Cash Provided by Financing Activities</w:t>
            </w:r>
          </w:p>
        </w:tc>
        <w:tc>
          <w:tcPr>
            <w:tcW w:w="740" w:type="dxa"/>
            <w:vAlign w:val="bottom"/>
            <w:tcBorders>
              <w:top w:val="single" w:sz="8" w:color="auto"/>
              <w:bottom w:val="single" w:sz="8" w:color="auto"/>
            </w:tcBorders>
            <w:shd w:val="clear" w:color="auto" w:fill="CCEEFF"/>
          </w:tcPr>
          <w:p>
            <w:pPr>
              <w:spacing w:after="0"/>
              <w:rPr>
                <w:sz w:val="12"/>
                <w:szCs w:val="12"/>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38,191</w:t>
            </w:r>
          </w:p>
        </w:tc>
        <w:tc>
          <w:tcPr>
            <w:tcW w:w="22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spacing w:after="0"/>
              <w:rPr>
                <w:sz w:val="12"/>
                <w:szCs w:val="12"/>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10,325</w:t>
            </w:r>
          </w:p>
        </w:tc>
        <w:tc>
          <w:tcPr>
            <w:tcW w:w="120" w:type="dxa"/>
            <w:vAlign w:val="bottom"/>
            <w:tcBorders>
              <w:bottom w:val="single" w:sz="8" w:color="CCEEFF"/>
            </w:tcBorders>
            <w:shd w:val="clear" w:color="auto" w:fill="CCEEFF"/>
          </w:tcPr>
          <w:p>
            <w:pPr>
              <w:spacing w:after="0"/>
              <w:rPr>
                <w:sz w:val="12"/>
                <w:szCs w:val="12"/>
                <w:color w:val="auto"/>
              </w:rPr>
            </w:pPr>
          </w:p>
        </w:tc>
      </w:tr>
      <w:tr>
        <w:trPr>
          <w:trHeight w:val="142"/>
        </w:trPr>
        <w:tc>
          <w:tcPr>
            <w:tcW w:w="8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spacing w:after="0"/>
              <w:rPr>
                <w:sz w:val="12"/>
                <w:szCs w:val="12"/>
                <w:color w:val="auto"/>
              </w:rPr>
            </w:pPr>
          </w:p>
        </w:tc>
      </w:tr>
      <w:tr>
        <w:trPr>
          <w:trHeight w:val="142"/>
        </w:trPr>
        <w:tc>
          <w:tcPr>
            <w:tcW w:w="8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(Decrease) Increase in Cash, Cash Equivalents and Restricted Cash</w:t>
            </w:r>
          </w:p>
        </w:tc>
        <w:tc>
          <w:tcPr>
            <w:tcW w:w="740" w:type="dxa"/>
            <w:vAlign w:val="bottom"/>
            <w:tcBorders>
              <w:top w:val="single" w:sz="8" w:color="auto"/>
              <w:bottom w:val="single" w:sz="8" w:color="auto"/>
            </w:tcBorders>
            <w:shd w:val="clear" w:color="auto" w:fill="CCEEFF"/>
          </w:tcPr>
          <w:p>
            <w:pPr>
              <w:spacing w:after="0"/>
              <w:rPr>
                <w:sz w:val="12"/>
                <w:szCs w:val="12"/>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13,722</w:t>
            </w:r>
          </w:p>
        </w:tc>
        <w:tc>
          <w:tcPr>
            <w:tcW w:w="22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spacing w:after="0"/>
              <w:rPr>
                <w:sz w:val="12"/>
                <w:szCs w:val="12"/>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(3,406)</w:t>
            </w:r>
          </w:p>
        </w:tc>
        <w:tc>
          <w:tcPr>
            <w:tcW w:w="120" w:type="dxa"/>
            <w:vAlign w:val="bottom"/>
            <w:tcBorders>
              <w:bottom w:val="single" w:sz="8" w:color="CCEEFF"/>
            </w:tcBorders>
            <w:shd w:val="clear" w:color="auto" w:fill="CCEEFF"/>
          </w:tcPr>
          <w:p>
            <w:pPr>
              <w:spacing w:after="0"/>
              <w:rPr>
                <w:sz w:val="12"/>
                <w:szCs w:val="12"/>
                <w:color w:val="auto"/>
              </w:rPr>
            </w:pPr>
          </w:p>
        </w:tc>
      </w:tr>
      <w:tr>
        <w:trPr>
          <w:trHeight w:val="142"/>
        </w:trPr>
        <w:tc>
          <w:tcPr>
            <w:tcW w:w="87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Cash, Cash Equivalents and Restricted Cash Beginning of period</w:t>
            </w:r>
          </w:p>
        </w:tc>
        <w:tc>
          <w:tcPr>
            <w:tcW w:w="7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2,575</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7,544</w:t>
            </w:r>
          </w:p>
        </w:tc>
      </w:tr>
      <w:tr>
        <w:trPr>
          <w:trHeight w:val="142"/>
        </w:trPr>
        <w:tc>
          <w:tcPr>
            <w:tcW w:w="8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Cash, Cash Equivalents and Restricted Cash End of period</w:t>
            </w:r>
          </w:p>
        </w:tc>
        <w:tc>
          <w:tcPr>
            <w:tcW w:w="740" w:type="dxa"/>
            <w:vAlign w:val="bottom"/>
            <w:tcBorders>
              <w:top w:val="single" w:sz="8" w:color="auto"/>
              <w:bottom w:val="single" w:sz="8" w:color="auto"/>
            </w:tcBorders>
            <w:shd w:val="clear" w:color="auto" w:fill="CCEEFF"/>
          </w:tcPr>
          <w:p>
            <w:pPr>
              <w:jc w:val="right"/>
              <w:ind w:right="6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16,297</w:t>
            </w:r>
          </w:p>
        </w:tc>
        <w:tc>
          <w:tcPr>
            <w:tcW w:w="22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4,138</w:t>
            </w:r>
          </w:p>
        </w:tc>
        <w:tc>
          <w:tcPr>
            <w:tcW w:w="120" w:type="dxa"/>
            <w:vAlign w:val="bottom"/>
            <w:tcBorders>
              <w:bottom w:val="single" w:sz="8" w:color="CCEEFF"/>
            </w:tcBorders>
            <w:shd w:val="clear" w:color="auto" w:fill="CCEEFF"/>
          </w:tcPr>
          <w:p>
            <w:pPr>
              <w:spacing w:after="0"/>
              <w:rPr>
                <w:sz w:val="12"/>
                <w:szCs w:val="12"/>
                <w:color w:val="auto"/>
              </w:rPr>
            </w:pPr>
          </w:p>
        </w:tc>
      </w:tr>
      <w:tr>
        <w:trPr>
          <w:trHeight w:val="259"/>
        </w:trPr>
        <w:tc>
          <w:tcPr>
            <w:tcW w:w="87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r>
    </w:tbl>
    <w:p>
      <w:pPr>
        <w:sectPr>
          <w:pgSz w:w="11900" w:h="16838" w:orient="portrait"/>
          <w:cols w:equalWidth="0" w:num="1">
            <w:col w:w="11300"/>
          </w:cols>
          <w:pgMar w:left="300" w:top="125" w:right="299" w:bottom="1440" w:gutter="0" w:footer="0" w:header="0"/>
        </w:sectPr>
      </w:pPr>
    </w:p>
    <w:bookmarkStart w:id="11" w:name="page12"/>
    <w:bookmarkEnd w:id="11"/>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Innventure LLC and Subsidiaries</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Condensed Consolidated Statements of Cash Flows (continued)</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(in thousands) (Unaudited)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380" w:type="dxa"/>
            <w:vAlign w:val="bottom"/>
            <w:gridSpan w:val="5"/>
          </w:tcPr>
          <w:p>
            <w:pPr>
              <w:jc w:val="right"/>
              <w:ind w:right="480"/>
              <w:spacing w:after="0"/>
              <w:rPr>
                <w:sz w:val="20"/>
                <w:szCs w:val="20"/>
                <w:color w:val="auto"/>
              </w:rPr>
            </w:pPr>
            <w:r>
              <w:rPr>
                <w:rFonts w:ascii="Times New Roman" w:cs="Times New Roman" w:eastAsia="Times New Roman" w:hAnsi="Times New Roman"/>
                <w:sz w:val="12"/>
                <w:szCs w:val="12"/>
                <w:b w:val="1"/>
                <w:bCs w:val="1"/>
                <w:color w:val="auto"/>
              </w:rPr>
              <w:t>Nine months ended September 30,</w:t>
            </w:r>
          </w:p>
        </w:tc>
      </w:tr>
      <w:tr>
        <w:trPr>
          <w:trHeight w:val="142"/>
        </w:trPr>
        <w:tc>
          <w:tcPr>
            <w:tcW w:w="870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2024</w:t>
            </w:r>
          </w:p>
        </w:tc>
        <w:tc>
          <w:tcPr>
            <w:tcW w:w="22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2023</w:t>
            </w:r>
          </w:p>
        </w:tc>
        <w:tc>
          <w:tcPr>
            <w:tcW w:w="120" w:type="dxa"/>
            <w:vAlign w:val="bottom"/>
          </w:tcPr>
          <w:p>
            <w:pPr>
              <w:spacing w:after="0"/>
              <w:rPr>
                <w:sz w:val="12"/>
                <w:szCs w:val="12"/>
                <w:color w:val="auto"/>
              </w:rPr>
            </w:pPr>
          </w:p>
        </w:tc>
      </w:tr>
      <w:tr>
        <w:trPr>
          <w:trHeight w:val="142"/>
        </w:trPr>
        <w:tc>
          <w:tcPr>
            <w:tcW w:w="87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Supplemental Cash Flow Information</w:t>
            </w: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8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Cash paid for interest</w:t>
            </w: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1,070</w:t>
            </w: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220</w:t>
            </w:r>
          </w:p>
        </w:tc>
      </w:tr>
      <w:tr>
        <w:trPr>
          <w:trHeight w:val="144"/>
        </w:trPr>
        <w:tc>
          <w:tcPr>
            <w:tcW w:w="87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Supplemental Disclosure of Noncash Financing Information</w:t>
            </w: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8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Accretion of redeemable units to redemption value</w:t>
            </w: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11,950</w:t>
            </w: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2,237</w:t>
            </w:r>
          </w:p>
        </w:tc>
      </w:tr>
      <w:tr>
        <w:trPr>
          <w:trHeight w:val="144"/>
        </w:trPr>
        <w:tc>
          <w:tcPr>
            <w:tcW w:w="87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Debt discount and embedded derivative upon issuance</w:t>
            </w: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1,119</w:t>
            </w:r>
          </w:p>
        </w:tc>
      </w:tr>
      <w:tr>
        <w:trPr>
          <w:trHeight w:val="144"/>
        </w:trPr>
        <w:tc>
          <w:tcPr>
            <w:tcW w:w="8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Issuance of Class Preferred B Units to extinguish convertible notes payable</w:t>
            </w: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396</w:t>
            </w: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100</w:t>
            </w:r>
          </w:p>
        </w:tc>
      </w:tr>
      <w:tr>
        <w:trPr>
          <w:trHeight w:val="144"/>
        </w:trPr>
        <w:tc>
          <w:tcPr>
            <w:tcW w:w="87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Issuance of Class B Preferred Units in exchange for Innventus ESG Fund Equity</w:t>
            </w: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183</w:t>
            </w: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8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Issuance of NCI in exchange for interest in Innventus ESG Fund</w:t>
            </w: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146</w:t>
            </w: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87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Commissions payable on issuance of Class B Preferred Units</w:t>
            </w: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163</w:t>
            </w: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8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Commissions payable on issuance of NCI</w:t>
            </w: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83</w:t>
            </w: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87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Issuance of Class B Preferred Units to extinguish consulting fees payable</w:t>
            </w: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24</w:t>
            </w: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8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Issuance of units to NCI in exchange of convertible promissory notes</w:t>
            </w: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7,324</w:t>
            </w: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87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Conversion of working capital loans to equity method investees into investments in debt securities - related party</w:t>
            </w: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2,600</w:t>
            </w: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8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Unrealized loss on investments in debt Securities - related party through OCI</w:t>
            </w: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2,373</w:t>
            </w: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55"/>
        </w:trPr>
        <w:tc>
          <w:tcPr>
            <w:tcW w:w="87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Recognition of right of use asset and corresponding lease liability</w:t>
            </w: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731</w:t>
            </w:r>
          </w:p>
        </w:tc>
      </w:tr>
    </w:tbl>
    <w:p>
      <w:pPr>
        <w:spacing w:after="0" w:line="1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i w:val="1"/>
          <w:iCs w:val="1"/>
          <w:color w:val="auto"/>
        </w:rPr>
        <w:t>See accompanying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234950</wp:posOffset>
            </wp:positionV>
            <wp:extent cx="7178040" cy="114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5434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8680" cy="45434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33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8680" cy="4303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491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8680" cy="434911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2024-11-14T07:41:22Z</dcterms:created>
  <dcterms:modified xsi:type="dcterms:W3CDTF">2024-11-14T07:41:22Z</dcterms:modified>
</cp:coreProperties>
</file>