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Closing of Accelsius Series B Funding with Legrand and Johnson Controls</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2025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and sold to Legrand DPC, LLC, a Delaware limited liability company (“</w:t>
      </w:r>
      <w:r>
        <w:rPr>
          <w:rFonts w:ascii="Times New Roman" w:cs="Times New Roman" w:eastAsia="Times New Roman" w:hAnsi="Times New Roman"/>
          <w:sz w:val="18"/>
          <w:szCs w:val="18"/>
          <w:b w:val="1"/>
          <w:bCs w:val="1"/>
          <w:i w:val="1"/>
          <w:iCs w:val="1"/>
          <w:color w:val="auto"/>
        </w:rPr>
        <w:t>Legrand</w:t>
      </w:r>
      <w:r>
        <w:rPr>
          <w:rFonts w:ascii="Times New Roman" w:cs="Times New Roman" w:eastAsia="Times New Roman" w:hAnsi="Times New Roman"/>
          <w:sz w:val="18"/>
          <w:szCs w:val="18"/>
          <w:color w:val="auto"/>
        </w:rPr>
        <w:t>”), 822,195 units of Accelsius’ Series B-1 Units (the “</w:t>
      </w:r>
      <w:r>
        <w:rPr>
          <w:rFonts w:ascii="Times New Roman" w:cs="Times New Roman" w:eastAsia="Times New Roman" w:hAnsi="Times New Roman"/>
          <w:sz w:val="18"/>
          <w:szCs w:val="18"/>
          <w:b w:val="1"/>
          <w:bCs w:val="1"/>
          <w:i w:val="1"/>
          <w:iCs w:val="1"/>
          <w:color w:val="auto"/>
        </w:rPr>
        <w:t>Series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for gross proceeds of approximately $30 million. Additionally, on the Closing Date, Accelsius issued and sold to Johnson Controls,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Wisconsin corporation and an existing holder of Series B-1 Units (“</w:t>
      </w:r>
      <w:r>
        <w:rPr>
          <w:rFonts w:ascii="Times New Roman" w:cs="Times New Roman" w:eastAsia="Times New Roman" w:hAnsi="Times New Roman"/>
          <w:sz w:val="18"/>
          <w:szCs w:val="18"/>
          <w:b w:val="1"/>
          <w:bCs w:val="1"/>
          <w:i w:val="1"/>
          <w:iCs w:val="1"/>
          <w:color w:val="auto"/>
        </w:rPr>
        <w:t>JCI</w:t>
      </w:r>
      <w:r>
        <w:rPr>
          <w:rFonts w:ascii="Times New Roman" w:cs="Times New Roman" w:eastAsia="Times New Roman" w:hAnsi="Times New Roman"/>
          <w:sz w:val="18"/>
          <w:szCs w:val="18"/>
          <w:color w:val="auto"/>
        </w:rPr>
        <w:t>”), an additional 274,065 units of the Series B-1 Units for gross proceeds of approximately $10 million. The approximately $40 million of aggregate gross proceeds to Accelsius from the Closing is in addition to the approximately $25 million of gross proceeds from the issuance and sale of Series B-1 Units to JCI on October 2, 2025, which was previously disclosed in the Current Report on Form 8-K filed by the Company with the Securities and Exchange Commission on October 6, 2025 (the “</w:t>
      </w:r>
      <w:r>
        <w:rPr>
          <w:rFonts w:ascii="Times New Roman" w:cs="Times New Roman" w:eastAsia="Times New Roman" w:hAnsi="Times New Roman"/>
          <w:sz w:val="18"/>
          <w:szCs w:val="18"/>
          <w:b w:val="1"/>
          <w:bCs w:val="1"/>
          <w:i w:val="1"/>
          <w:iCs w:val="1"/>
          <w:color w:val="auto"/>
        </w:rPr>
        <w:t>Prior Form 8-K</w:t>
      </w:r>
      <w:r>
        <w:rPr>
          <w:rFonts w:ascii="Times New Roman" w:cs="Times New Roman" w:eastAsia="Times New Roman" w:hAnsi="Times New Roman"/>
          <w:sz w:val="18"/>
          <w:szCs w:val="18"/>
          <w:color w:val="auto"/>
        </w:rPr>
        <w:t>”). For a summary of the rights provided to JCI in connection with its prior investment, see the Prior Form 8-K.</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Accelsius will use the proceeds from the sale of the Series B-1 Units, after deducting certain offering expenses, for general company purposes. The Series B-1 Units are convertible at any time and from time to time into Accelsius’ Class A Common Units by dividing the Series B-1 Unit’s Issue Price (as defined below) by the Conversion Price (as defined below) in effect at the time of conversion. The “</w:t>
      </w: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means $36.4877 per unit, subject to appropriate adjustment in the event of any unit dividend, unit split, combination or other similar recapitalization with respect to the applicable Series B-1 Units.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shall initially equal $36.4877 and will be subject to certain adjustments.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B-1 Units have not been registered under the Securities Act of 1933, as amended, may not be offered or sold absent registration or an applicable exemption from registration requirements and are subject to certain restrictions on transfer.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of Accelsius’ Operating Agreement</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Closing, Accelsius amended its limited liability company agreement (“</w:t>
      </w:r>
      <w:r>
        <w:rPr>
          <w:rFonts w:ascii="Times New Roman" w:cs="Times New Roman" w:eastAsia="Times New Roman" w:hAnsi="Times New Roman"/>
          <w:sz w:val="18"/>
          <w:szCs w:val="18"/>
          <w:b w:val="1"/>
          <w:bCs w:val="1"/>
          <w:i w:val="1"/>
          <w:iCs w:val="1"/>
          <w:color w:val="auto"/>
        </w:rPr>
        <w:t>Operating Agreement</w:t>
      </w:r>
      <w:r>
        <w:rPr>
          <w:rFonts w:ascii="Times New Roman" w:cs="Times New Roman" w:eastAsia="Times New Roman" w:hAnsi="Times New Roman"/>
          <w:sz w:val="18"/>
          <w:szCs w:val="18"/>
          <w:color w:val="auto"/>
        </w:rPr>
        <w:t>”) to, among other things, include Legrand as a member and expand the size of Accelsius’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to eight directors. The amendment to the Operating Agreement provides that, for so long as Legrand and its affiliates continue to beneficially own an aggregate of at least 50% of the Series B-1 Units purchased by Legrand (subject to appropriate adjustment for any unit splits, unit dividends, combinations, recapitalizations and the like or any conversion), Legrand will be entitled to designate and remove one director (the “</w:t>
      </w:r>
      <w:r>
        <w:rPr>
          <w:rFonts w:ascii="Times New Roman" w:cs="Times New Roman" w:eastAsia="Times New Roman" w:hAnsi="Times New Roman"/>
          <w:sz w:val="18"/>
          <w:szCs w:val="18"/>
          <w:b w:val="1"/>
          <w:bCs w:val="1"/>
          <w:i w:val="1"/>
          <w:iCs w:val="1"/>
          <w:color w:val="auto"/>
        </w:rPr>
        <w:t>Legrand Director</w:t>
      </w:r>
      <w:r>
        <w:rPr>
          <w:rFonts w:ascii="Times New Roman" w:cs="Times New Roman" w:eastAsia="Times New Roman" w:hAnsi="Times New Roman"/>
          <w:sz w:val="18"/>
          <w:szCs w:val="18"/>
          <w:color w:val="auto"/>
        </w:rPr>
        <w:t>”). The Legrand Director will be entitled to one vote on all matters that come before the Board and will be entitled to be a member of any committee of the Board or of the board of directors or managers of any subsidiary of Accelsius.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approval of the Legrand Director is required with respect to any Preferred Decision (as defined in the Operating Agreement).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Series B-1 Units, and (iv) an increase in the authorized number of Accelsius’ Class A Common Units, Class C Units, or any series of preferred units.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amendment to the Operating Agreement provides Legrand, subject to certain exceptions and conditions, with certain customary preemptive rights, rights of first refusal and rights of co-sale with respect to transfers by other members, information rights and registration rights. Such customary rights, as set forth in the Operating Agreement and which are also made available to JCI, are described in more detail in the Prior Form 8-K.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Agreements with Legrand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or after Closing, Accelsius expects to enter into several agreements with Legrand, including a reseller agreement, private label agreement, joint development agreement, supply agreement, and contract manufacturer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2026</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92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2026-01-12T08:27:00Z</dcterms:created>
  <dcterms:modified xsi:type="dcterms:W3CDTF">2026-01-12T08:27:00Z</dcterms:modified>
</cp:coreProperties>
</file>