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the Post-Effective Amendment to the Registration Statement on Form S-1 (Registration No. 333-282971) and is being filed to update, amend and supplement the information included in the Prospectus with information contained in our Current Report on Form 8-K which was filed with the SEC on July 1,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July 1, 2025, the closing price of our Common Stock was $4.76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2, 2025.</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6" w:lineRule="exact"/>
        <w:rPr>
          <w:sz w:val="20"/>
          <w:szCs w:val="20"/>
          <w:color w:val="auto"/>
        </w:rPr>
      </w:pPr>
    </w:p>
    <w:tbl>
      <w:tblPr>
        <w:tblLayout w:type="fixed"/>
        <w:tblInd w:w="1060" w:type="dxa"/>
        <w:tblCellMar>
          <w:top w:w="0" w:type="dxa"/>
          <w:left w:w="0" w:type="dxa"/>
          <w:bottom w:w="0" w:type="dxa"/>
          <w:right w:w="0" w:type="dxa"/>
        </w:tblCellMar>
      </w:tblPr>
      <w:tr>
        <w:trPr>
          <w:trHeight w:val="227"/>
        </w:trPr>
        <w:tc>
          <w:tcPr>
            <w:tcW w:w="214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8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001-42303</w:t>
            </w: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176"/>
        </w:trPr>
        <w:tc>
          <w:tcPr>
            <w:tcW w:w="214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21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spacing w:after="0"/>
              <w:rPr>
                <w:sz w:val="17"/>
                <w:szCs w:val="17"/>
                <w:color w:val="auto"/>
              </w:rPr>
            </w:pP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2140" w:type="dxa"/>
            <w:vAlign w:val="bottom"/>
          </w:tcPr>
          <w:p>
            <w:pPr>
              <w:spacing w:after="0"/>
              <w:rPr>
                <w:sz w:val="22"/>
                <w:szCs w:val="22"/>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1720" w:type="dxa"/>
            <w:vAlign w:val="bottom"/>
          </w:tcPr>
          <w:p>
            <w:pPr>
              <w:spacing w:after="0"/>
              <w:rPr>
                <w:sz w:val="22"/>
                <w:szCs w:val="22"/>
                <w:color w:val="auto"/>
              </w:rPr>
            </w:pPr>
          </w:p>
        </w:tc>
      </w:tr>
      <w:tr>
        <w:trPr>
          <w:trHeight w:val="238"/>
        </w:trPr>
        <w:tc>
          <w:tcPr>
            <w:tcW w:w="2140" w:type="dxa"/>
            <w:vAlign w:val="bottom"/>
          </w:tcPr>
          <w:p>
            <w:pPr>
              <w:spacing w:after="0"/>
              <w:rPr>
                <w:sz w:val="20"/>
                <w:szCs w:val="20"/>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Orlando, Florida 32827</w:t>
            </w:r>
          </w:p>
        </w:tc>
        <w:tc>
          <w:tcPr>
            <w:tcW w:w="1720" w:type="dxa"/>
            <w:vAlign w:val="bottom"/>
          </w:tcPr>
          <w:p>
            <w:pPr>
              <w:spacing w:after="0"/>
              <w:rPr>
                <w:sz w:val="20"/>
                <w:szCs w:val="20"/>
                <w:color w:val="auto"/>
              </w:rPr>
            </w:pPr>
          </w:p>
        </w:tc>
      </w:tr>
      <w:tr>
        <w:trPr>
          <w:trHeight w:val="220"/>
        </w:trPr>
        <w:tc>
          <w:tcPr>
            <w:tcW w:w="2140" w:type="dxa"/>
            <w:vAlign w:val="bottom"/>
          </w:tcPr>
          <w:p>
            <w:pPr>
              <w:spacing w:after="0"/>
              <w:rPr>
                <w:sz w:val="19"/>
                <w:szCs w:val="19"/>
                <w:color w:val="auto"/>
              </w:rPr>
            </w:pPr>
          </w:p>
        </w:tc>
        <w:tc>
          <w:tcPr>
            <w:tcW w:w="49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1720" w:type="dxa"/>
            <w:vAlign w:val="bottom"/>
          </w:tcPr>
          <w:p>
            <w:pPr>
              <w:spacing w:after="0"/>
              <w:rPr>
                <w:sz w:val="19"/>
                <w:szCs w:val="19"/>
                <w:color w:val="auto"/>
              </w:rPr>
            </w:pPr>
          </w:p>
        </w:tc>
      </w:tr>
      <w:tr>
        <w:trPr>
          <w:trHeight w:val="280"/>
        </w:trPr>
        <w:tc>
          <w:tcPr>
            <w:tcW w:w="2140" w:type="dxa"/>
            <w:vAlign w:val="bottom"/>
          </w:tcPr>
          <w:p>
            <w:pPr>
              <w:spacing w:after="0"/>
              <w:rPr>
                <w:sz w:val="24"/>
                <w:szCs w:val="24"/>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(321) 209-6787</w:t>
            </w:r>
          </w:p>
        </w:tc>
        <w:tc>
          <w:tcPr>
            <w:tcW w:w="172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20" w:type="dxa"/>
            <w:vAlign w:val="bottom"/>
          </w:tcPr>
          <w:p>
            <w:pPr>
              <w:spacing w:after="0"/>
              <w:rPr>
                <w:sz w:val="19"/>
                <w:szCs w:val="19"/>
                <w:color w:val="auto"/>
              </w:rPr>
            </w:pPr>
          </w:p>
        </w:tc>
      </w:tr>
      <w:tr>
        <w:trPr>
          <w:trHeight w:val="431"/>
        </w:trPr>
        <w:tc>
          <w:tcPr>
            <w:tcW w:w="2140" w:type="dxa"/>
            <w:vAlign w:val="bottom"/>
          </w:tcPr>
          <w:p>
            <w:pPr>
              <w:spacing w:after="0"/>
              <w:rPr>
                <w:sz w:val="24"/>
                <w:szCs w:val="24"/>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N/A</w:t>
            </w:r>
          </w:p>
        </w:tc>
        <w:tc>
          <w:tcPr>
            <w:tcW w:w="172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13" w:lineRule="exact"/>
        <w:rPr>
          <w:sz w:val="20"/>
          <w:szCs w:val="20"/>
          <w:color w:val="auto"/>
        </w:rPr>
      </w:pPr>
    </w:p>
    <w:p>
      <w:pPr>
        <w:ind w:left="700" w:hanging="658"/>
        <w:spacing w:after="0"/>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0" w:lineRule="exact"/>
        <w:rPr>
          <w:rFonts w:ascii="MS PGothic" w:cs="MS PGothic" w:eastAsia="MS PGothic" w:hAnsi="MS PGothic"/>
          <w:sz w:val="20"/>
          <w:szCs w:val="20"/>
          <w:color w:val="auto"/>
        </w:rPr>
      </w:pPr>
    </w:p>
    <w:p>
      <w:pPr>
        <w:ind w:left="700" w:hanging="658"/>
        <w:spacing w:after="0"/>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0" w:lineRule="exact"/>
        <w:rPr>
          <w:rFonts w:ascii="MS PGothic" w:cs="MS PGothic" w:eastAsia="MS PGothic" w:hAnsi="MS PGothic"/>
          <w:sz w:val="20"/>
          <w:szCs w:val="20"/>
          <w:color w:val="auto"/>
        </w:rPr>
      </w:pPr>
    </w:p>
    <w:p>
      <w:pPr>
        <w:ind w:left="700" w:hanging="658"/>
        <w:spacing w:after="0"/>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0" w:lineRule="exact"/>
        <w:rPr>
          <w:rFonts w:ascii="MS PGothic" w:cs="MS PGothic" w:eastAsia="MS PGothic" w:hAnsi="MS PGothic"/>
          <w:sz w:val="20"/>
          <w:szCs w:val="20"/>
          <w:color w:val="auto"/>
        </w:rPr>
      </w:pPr>
    </w:p>
    <w:p>
      <w:pPr>
        <w:ind w:left="700" w:hanging="658"/>
        <w:spacing w:after="0"/>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r>
      <w:tr>
        <w:trPr>
          <w:trHeight w:val="237"/>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INV</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ind w:left="20"/>
        <w:spacing w:after="0" w:line="207" w:lineRule="exact"/>
        <w:tabs>
          <w:tab w:leader="none" w:pos="27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07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From June 27, 2025 through July 1, 2025, Accelsius Holdings LLC (“Accelsius”), a controlled subsidiary of Innventure, Inc., a Delaware corporation (the “Company”), issued convertible unsecured promissory notes in an aggregate principal amount of $13,000,000 with an option to issue additional convertible unsecured promissory notes in an aggregate principal amount of $2,000,000, subject to certain conditions.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Accelsius issued convertible unsecured promissory notes (collectively, the “Term Convertible Notes”) in an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$12,000,000 to certain investors, including WE-Inn LLC and Ascent Accelsius, A Series of Ascent X Innventure, LP, each of which is considered to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(as defined in the Company’s Related Party Transactions Policy) (collectively, the “Investors”). The Term Convertible Notes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at the discretion of the Investors, into Series A Units of Accelsius on or after January 2, 2026 and at a price per unit equal to $12.175, bear</w:t>
      </w:r>
    </w:p>
    <w:p>
      <w:pPr>
        <w:spacing w:after="0" w:line="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interest at the applicable federal rate and mature on December 31, 2026. Accelsius will apply the proceeds from the issuance of the Term Convertible Notes to repay (the “Repayment”) borrowings under that certain Loan and Security Agreement between Innventure LLC and Accelsius, dated as of March 30, 2023 (as amended to date, the “Innventure Convertible Line of Credit”). As a result of the Repayment, the Company’s indirect beneficial holdings, through Innventure LLC, of Accelsius may be reduced in the event that the Term Convertible Notes are converted into Series A Units of Accelsius.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Accelsius also sold a convertible unsecured promissory note (the “Bridge Convertible Note”) in an aggregate principal amount of $1,000,000 to Joshua Claman, Chief Executive Officer of Accelsius. An additional $2,000,000 in aggregate principal amount of Bridge Convertible Notes is issuable in $1,000,000 increments, upon the request of Accelsius and subject to Mr. Claman’s sole discretion. The Bridge Convertible Notes are convertible into equity of Accelsius (including preferred equity at a discount if certain conditions are met), bear interest at a rate of 15% per annum, and mature on December 31, 2025.</w:t>
      </w:r>
    </w:p>
    <w:p>
      <w:pPr>
        <w:spacing w:after="0" w:line="18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Additionally, the Company, Innventure LLC, and Accelsius entered into a letter agreement (the “Letter Agreement”) with Mr. Claman pursuant to which Innventure LLC will not seek repayment of any portion of that Innventure Convertible Line of Credit other than the repayment of up to $12,000,000 that is anticipated to be made immediately following the issuance by Accelsius of the Term Convertible Notes, while any Bridge Convertible Notes remain outstanding.</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Bridge Convertible Notes and the Term Convertible Notes contain customary representations, warranties, and other agreements by Accelsius and, in the case of the Term Convertible Notes, the Investors. Each of WTI Fund X, Inc. and WTI Fund XI, Inc. (the “WTI Lenders”) and YA II PN, Ltd (“Yorkville”) have been granted certain rights under the Bridge Convertible Notes and the Term Convertible Notes, including with respect to restrictions on payment of the Bridge Convertible Notes and the Term Convertible Notes prior to the repayment of certain of the WTI Lenders’ and Yorkville’s existing indebtedness.</w:t>
      </w:r>
    </w:p>
    <w:p>
      <w:pPr>
        <w:spacing w:after="0" w:line="183"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Term Convertible Notes, the Letter Agreement and the Bridge Convertible Notes are qualified in their entirety by reference to the text of the Term Convertible Notes, the Letter Agreement and the Bridge Convertible Notes, forms of which are included as Exhibit 10.1, Exhibit 10.2 and Exhibit 10.3, respectively, and are incorporated herein by reference.</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in December 2024, the Compensation Committee of the Board of Directors of Innventure, Inc. (the “Company”) approved a grant of 150,000 appreciation rights (“SARs”) to each of Mike Otworth (the Company’s Executive Chairman) and Dr. John Scott (the Company’s Chief Strategy Officer). The SARs represent the right of the officer to receive a number of shares of the common stock of the Company (“Common Stock”) with a value equal to the appreciation in the value of a Class A Common Unit of Accelsius Holdings LLC over a base price of $12.175 (the “Spread”). In general, the SARs will be automatically exercised</w:t>
      </w:r>
    </w:p>
    <w:p>
      <w:pPr>
        <w:sectPr>
          <w:pgSz w:w="11900" w:h="16838" w:orient="portrait"/>
          <w:cols w:equalWidth="0" w:num="1">
            <w:col w:w="11240"/>
          </w:cols>
          <w:pgMar w:left="320" w:top="1413" w:right="339" w:bottom="1440" w:gutter="0" w:footer="0" w:header="0"/>
        </w:sectPr>
      </w:pPr>
    </w:p>
    <w:bookmarkStart w:id="3" w:name="page4"/>
    <w:bookmarkEnd w:id="3"/>
    <w:p>
      <w:pPr>
        <w:ind w:right="600"/>
        <w:spacing w:after="0" w:line="282" w:lineRule="auto"/>
        <w:rPr>
          <w:sz w:val="20"/>
          <w:szCs w:val="20"/>
          <w:color w:val="auto"/>
        </w:rPr>
      </w:pPr>
      <w:r>
        <w:rPr>
          <w:rFonts w:ascii="Times New Roman" w:cs="Times New Roman" w:eastAsia="Times New Roman" w:hAnsi="Times New Roman"/>
          <w:sz w:val="18"/>
          <w:szCs w:val="18"/>
          <w:color w:val="auto"/>
        </w:rPr>
        <w:t>upon the earliest to occur of: (a) the 24-month anniversary of the grant date, (b) the officer’s death, or (c) the officer’s “disability” (as defined in the applicable award agreement).</w:t>
      </w:r>
    </w:p>
    <w:p>
      <w:pPr>
        <w:spacing w:after="0" w:line="162"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On June 25, 2025, each of Mr. Otworth and Dr. Scott entered into an amendment to his SAR award (each, a “SAR Amendment”) to (1) clarify that any payment by the Company to the applicable officer with respect to the SARs will be made in the form of shares of Common Stock and (2) to provide that the maximum number of shares of Common Stock that may be issued pursuant to each officer’s SAR award is 1,875,000 (the “Share Cap”). Under the SAR Amendment, the Company will not be required to pay either officer any amount in excess of the Share Cap (in the form of either equity or cash), even if the value of the number of shares of Common Stock issued in settlement of the SARs is less than the aggregate Spread as a result of the Share Cap.</w:t>
      </w:r>
    </w:p>
    <w:p>
      <w:pPr>
        <w:spacing w:after="0" w:line="16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SAR Amendment is qualified in its entirety by reference to the text of the SAR Amendment, a form of which is included as Exhibit 10.4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June 25, 2025, the Company held its Annual Meeting of Stockholders (the “2025 Annual Meeting”). At the close of business on April 28, 2025, the record date for the 2025 Annual Meeting, there were (i) 53,487,294 shares of Common Stock issued and outstanding, each share entitled to one vote, (ii) 239,159 shares of Series B Preferred Stock, par value of $0.0001 per share (the “Series B Preferred Stock”), issued and outstanding, each share of Series B Preferred Stock entitled to 0.97 votes, and (iii) 575,000 shares of Series C Preferred Stock, par value $0.0001 per share (the “Series C Preferred Stock”), issued and outstanding, each share of Series C Preferred Stock entitled to 1.3 votes, constituting all outstanding voting securities of the Company entitled to vote at the 2025 Annual Meeting.</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At the 2025 Annual Meeting, the holders of shares of the Company’s Common Stock, Series B Preferred Stock, and Series C Preferred Stock, representing 35,999,645 votes in aggregate, were present in person or by proxy, constituting a quorum. A description of each matter voted upon at the 2025 Annual Meeting is described in detail in the Company’s Definitive Proxy Statement on Schedule 14A, as filed with the U.S. Securities and Exchange Commission on May 9, 2025. The final votes on the proposals presented at the 2025 Annual Meeting are set forth below.</w:t>
      </w:r>
    </w:p>
    <w:p>
      <w:pPr>
        <w:spacing w:after="0" w:line="176" w:lineRule="exact"/>
        <w:rPr>
          <w:sz w:val="20"/>
          <w:szCs w:val="20"/>
          <w:color w:val="auto"/>
        </w:rPr>
      </w:pPr>
    </w:p>
    <w:p>
      <w:pPr>
        <w:jc w:val="both"/>
        <w:ind w:right="160"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color w:val="auto"/>
        </w:rPr>
        <w:t>: To elect three nominees to serve as Class I directors for a three-year term expiring at the 2028 annual meeting of stockholders.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nominees listed below has been elected to serve as a Class I director on the Company’s board of directors for a three-year term expiring at the 2028 annual meeting of stockholders or until their respective successors are elected and qualify. The voting results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Gregory W. Haskell</w:t>
            </w:r>
          </w:p>
        </w:tc>
        <w:tc>
          <w:tcPr>
            <w:tcW w:w="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31,153,355</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3,222,706</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1,623,584</w:t>
            </w:r>
          </w:p>
        </w:tc>
      </w:tr>
      <w:tr>
        <w:trPr>
          <w:trHeight w:val="252"/>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Daniel J. Hennessy</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31,147,269</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3,228,792</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1,623,584</w:t>
            </w:r>
          </w:p>
        </w:tc>
      </w:tr>
      <w:tr>
        <w:trPr>
          <w:trHeight w:val="257"/>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Michael Amalfitano</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31,838,348</w:t>
            </w:r>
          </w:p>
        </w:tc>
        <w:tc>
          <w:tcPr>
            <w:tcW w:w="10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2,537,713</w:t>
            </w:r>
          </w:p>
        </w:tc>
        <w:tc>
          <w:tcPr>
            <w:tcW w:w="10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1,623,584</w:t>
            </w:r>
          </w:p>
        </w:tc>
      </w:tr>
    </w:tbl>
    <w:p>
      <w:pPr>
        <w:spacing w:after="0" w:line="315"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color w:val="auto"/>
        </w:rPr>
        <w:t>: To ratify the appointment of BDO USA, P.C. as the Company’s independent registered public accounting firm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2025. The ratification was approved by vote of stockholders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35,636,797</w:t>
            </w:r>
          </w:p>
        </w:tc>
        <w:tc>
          <w:tcPr>
            <w:tcW w:w="80" w:type="dxa"/>
            <w:vAlign w:val="bottom"/>
          </w:tcPr>
          <w:p>
            <w:pPr>
              <w:spacing w:after="0"/>
              <w:rPr>
                <w:sz w:val="19"/>
                <w:szCs w:val="19"/>
                <w:color w:val="auto"/>
              </w:rPr>
            </w:pPr>
          </w:p>
        </w:tc>
        <w:tc>
          <w:tcPr>
            <w:tcW w:w="27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223,622</w:t>
            </w:r>
          </w:p>
        </w:tc>
        <w:tc>
          <w:tcPr>
            <w:tcW w:w="100" w:type="dxa"/>
            <w:vAlign w:val="bottom"/>
          </w:tcPr>
          <w:p>
            <w:pPr>
              <w:spacing w:after="0"/>
              <w:rPr>
                <w:sz w:val="19"/>
                <w:szCs w:val="19"/>
                <w:color w:val="auto"/>
              </w:rPr>
            </w:pPr>
          </w:p>
        </w:tc>
        <w:tc>
          <w:tcPr>
            <w:tcW w:w="27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139,226</w:t>
            </w:r>
          </w:p>
        </w:tc>
        <w:tc>
          <w:tcPr>
            <w:tcW w:w="100" w:type="dxa"/>
            <w:vAlign w:val="bottom"/>
          </w:tcPr>
          <w:p>
            <w:pPr>
              <w:spacing w:after="0"/>
              <w:rPr>
                <w:sz w:val="19"/>
                <w:szCs w:val="19"/>
                <w:color w:val="auto"/>
              </w:rPr>
            </w:pPr>
          </w:p>
        </w:tc>
        <w:tc>
          <w:tcPr>
            <w:tcW w:w="27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bl>
    <w:p>
      <w:pPr>
        <w:spacing w:after="0" w:line="297"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3</w:t>
      </w:r>
      <w:r>
        <w:rPr>
          <w:rFonts w:ascii="Times New Roman" w:cs="Times New Roman" w:eastAsia="Times New Roman" w:hAnsi="Times New Roman"/>
          <w:sz w:val="18"/>
          <w:szCs w:val="18"/>
          <w:color w:val="auto"/>
        </w:rPr>
        <w:t>: To approve, for purposes of complying with Nasdaq Listing Rule 5635(d), the issuance of 20% or more of the Company’s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Common Stock as of October 2, 2024, pursuant to the Standby</w:t>
      </w:r>
    </w:p>
    <w:p>
      <w:pPr>
        <w:sectPr>
          <w:pgSz w:w="11900" w:h="16838" w:orient="portrait"/>
          <w:cols w:equalWidth="0" w:num="1">
            <w:col w:w="11240"/>
          </w:cols>
          <w:pgMar w:left="320" w:top="14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Equity Purchase Agreement with YA II PN, Ltd. (“Yorkville”). Proposal 3 was approved by vote of stockholders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32,930,848</w:t>
            </w:r>
          </w:p>
        </w:tc>
        <w:tc>
          <w:tcPr>
            <w:tcW w:w="80" w:type="dxa"/>
            <w:vAlign w:val="bottom"/>
          </w:tcPr>
          <w:p>
            <w:pPr>
              <w:spacing w:after="0"/>
              <w:rPr>
                <w:sz w:val="19"/>
                <w:szCs w:val="19"/>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1,236,199</w:t>
            </w:r>
          </w:p>
        </w:tc>
        <w:tc>
          <w:tcPr>
            <w:tcW w:w="100" w:type="dxa"/>
            <w:vAlign w:val="bottom"/>
          </w:tcPr>
          <w:p>
            <w:pPr>
              <w:spacing w:after="0"/>
              <w:rPr>
                <w:sz w:val="19"/>
                <w:szCs w:val="19"/>
                <w:color w:val="auto"/>
              </w:rPr>
            </w:pPr>
          </w:p>
        </w:tc>
        <w:tc>
          <w:tcPr>
            <w:tcW w:w="27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209,014</w:t>
            </w:r>
          </w:p>
        </w:tc>
        <w:tc>
          <w:tcPr>
            <w:tcW w:w="100" w:type="dxa"/>
            <w:vAlign w:val="bottom"/>
          </w:tcPr>
          <w:p>
            <w:pPr>
              <w:spacing w:after="0"/>
              <w:rPr>
                <w:sz w:val="19"/>
                <w:szCs w:val="19"/>
                <w:color w:val="auto"/>
              </w:rPr>
            </w:pPr>
          </w:p>
        </w:tc>
        <w:tc>
          <w:tcPr>
            <w:tcW w:w="27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1,623,584</w:t>
            </w:r>
          </w:p>
        </w:tc>
      </w:tr>
    </w:tbl>
    <w:p>
      <w:pPr>
        <w:spacing w:after="0" w:line="310"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Proposal 4</w:t>
      </w:r>
      <w:r>
        <w:rPr>
          <w:rFonts w:ascii="Times New Roman" w:cs="Times New Roman" w:eastAsia="Times New Roman" w:hAnsi="Times New Roman"/>
          <w:sz w:val="18"/>
          <w:szCs w:val="18"/>
          <w:color w:val="auto"/>
        </w:rPr>
        <w:t>: To approve, for purposes of complying with Nasdaq Listing Rule 5635(d), the issuance of 20% or more of the Company’s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Common Stock as of March 25, 2025, pursuant to the convertible debentures, convertible into shares of Common Stock subject to certain conditions and limitations, in the aggregate principal amount of up to $30.0 million, with Yorkville. Proposal 4 was approved by vote of stockholders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33,231,820</w:t>
            </w:r>
          </w:p>
        </w:tc>
        <w:tc>
          <w:tcPr>
            <w:tcW w:w="80" w:type="dxa"/>
            <w:vAlign w:val="bottom"/>
          </w:tcPr>
          <w:p>
            <w:pPr>
              <w:spacing w:after="0"/>
              <w:rPr>
                <w:sz w:val="19"/>
                <w:szCs w:val="19"/>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1,144,220</w:t>
            </w:r>
          </w:p>
        </w:tc>
        <w:tc>
          <w:tcPr>
            <w:tcW w:w="100" w:type="dxa"/>
            <w:vAlign w:val="bottom"/>
          </w:tcPr>
          <w:p>
            <w:pPr>
              <w:spacing w:after="0"/>
              <w:rPr>
                <w:sz w:val="19"/>
                <w:szCs w:val="19"/>
                <w:color w:val="auto"/>
              </w:rPr>
            </w:pPr>
          </w:p>
        </w:tc>
        <w:tc>
          <w:tcPr>
            <w:tcW w:w="274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7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1,623,584</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9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23"/>
        </w:trPr>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3">
              <w:r>
                <w:rPr>
                  <w:rFonts w:ascii="Times New Roman" w:cs="Times New Roman" w:eastAsia="Times New Roman" w:hAnsi="Times New Roman"/>
                  <w:sz w:val="18"/>
                  <w:szCs w:val="18"/>
                  <w:color w:val="0000FF"/>
                  <w:w w:val="98"/>
                </w:rPr>
                <w:t>Form of Term Convertible Note</w:t>
              </w:r>
            </w:hyperlink>
          </w:p>
        </w:tc>
        <w:tc>
          <w:tcPr>
            <w:tcW w:w="70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14">
              <w:r>
                <w:rPr>
                  <w:rFonts w:ascii="Times New Roman" w:cs="Times New Roman" w:eastAsia="Times New Roman" w:hAnsi="Times New Roman"/>
                  <w:sz w:val="18"/>
                  <w:szCs w:val="18"/>
                  <w:color w:val="0000FF"/>
                  <w:w w:val="98"/>
                </w:rPr>
                <w:t>The Letter Agreement</w:t>
              </w:r>
            </w:hyperlink>
          </w:p>
        </w:tc>
        <w:tc>
          <w:tcPr>
            <w:tcW w:w="77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5"/>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Form of Bridge Convertible Note</w:t>
              </w:r>
            </w:hyperlink>
          </w:p>
        </w:tc>
        <w:tc>
          <w:tcPr>
            <w:tcW w:w="0" w:type="dxa"/>
            <w:vAlign w:val="bottom"/>
          </w:tcPr>
          <w:p>
            <w:pPr>
              <w:spacing w:after="0"/>
              <w:rPr>
                <w:sz w:val="1"/>
                <w:szCs w:val="1"/>
                <w:color w:val="auto"/>
              </w:rPr>
            </w:pPr>
          </w:p>
        </w:tc>
      </w:tr>
      <w:tr>
        <w:trPr>
          <w:trHeight w:val="20"/>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8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5"/>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Form of Amendment to Stock Appreciation Right Award Agreement</w:t>
              </w:r>
            </w:hyperlink>
          </w:p>
        </w:tc>
        <w:tc>
          <w:tcPr>
            <w:tcW w:w="0" w:type="dxa"/>
            <w:vAlign w:val="bottom"/>
          </w:tcPr>
          <w:p>
            <w:pPr>
              <w:spacing w:after="0"/>
              <w:rPr>
                <w:sz w:val="1"/>
                <w:szCs w:val="1"/>
                <w:color w:val="auto"/>
              </w:rPr>
            </w:pPr>
          </w:p>
        </w:tc>
      </w:tr>
      <w:tr>
        <w:trPr>
          <w:trHeight w:val="291"/>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3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INNVENTURE, INC.</w:t>
            </w:r>
          </w:p>
        </w:tc>
        <w:tc>
          <w:tcPr>
            <w:tcW w:w="4160" w:type="dxa"/>
            <w:vAlign w:val="bottom"/>
          </w:tcPr>
          <w:p>
            <w:pPr>
              <w:spacing w:after="0"/>
              <w:rPr>
                <w:sz w:val="20"/>
                <w:szCs w:val="20"/>
                <w:color w:val="auto"/>
              </w:rPr>
            </w:pPr>
          </w:p>
        </w:tc>
      </w:tr>
      <w:tr>
        <w:trPr>
          <w:trHeight w:val="48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2025</w:t>
            </w:r>
          </w:p>
        </w:tc>
        <w:tc>
          <w:tcPr>
            <w:tcW w:w="39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r>
      <w:tr>
        <w:trPr>
          <w:trHeight w:val="27"/>
        </w:trPr>
        <w:tc>
          <w:tcPr>
            <w:tcW w:w="2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50"/>
        </w:trPr>
        <w:tc>
          <w:tcPr>
            <w:tcW w:w="2920" w:type="dxa"/>
            <w:vAlign w:val="bottom"/>
          </w:tcPr>
          <w:p>
            <w:pPr>
              <w:spacing w:after="0"/>
              <w:rPr>
                <w:sz w:val="21"/>
                <w:szCs w:val="21"/>
                <w:color w:val="auto"/>
              </w:rPr>
            </w:pPr>
          </w:p>
        </w:tc>
        <w:tc>
          <w:tcPr>
            <w:tcW w:w="39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r>
      <w:tr>
        <w:trPr>
          <w:trHeight w:val="284"/>
        </w:trPr>
        <w:tc>
          <w:tcPr>
            <w:tcW w:w="2920" w:type="dxa"/>
            <w:vAlign w:val="bottom"/>
          </w:tcPr>
          <w:p>
            <w:pPr>
              <w:spacing w:after="0"/>
              <w:rPr>
                <w:sz w:val="24"/>
                <w:szCs w:val="24"/>
                <w:color w:val="auto"/>
              </w:rPr>
            </w:pPr>
          </w:p>
        </w:tc>
        <w:tc>
          <w:tcPr>
            <w:tcW w:w="39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160"/>
      </w:cols>
      <w:pgMar w:left="320" w:top="141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s://www.sec.gov/Archives/edgar/data/2001557/000162828025033614/exhibit101.htm" TargetMode="External"/><Relationship Id="rId14" Type="http://schemas.openxmlformats.org/officeDocument/2006/relationships/hyperlink" Target="https://www.sec.gov/Archives/edgar/data/2001557/000162828025033614/exhibit102.htm" TargetMode="External"/><Relationship Id="rId15" Type="http://schemas.openxmlformats.org/officeDocument/2006/relationships/hyperlink" Target="https://www.sec.gov/Archives/edgar/data/2001557/000162828025033614/exhibit103.htm" TargetMode="External"/><Relationship Id="rId16" Type="http://schemas.openxmlformats.org/officeDocument/2006/relationships/hyperlink" Target="https://www.sec.gov/Archives/edgar/data/2001557/000162828025033614/exhibit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2025-07-02T15:48:13Z</dcterms:created>
  <dcterms:modified xsi:type="dcterms:W3CDTF">2025-07-02T15:48:13Z</dcterms:modified>
</cp:coreProperties>
</file>