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2164016.xml.htm"/>
      <w:bookmarkStart w:id="1" w:name="kswkform4_178216401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Williams Elizabeth Suzanne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6900 TAVISTOCK LAKES BLVD, SUITE 400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ORLANDO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32827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Innventure, Inc.</w:t>
              </w:r>
            </w:hyperlink>
            <w:r>
              <w:rPr/>
              <w:t xml:space="preserve"> [ </w:t>
            </w:r>
            <w:r>
              <w:rPr>
                <w:rFonts w:ascii="Times;serif" w:hAnsi="Times;serif"/>
                <w:color w:val="0000FF"/>
                <w:sz w:val="24"/>
                <w:shd w:fill="FFFFFF" w:val="clear"/>
              </w:rPr>
              <w:t>INV</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18,237</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51,116</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(RSUs) granted to the Reporting Person under the Innventure, Inc. 2024 Equity and Incentive Compensation Plan, and vesting on the earlier of (a) the first anniversary of the date of grant and (b) the next regularly scheduled annual meeting of stockholders of Innventure, Inc.</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Suzanne Niemeyer,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2919" TargetMode="External"/><Relationship Id="rId5" Type="http://schemas.openxmlformats.org/officeDocument/2006/relationships/hyperlink" Target="http://www.sec.gov/cgi-bin/browse-edgar?action=getcompany&amp;CIK=0002001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607</Words>
  <Characters>3312</Characters>
  <CharactersWithSpaces>3860</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