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30, 2026, Innventure, Inc. (the “Company”) issued a press release, attached hereto as Exhibit 99.1 and incorporated herein by reference, announcing the Company’s financial results for the fiscal year ended December 31, 2025, and certain other information.</w:t>
      </w:r>
    </w:p>
    <w:p>
      <w:pPr>
        <w:pStyle w:val="TextBody"/>
        <w:bidi w:val="0"/>
        <w:spacing w:before="0" w:after="0"/>
        <w:ind w:left="0" w:right="0" w:firstLine="720"/>
        <w:jc w:val="both"/>
        <w:rPr/>
      </w:pPr>
      <w:r>
        <w:rPr/>
      </w:r>
    </w:p>
    <w:p>
      <w:pPr>
        <w:pStyle w:val="TextBody"/>
        <w:bidi w:val="0"/>
        <w:spacing w:lineRule="auto" w:line="26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8" w:type="dxa"/>
        <w:jc w:val="left"/>
        <w:tblInd w:w="0" w:type="dxa"/>
        <w:tblLayout w:type="fixed"/>
        <w:tblCellMar>
          <w:top w:w="28" w:type="dxa"/>
          <w:left w:w="28" w:type="dxa"/>
          <w:bottom w:w="28" w:type="dxa"/>
          <w:right w:w="28" w:type="dxa"/>
        </w:tblCellMar>
      </w:tblPr>
      <w:tblGrid>
        <w:gridCol w:w="538"/>
        <w:gridCol w:w="472"/>
        <w:gridCol w:w="474"/>
        <w:gridCol w:w="1468"/>
        <w:gridCol w:w="1468"/>
        <w:gridCol w:w="208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innventure-4q25earningsrel.htm">
              <w:r>
                <w:rPr>
                  <w:rStyle w:val="InternetLink"/>
                  <w:rFonts w:ascii="Times New Roman;serif" w:hAnsi="Times New Roman;serif"/>
                  <w:b w:val="false"/>
                  <w:color w:val="000080"/>
                  <w:sz w:val="20"/>
                </w:rPr>
                <w:t>Press Release by Innventure, Inc. dated</w:t>
              </w:r>
            </w:hyperlink>
            <w:r>
              <w:rPr>
                <w:rFonts w:ascii="Times New Roman;serif" w:hAnsi="Times New Roman;serif"/>
                <w:b w:val="false"/>
                <w:color w:val="000000"/>
                <w:sz w:val="20"/>
              </w:rPr>
              <w:t xml:space="preserve"> March 30,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9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355"/>
        <w:gridCol w:w="355"/>
        <w:gridCol w:w="355"/>
        <w:gridCol w:w="587"/>
        <w:gridCol w:w="587"/>
        <w:gridCol w:w="8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Innventure Reports Fourth Quarter and Full Year 2025 Results</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Commercial inflection with &gt;$50 million in bookings in early 2026</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Operating companies advancing independent capital formation, materially reducing reliance on Innventure’s balance sheet</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Consolidated G&amp;A declined 61% in 4Q25 compared to 4Q24, reflecting sustained cost discipline since the public listing</w:t>
      </w:r>
    </w:p>
    <w:p>
      <w:pPr>
        <w:pStyle w:val="TextBody"/>
        <w:bidi w:val="0"/>
        <w:spacing w:before="0" w:after="0"/>
        <w:jc w:val="center"/>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ORLANDO, Fla. March 30, 2026 (GLOBE NEWSWIRE) – – Innventure, Inc. (NASDAQ: INV) (“Innventure”), an industrial growth conglomerate, today announced financial results for the quarter and year ended December 31,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The fourth quarter capped a successful 2025 for Innventure. More importantly, the early months of 2026 demonstrate Innventure is at a true commercial inflection point. Our operating companies are executing simultaneously, converting demand into bookings, raising capital independently, and materially reducing the capital intensity of the platform,” said Bill Haskell, Chief Executive Officer. “With Accelsius scaling toward cash</w:t>
        <w:noBreakHyphen/>
        <w:t>flow positivity this year, AeroFlexx entering anchor</w:t>
        <w:noBreakHyphen/>
        <w:t>customer adoption, and Refinity validating its technology at unprecedented speed, we are building a structurally self</w:t>
        <w:noBreakHyphen/>
        <w:t>funding growth company with an increasingly clear path to long</w:t>
        <w:noBreakHyphen/>
        <w:t xml:space="preserve">term value creation.”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 and Webcast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 conference call to discuss these results has been scheduled for 5:00 pm ET today, March 30,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event will be webcasted live via our investor relations website https://ir.innventure.com/ or via this link.</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Parties interested in joining via teleconference can register using this link https://register-conf.media-server.com/register/BIf0dd0a6c5eea4021a47778bef8f88c5c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After registering, you will be provided with dial in details and a unique dial-in PIN. Registration is open through the live call, but to ensure you are connected for the full call, we suggest registering in advance. </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Innventure will also post a slide presentation to accompany the prepared remarks to its investor relations website </w:t>
      </w:r>
      <w:r>
        <w:rPr>
          <w:rFonts w:ascii="sans-serif" w:hAnsi="sans-serif"/>
          <w:b/>
          <w:color w:val="467886"/>
          <w:sz w:val="22"/>
        </w:rPr>
        <w:t>https://ir.innventure.com/</w:t>
      </w:r>
      <w:r>
        <w:rPr>
          <w:color w:val="000000"/>
        </w:rPr>
        <w:t xml:space="preserve"> </w:t>
      </w:r>
      <w:r>
        <w:rPr>
          <w:rFonts w:ascii="sans-serif" w:hAnsi="sans-serif"/>
          <w:b w:val="false"/>
          <w:color w:val="000000"/>
          <w:sz w:val="22"/>
        </w:rPr>
        <w:t>shortly before the of the start of the event.</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Innventure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Non-GAAP Financial Measures</w:t>
      </w:r>
    </w:p>
    <w:p>
      <w:pPr>
        <w:pStyle w:val="TextBody"/>
        <w:bidi w:val="0"/>
        <w:spacing w:before="0" w:after="0"/>
        <w:jc w:val="left"/>
        <w:rPr/>
      </w:pPr>
      <w:r>
        <w:rPr/>
      </w:r>
    </w:p>
    <w:p>
      <w:pPr>
        <w:pStyle w:val="TextBody"/>
        <w:bidi w:val="0"/>
        <w:spacing w:lineRule="auto" w:line="288" w:before="120" w:after="120"/>
        <w:jc w:val="left"/>
        <w:rPr>
          <w:rFonts w:ascii="sans-serif" w:hAnsi="sans-serif"/>
          <w:b w:val="false"/>
          <w:color w:val="000000"/>
          <w:sz w:val="22"/>
        </w:rPr>
      </w:pPr>
      <w:r>
        <w:rPr>
          <w:rFonts w:ascii="sans-serif" w:hAnsi="sans-serif"/>
          <w:b w:val="false"/>
          <w:color w:val="000000"/>
          <w:sz w:val="22"/>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before="0" w:after="283"/>
        <w:jc w:val="left"/>
        <w:rPr/>
      </w:pPr>
      <w:r>
        <w:rPr/>
      </w:r>
    </w:p>
    <w:p>
      <w:pPr>
        <w:pStyle w:val="TextBody"/>
        <w:bidi w:val="0"/>
        <w:spacing w:before="0" w:after="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val="false"/>
          <w:color w:val="000000"/>
          <w:sz w:val="22"/>
        </w:rPr>
      </w:pPr>
      <w:r>
        <w:rPr>
          <w:rFonts w:ascii="sans-serif" w:hAnsi="sans-serif"/>
          <w:b w:val="false"/>
          <w:color w:val="000000"/>
          <w:sz w:val="22"/>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TextBody"/>
        <w:bidi w:val="0"/>
        <w:spacing w:before="0" w:after="0"/>
        <w:ind w:left="0" w:right="0" w:firstLine="720"/>
        <w:jc w:val="left"/>
        <w:rPr/>
      </w:pPr>
      <w:r>
        <w:rPr/>
      </w:r>
    </w:p>
    <w:p>
      <w:pPr>
        <w:pStyle w:val="TextBody"/>
        <w:bidi w:val="0"/>
        <w:spacing w:lineRule="auto" w:line="268" w:before="0" w:after="0"/>
        <w:jc w:val="left"/>
        <w:rPr>
          <w:rFonts w:ascii="sans-serif" w:hAnsi="sans-serif"/>
          <w:b/>
          <w:color w:val="000000"/>
          <w:sz w:val="22"/>
          <w:shd w:fill="FFFFFF" w:val="clear"/>
        </w:rPr>
      </w:pPr>
      <w:r>
        <w:rPr>
          <w:rFonts w:ascii="sans-serif" w:hAnsi="sans-serif"/>
          <w:b/>
          <w:color w:val="000000"/>
          <w:sz w:val="22"/>
          <w:shd w:fill="FFFFFF" w:val="clear"/>
        </w:rPr>
        <w:t xml:space="preserve">Cautionary Statement Regarding Forward-Looking Statements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Forward</w:t>
        <w:noBreakHyphen/>
        <w:t>looking statements speak only as of the date of this release, and Innventure undertakes no obligation to update them except as required by law.</w:t>
      </w:r>
    </w:p>
    <w:p>
      <w:pPr>
        <w:pStyle w:val="TextBody"/>
        <w:bidi w:val="0"/>
        <w:spacing w:before="0" w:after="283"/>
        <w:jc w:val="left"/>
        <w:rPr/>
      </w:pPr>
      <w:r>
        <w:rPr/>
      </w:r>
    </w:p>
    <w:p>
      <w:pPr>
        <w:pStyle w:val="TextBody"/>
        <w:bidi w:val="0"/>
        <w:spacing w:before="0" w:after="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sans-serif" w:hAnsi="sans-serif"/>
          <w:b/>
          <w:color w:val="000000"/>
          <w:sz w:val="22"/>
        </w:rPr>
        <w:t>Investor Relations Contact:</w:t>
      </w:r>
      <w:r>
        <w:rPr>
          <w:color w:val="000000"/>
        </w:rPr>
        <w:t xml:space="preserve"> </w:t>
      </w:r>
      <w:r>
        <w:rPr>
          <w:rFonts w:ascii="sans-serif" w:hAnsi="sans-serif"/>
          <w:b w:val="false"/>
          <w:color w:val="000000"/>
          <w:sz w:val="22"/>
        </w:rPr>
        <w:t xml:space="preserve">Kyle Nagarkar, Solebury Strategic Communications </w:t>
      </w:r>
    </w:p>
    <w:p>
      <w:pPr>
        <w:pStyle w:val="TextBody"/>
        <w:bidi w:val="0"/>
        <w:spacing w:lineRule="auto" w:line="268" w:before="0" w:after="0"/>
        <w:jc w:val="left"/>
        <w:rPr>
          <w:rFonts w:ascii="sans-serif" w:hAnsi="sans-serif"/>
          <w:b w:val="false"/>
          <w:color w:val="0563C1"/>
          <w:sz w:val="22"/>
        </w:rPr>
      </w:pPr>
      <w:r>
        <w:rPr>
          <w:rFonts w:ascii="sans-serif" w:hAnsi="sans-serif"/>
          <w:b w:val="false"/>
          <w:color w:val="0563C1"/>
          <w:sz w:val="22"/>
        </w:rPr>
        <w:t>investorrelations@innventure.com</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2"/>
        </w:rPr>
        <w:t xml:space="preserve">Media Contact: </w:t>
      </w:r>
      <w:r>
        <w:rPr>
          <w:rFonts w:ascii="sans-serif" w:hAnsi="sans-serif"/>
          <w:b w:val="false"/>
          <w:color w:val="000000"/>
          <w:sz w:val="22"/>
        </w:rPr>
        <w:t xml:space="preserve">Laurie Steinberg, Solebury Strategic Communications </w:t>
      </w:r>
    </w:p>
    <w:p>
      <w:pPr>
        <w:pStyle w:val="TextBody"/>
        <w:bidi w:val="0"/>
        <w:spacing w:lineRule="auto" w:line="268" w:before="0" w:after="0"/>
        <w:jc w:val="left"/>
        <w:rPr>
          <w:rFonts w:ascii="sans-serif" w:hAnsi="sans-serif"/>
          <w:b w:val="false"/>
          <w:color w:val="0563C1"/>
          <w:sz w:val="22"/>
        </w:rPr>
      </w:pPr>
      <w:r>
        <w:rPr>
          <w:rFonts w:ascii="sans-serif" w:hAnsi="sans-serif"/>
          <w:b w:val="false"/>
          <w:color w:val="0563C1"/>
          <w:sz w:val="22"/>
        </w:rPr>
        <w:t>press@innventure.com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Innventure, Inc. and Subsidiaries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Consolidated Balance Sheets</w: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1"/>
        <w:gridCol w:w="2331"/>
        <w:gridCol w:w="2367"/>
        <w:gridCol w:w="209"/>
        <w:gridCol w:w="802"/>
        <w:gridCol w:w="116"/>
        <w:gridCol w:w="109"/>
        <w:gridCol w:w="109"/>
        <w:gridCol w:w="109"/>
        <w:gridCol w:w="196"/>
        <w:gridCol w:w="751"/>
        <w:gridCol w:w="315"/>
      </w:tblGrid>
      <w:tr>
        <w:trPr/>
        <w:tc>
          <w:tcPr>
            <w:tcW w:w="279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Assets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Cash, cash equivalents and restricted cash</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60,449 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11,119 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Restricted cash</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receivable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283 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Due from related parties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11,840 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4,536 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Inventories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5,178 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Prepaid expenses and other current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3,170 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Current Assets</w:t>
            </w:r>
            <w:r>
              <w:rPr>
                <w:color w:val="000000"/>
              </w:rPr>
              <w:t xml:space="preserve">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83,154 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24,286 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Investments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28,741 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28,734 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Property, plant and equipment,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1,414 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Intangible assets,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160,537 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182,153 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Goodwill</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323,463 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667,936 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766 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Assets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905,289</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Liabilities and Stockholders' Equity</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payable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2,551 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3,248 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employee benefits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11,343 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9,273 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expenses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7,386 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2,478 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Contract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Related party notes payable - current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14,000 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 current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12,846 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625 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Term convertible note, current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Convertible note - related party, current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4,331 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 current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1,225 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Obligation to issue equity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4,158 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Warrant liability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34,023 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Income taxes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current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317 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Current Liabilities </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76,276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69,347</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net of current portion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13,654 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Earnout liability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3,890 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14,752 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Stock-based compensation liability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1,160 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net of current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12,375 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Deferred income taxes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13,848 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27,353 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355 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Liabilities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115,511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138,996</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Commitments and Contingencies (Note 19)</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Stockholders' Equity</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Preferred stock, $0.0001 par value, 25,000,000 shares authorized;</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B Preferred Stock, $0.0001 par value, 3,000,000 shares designated, 33,144 and 1,102,000 shares issued and outstanding as of December 31, 2025 and December 31, 2024, respectively.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C Preferred Stock, $0.0001 par value, 5,000,000 shares designated, 150,000 shares issued and outstanding as of December 31, 2025 and no shares issued and outstanding as of December 31, 2024.</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Common Stock, $0.0001 par value, 250,000,000 shares authorized, 67,743,847 and 44,597,154 shares issued and outstanding as of December 31, 2025 and December 31, 2024, respectively.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Additional paid-in capital</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577,070 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502,865 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other comprehensive gain (loss)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deficit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(371,603)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(78,262)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Innventure, Inc., Stockholders’ Equity</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204,214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425,516</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Non-controlling interest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279,462 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340,777 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Stockholders' Equity</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483,676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766,293</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Liabilities and Stockholder’s Equity</w:t>
            </w:r>
            <w:r>
              <w:rPr>
                <w:color w:val="000000"/>
              </w:rPr>
              <w:t xml:space="preserve">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905,289</w:t>
            </w:r>
            <w:r>
              <w:rPr>
                <w:color w:val="000000"/>
              </w:rPr>
              <w:t> </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 and Comprehensive Income (Loss)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1486"/>
        <w:gridCol w:w="1008"/>
        <w:gridCol w:w="1013"/>
        <w:gridCol w:w="450"/>
        <w:gridCol w:w="1129"/>
        <w:gridCol w:w="176"/>
        <w:gridCol w:w="109"/>
        <w:gridCol w:w="109"/>
        <w:gridCol w:w="109"/>
        <w:gridCol w:w="643"/>
        <w:gridCol w:w="1257"/>
        <w:gridCol w:w="262"/>
        <w:gridCol w:w="109"/>
        <w:gridCol w:w="109"/>
        <w:gridCol w:w="109"/>
        <w:gridCol w:w="416"/>
        <w:gridCol w:w="966"/>
        <w:gridCol w:w="745"/>
      </w:tblGrid>
      <w:tr>
        <w:trPr/>
        <w:tc>
          <w:tcPr>
            <w:tcW w:w="148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Predecessor</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January 1, 2024 through October 1, 2024</w:t>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Revenue</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2,056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456</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764</w:t>
            </w:r>
            <w:r>
              <w:rPr>
                <w:color w:val="000000"/>
              </w:rPr>
              <w:t>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Operating Expenses</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Cost of sales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3,752 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General and administrative</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66,710 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29,652 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26,608 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Sales and marketing</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4,178 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Research and development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5,978 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346,557 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Total Operating Expenses </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466,755</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40,753</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37,541</w:t>
            </w:r>
            <w:r>
              <w:rPr>
                <w:color w:val="000000"/>
              </w:rPr>
              <w:t>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Loss from Operations </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(464,699)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(40,297)</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(36,777)</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Non-operating (Expense) and Income</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(1,300)</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(loss) from investments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11,547 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 gain on investments - due to related parties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(20,946)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(478)</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(12,592)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893 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related party debt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conversion of promissory notes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(1,119)</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Write-off of loan commitment fee asset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(10,041)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Miscellaneous other expense</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Total Non-operating (Expense) Income </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(24,134)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(33,078)</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9,011 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Loss before Income Taxes</w:t>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(488,833)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(73,375)</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(27,766)</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expense (benefit)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(13,483)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(3,282)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w:t>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(475,350)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(70,093)</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(28,198)</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net loss attributable to</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Non-redeemable non-controlling interest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(182,033)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(8,339)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(11,762)</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Attributable to Innventure, Inc. Stockholders / Innventure LLC Unitholders </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(293,317)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(61,754)</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(16,436)</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loss per share</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weighted average common shares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54,420,978 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43,951,279 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301"/>
        <w:gridCol w:w="926"/>
        <w:gridCol w:w="928"/>
        <w:gridCol w:w="324"/>
        <w:gridCol w:w="1347"/>
        <w:gridCol w:w="167"/>
        <w:gridCol w:w="109"/>
        <w:gridCol w:w="109"/>
        <w:gridCol w:w="109"/>
        <w:gridCol w:w="429"/>
        <w:gridCol w:w="1590"/>
        <w:gridCol w:w="221"/>
        <w:gridCol w:w="109"/>
        <w:gridCol w:w="109"/>
        <w:gridCol w:w="109"/>
        <w:gridCol w:w="352"/>
        <w:gridCol w:w="1290"/>
        <w:gridCol w:w="676"/>
      </w:tblGrid>
      <w:tr>
        <w:trPr/>
        <w:tc>
          <w:tcPr>
            <w:tcW w:w="130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Predecessor</w:t>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January 1, 2024 through October 1, 2024</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Operating Activities</w:t>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(475,350)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(70,093)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(28,198)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Adjustments to reconcile net loss to net cash used in operating activities:</w:t>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27,872 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1,056 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income on debt securities - related party</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478 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 on investments - due to related parties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Write-off of loan commitment fee asset</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Non-cash interest expense on notes payable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on investments</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(11,547)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unpaid interest on note payable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(893)</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related party debt</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conversion of promissory notes</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1,119 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income taxes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432 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346,557 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costs, net</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Changes in operating assets and liabilities:</w:t>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receivable</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Prepaid expenses and other current assets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(11,676)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(1,353)</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Inventory</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(2,824)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payable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6,013 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employee benefits</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3,838 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expenses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674 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liability</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 payable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current liabilities</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Contract liabilities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Obligation to issue equity</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10,920 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assets</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676"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Patent installment payable</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Operating Activities </w:t>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(80,683)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(29,214)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(18,848)</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448"/>
        <w:gridCol w:w="912"/>
        <w:gridCol w:w="918"/>
        <w:gridCol w:w="334"/>
        <w:gridCol w:w="1143"/>
        <w:gridCol w:w="173"/>
        <w:gridCol w:w="203"/>
        <w:gridCol w:w="203"/>
        <w:gridCol w:w="109"/>
        <w:gridCol w:w="411"/>
        <w:gridCol w:w="1406"/>
        <w:gridCol w:w="213"/>
        <w:gridCol w:w="203"/>
        <w:gridCol w:w="203"/>
        <w:gridCol w:w="109"/>
        <w:gridCol w:w="344"/>
        <w:gridCol w:w="1258"/>
        <w:gridCol w:w="615"/>
      </w:tblGrid>
      <w:tr>
        <w:trPr/>
        <w:tc>
          <w:tcPr>
            <w:tcW w:w="144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Predecessor</w:t>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Year Ended December 31, 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October 2, 2024 through December 31, 2024</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January 1, 2024 through October 1, 2024</w:t>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Provided by Investing Activities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Investment in available-for-sale debt securities - equity method investee</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Investment in debt securities - equity method investee</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(7,400)</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Advances to equity method investee</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of property, plant and equipment</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(736)</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of intangible assets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of net assets, net of cash acquired, through business combination</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sale of investments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2,314 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withdrawn from trust as a result of business combination</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Provided by Investing Activities </w:t>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(4,125)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6,822</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(5,957)</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Provided by Financing Activities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equity, net of issuance costs</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13,122 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equity to non-controlling interest, net of issuance costs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71,377 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13,859 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convertible promissory note</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term convertible notes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debt securities, net of issuance costs</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Payment of debts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Distributions to Stockholders</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promissory notes to related parties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12,000 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Repayment of promissory note</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Cash Flows Provided by Financing Activities </w:t>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139,138</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33,466</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38,441</w:t>
            </w:r>
            <w:r>
              <w:rPr>
                <w:color w:val="000000"/>
              </w:rPr>
              <w:t>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Increase in Cash, Cash Equivalents and Restricted Cash</w:t>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11,074 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13,636 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Cash Equivalents and Restricted Cash Beginning of period</w:t>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2,575 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6"/>
              </w:rPr>
              <w:t>Cash, Cash Equivalents and Restricted Cash End of period</w:t>
            </w:r>
            <w:r>
              <w:rPr>
                <w:color w:val="000000"/>
              </w:rPr>
              <w:t xml:space="preserve"> </w:t>
            </w:r>
          </w:p>
        </w:tc>
        <w:tc>
          <w:tcPr>
            <w:tcW w:w="3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65,449 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6"/>
              </w:rPr>
              <w:t>16,211</w:t>
            </w:r>
            <w:r>
              <w:rPr>
                <w:color w:val="000000"/>
              </w:rPr>
              <w:t> </w:t>
            </w:r>
          </w:p>
        </w:tc>
        <w:tc>
          <w:tcPr>
            <w:tcW w:w="6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89"/>
        <w:gridCol w:w="1218"/>
        <w:gridCol w:w="1223"/>
        <w:gridCol w:w="469"/>
        <w:gridCol w:w="904"/>
        <w:gridCol w:w="245"/>
        <w:gridCol w:w="109"/>
        <w:gridCol w:w="109"/>
        <w:gridCol w:w="109"/>
        <w:gridCol w:w="536"/>
        <w:gridCol w:w="1185"/>
        <w:gridCol w:w="277"/>
        <w:gridCol w:w="109"/>
        <w:gridCol w:w="109"/>
        <w:gridCol w:w="109"/>
        <w:gridCol w:w="359"/>
        <w:gridCol w:w="1052"/>
        <w:gridCol w:w="694"/>
      </w:tblGrid>
      <w:tr>
        <w:trPr/>
        <w:tc>
          <w:tcPr>
            <w:tcW w:w="138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Predecessor</w:t>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October 2, 2024 through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January 1, 2024 through October 1, 2024</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Supplemental Cash Flow Information</w:t>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paid for interest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1,070 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Supplemental Disclosure of Noncash Financing Information</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Accretion of redeemable units to redemption value</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11,950 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units to non-controlling interest in exchange of convertible promissory notes</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7,324 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Conversion of working capital loans to equity method investees into investments in debt securities - related party</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2,600 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Transfer of liability warrants to equity warrants in the Business Combination</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Initial recognition of loan commitment fee</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16,190 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Transfer of loan commitment fee asset</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6,694 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Innventure,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70"/>
        <w:gridCol w:w="421"/>
        <w:gridCol w:w="429"/>
        <w:gridCol w:w="258"/>
        <w:gridCol w:w="1115"/>
        <w:gridCol w:w="124"/>
        <w:gridCol w:w="203"/>
        <w:gridCol w:w="203"/>
        <w:gridCol w:w="109"/>
        <w:gridCol w:w="677"/>
        <w:gridCol w:w="562"/>
        <w:gridCol w:w="563"/>
        <w:gridCol w:w="203"/>
        <w:gridCol w:w="203"/>
        <w:gridCol w:w="109"/>
        <w:gridCol w:w="640"/>
        <w:gridCol w:w="640"/>
        <w:gridCol w:w="642"/>
        <w:gridCol w:w="109"/>
        <w:gridCol w:w="109"/>
        <w:gridCol w:w="109"/>
        <w:gridCol w:w="591"/>
        <w:gridCol w:w="458"/>
        <w:gridCol w:w="658"/>
      </w:tblGrid>
      <w:tr>
        <w:trPr/>
        <w:tc>
          <w:tcPr>
            <w:tcW w:w="107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color w:val="000000"/>
                <w:sz w:val="20"/>
              </w:rPr>
              <w:t xml:space="preserve">Successor </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color w:val="000000"/>
                <w:sz w:val="20"/>
              </w:rPr>
              <w:t xml:space="preserve">Predecessor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S/P Combined (Non-GAAP)</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December 31, 2025</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Period from October 2, 2024 through December 31, 2024</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Period from January 1, 2024 through 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 thousands)</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(475,350)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(70,093)</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(28,198)</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(98,291)</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Interest expense, net</w:t>
            </w:r>
            <w:r>
              <w:rPr>
                <w:rFonts w:ascii="sans-serif" w:hAnsi="sans-serif"/>
                <w:b w:val="false"/>
                <w:color w:val="000000"/>
                <w:sz w:val="13"/>
              </w:rPr>
              <w:t>(1)</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12,473 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5,455 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5,601 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(3,282)</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(2,850)</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w:t>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(456,649)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(56,747)</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(26,320)</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(83,067)</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Transaction and other related costs</w:t>
            </w:r>
            <w:r>
              <w:rPr>
                <w:rFonts w:ascii="sans-serif" w:hAnsi="sans-serif"/>
                <w:b w:val="false"/>
                <w:color w:val="000000"/>
                <w:sz w:val="13"/>
              </w:rPr>
              <w:t>(2)</w:t>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2,309 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9,414 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Change in fair value of financial liabilities</w:t>
            </w:r>
            <w:r>
              <w:rPr>
                <w:rFonts w:ascii="sans-serif" w:hAnsi="sans-serif"/>
                <w:b w:val="false"/>
                <w:color w:val="000000"/>
                <w:sz w:val="13"/>
              </w:rPr>
              <w:t>(3)</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20,946 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21,424 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Stock-based compensation</w:t>
            </w:r>
            <w:r>
              <w:rPr>
                <w:rFonts w:ascii="sans-serif" w:hAnsi="sans-serif"/>
                <w:b w:val="false"/>
                <w:color w:val="000000"/>
                <w:sz w:val="13"/>
              </w:rPr>
              <w:t>(4)</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16,338 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17,394 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Goodwill impairment</w:t>
            </w:r>
            <w:r>
              <w:rPr>
                <w:rFonts w:ascii="sans-serif" w:hAnsi="sans-serif"/>
                <w:b w:val="false"/>
                <w:color w:val="000000"/>
                <w:sz w:val="13"/>
              </w:rPr>
              <w:t>(5)</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346,557 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debt</w:t>
            </w:r>
            <w:r>
              <w:rPr>
                <w:rFonts w:ascii="sans-serif" w:hAnsi="sans-serif"/>
                <w:b w:val="false"/>
                <w:color w:val="000000"/>
                <w:sz w:val="13"/>
              </w:rPr>
              <w:t>(6)</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related party debt</w:t>
            </w:r>
            <w:r>
              <w:rPr>
                <w:rFonts w:ascii="sans-serif" w:hAnsi="sans-serif"/>
                <w:b w:val="false"/>
                <w:color w:val="000000"/>
                <w:sz w:val="13"/>
              </w:rPr>
              <w:t>(7)</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3,538,000 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conversion of promissory notes</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13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(78,764)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(17,154)</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(14,253)</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(31,407)</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 xml:space="preserve">(1) Interest expense, net – For the year ended December 31, 2025 and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additional funds under the second and third tranches of the WTI Facility. When it became known that we would not be able to draw on these subsequent tranches based on certain metrics contained within the WTI Facility, we immediately wrote this asset off. </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 xml:space="preserve">(2) Transaction and other related costs – For the combined twelve months ended December 31, 2024 </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this is comprised entirely of consulting, legal, and other professional fees related to the Business Combination.</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(3) Change in fair value of financial liabilities – For the December 31, 2025, the change in fair value of financial liabilities primarily consists of the change in fair value of the warrant liability, the earnout liability and the embedded derivatives in various instruments. For the year ended December 31, 2024, this is comprised entirely of the change in fair value of the embedded derivative associated with the convertible notes.</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(4) Stock based compensation – For the December 31, 2025,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year ended December 31 2024, stock-based compensation was comprised wholly of share-based payment employee incentive plans in existence at Innventure LLC and other subsidiaries.</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(5) Goodwill impairment - For the year ended December 31, 2025,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 xml:space="preserve">(6) Loss on extinguishment of debt - For the December 31, 2025, the Company modified the WTI Facility, and such modification was accounted for as a debt extinguishment while no debt was repaid. </w:t>
      </w:r>
    </w:p>
    <w:p>
      <w:pPr>
        <w:pStyle w:val="TextBody"/>
        <w:bidi w:val="0"/>
        <w:spacing w:lineRule="auto" w:line="288"/>
        <w:jc w:val="both"/>
        <w:rPr>
          <w:rFonts w:ascii="sans-serif" w:hAnsi="sans-serif"/>
          <w:b w:val="false"/>
          <w:color w:val="000000"/>
          <w:sz w:val="16"/>
        </w:rPr>
      </w:pPr>
      <w:r>
        <w:rPr>
          <w:rFonts w:ascii="sans-serif" w:hAnsi="sans-serif"/>
          <w:b w:val="false"/>
          <w:color w:val="000000"/>
          <w:sz w:val="16"/>
        </w:rPr>
        <w:t xml:space="preserve">(7) Loss on extinguishment of related party debt - For the December 31, 2025, the Company extinguished certain related party debts by issuing Series C Preferred Stock. </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3412</Words>
  <Characters>20756</Characters>
  <CharactersWithSpaces>23864</CharactersWithSpaces>
  <Paragraphs>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