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333-291034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12, 2025)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November 12, 2025 (the “Prospectus”), which forms a part of our Registration Statement on Form S-1 (Registration No. 333-291034) and is being filed to update, amend and supplement the information included in the Prospectus with information contained in our Current Report on Form 8-K filed with the Securities and Exchange Commission (the “SEC”) on February 20, 2026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February 26, 2026, the closing price of our Common Stock was $2.80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27, 2026.</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16, 2026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4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21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21"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2" w:lineRule="exact"/>
        <w:rPr>
          <w:sz w:val="20"/>
          <w:szCs w:val="20"/>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70" w:lineRule="exact"/>
        <w:rPr>
          <w:sz w:val="20"/>
          <w:szCs w:val="20"/>
          <w:color w:val="auto"/>
        </w:rPr>
      </w:pPr>
    </w:p>
    <w:p>
      <w:pPr>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line="10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Otworth Employment Agreement</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16, 2026, Innventure LLC, a wholly owned subsidiary of Innventure, Inc. (the “Company”), entered into a letter agreement with Mr. Michael Otworth regarding Mr. Otworth’s employment (the “Otworth Employment Agreement”). Mr. Otworth serves as the Executive Chairman and is a named executive officer of the Company. Prior to entering into the Otworth Employment Agreement, Mr. Otworth provided consulting services to the Company as an independent contractor pursuant to a Contractor Agreement for Services, effective November 16, 2023, between Innventure LLC and Sugar Grove Ventures, LLC (as amended, the “SGV Consulting Agreement”). Pursuant to the Otworth Employment Agreement, the SGV Consulting Agreement was terminated on February 16, 2026.</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Otworth Employment Agreement, Mr. Otworth will continue to serve as the Company’s Executive Chairman. Mr. Otworth’s base salary, target annual bonus opportunity, and long-term equity incentive opportunities will remain materially consistent with the compensation previously provided to Mr. Otworth under the SGV Consulting Agreement. Mr. Otworth will also be eligible to participate in Innventure LLC’s employee benefit plans and programs, subject to the terms of such plans and programs. Mr. Otworth’s employment with Innventure LLC is at will; either Mr. Otworth or Innventure LLC may terminate the employment relationship at any time, with or without cause and with or without notice, subject to applicable law.</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Otworth Employment Agreement is qualified in its entirety by reference to the Otworth Employment Agreement, a copy of which is filed as Exhibit 10.1 to this Current Report on Form 8-K and is incorporated herein by reference.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Scott Employment Agreement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16, 2026, Innventure LLC entered into a letter agreement with Dr. John Scott regarding Dr. Scott’s employment (the “Scott Employment Agreement”). Dr. Scott serves as the Chief Strategy Officer and is a named executive officer of the Company. Prior to entering into the Scott Employment Agreement, Dr. Scott provided consulting services to the Company as an independent contractor pursuant to a Statement of Work, effective April 1, 2018, between Innventure LLC and Corporate Development Group LLC (as amended, the “CDG Consulting Agreement”). Pursuant to the Scott Employment Agreement, the CDG Consulting Agreement was terminated on February 16, 2026.</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Scott Employment Agreement, Dr. Scott will continue to serve as the Company’s Chief Strategy Officer. Dr. Scott’s base salary, target annual bonus opportunity, and long-term equity incentive opportunities will remain materially consistent with the compensation previously provided to Dr. Scott under the CDG Consulting Agreement. Dr. Scott will also be eligible to participate in Innventure LLC’s employee benefit plans and programs, subject to the terms of such plans and programs. Dr. Scott’s employment with Innventure LLC is at will; either Dr. Scott or Innventure LLC may terminate the employment relationship at any time, with or without cause and with or without notice, subject to applicable law.</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Scott Employment Agreement is qualified in its entirety by reference to the Scott Employment Agreement, a copy of which is filed as Exhibit 10.2 to this Current Report on Form 8-K and is incorporated herein by reference.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78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499"/>
        </w:trPr>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780" w:type="dxa"/>
            <w:vAlign w:val="bottom"/>
          </w:tcPr>
          <w:p>
            <w:pPr>
              <w:spacing w:after="0"/>
              <w:rPr>
                <w:sz w:val="24"/>
                <w:szCs w:val="24"/>
                <w:color w:val="auto"/>
              </w:rPr>
            </w:pPr>
          </w:p>
        </w:tc>
        <w:tc>
          <w:tcPr>
            <w:tcW w:w="38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780" w:type="dxa"/>
            <w:vAlign w:val="bottom"/>
          </w:tcPr>
          <w:p>
            <w:pPr>
              <w:ind w:left="80"/>
              <w:spacing w:after="0"/>
              <w:rPr>
                <w:rFonts w:ascii="Times New Roman" w:cs="Times New Roman" w:eastAsia="Times New Roman" w:hAnsi="Times New Roman"/>
                <w:sz w:val="18"/>
                <w:szCs w:val="18"/>
                <w:color w:val="auto"/>
              </w:rPr>
            </w:pPr>
            <w:hyperlink r:id="rId8">
              <w:r>
                <w:rPr>
                  <w:rFonts w:ascii="Times New Roman" w:cs="Times New Roman" w:eastAsia="Times New Roman" w:hAnsi="Times New Roman"/>
                  <w:sz w:val="18"/>
                  <w:szCs w:val="18"/>
                  <w:color w:val="auto"/>
                </w:rPr>
                <w:t>Letter Agreement dated February 16,</w:t>
              </w:r>
            </w:hyperlink>
          </w:p>
        </w:tc>
        <w:tc>
          <w:tcPr>
            <w:tcW w:w="3820" w:type="dxa"/>
            <w:vAlign w:val="bottom"/>
          </w:tcPr>
          <w:p>
            <w:pPr>
              <w:ind w:left="20"/>
              <w:spacing w:after="0"/>
              <w:rPr>
                <w:rFonts w:ascii="Times New Roman" w:cs="Times New Roman" w:eastAsia="Times New Roman" w:hAnsi="Times New Roman"/>
                <w:sz w:val="18"/>
                <w:szCs w:val="18"/>
                <w:color w:val="auto"/>
                <w:w w:val="99"/>
              </w:rPr>
            </w:pPr>
            <w:hyperlink r:id="rId8">
              <w:r>
                <w:rPr>
                  <w:rFonts w:ascii="Times New Roman" w:cs="Times New Roman" w:eastAsia="Times New Roman" w:hAnsi="Times New Roman"/>
                  <w:sz w:val="18"/>
                  <w:szCs w:val="18"/>
                  <w:color w:val="auto"/>
                  <w:w w:val="99"/>
                </w:rPr>
                <w:t>2026 between Innventure LLC and Michael Otworth</w:t>
              </w:r>
            </w:hyperlink>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780" w:type="dxa"/>
            <w:vAlign w:val="bottom"/>
          </w:tcPr>
          <w:p>
            <w:pPr>
              <w:ind w:left="80"/>
              <w:spacing w:after="0"/>
              <w:rPr>
                <w:rFonts w:ascii="Times New Roman" w:cs="Times New Roman" w:eastAsia="Times New Roman" w:hAnsi="Times New Roman"/>
                <w:sz w:val="18"/>
                <w:szCs w:val="18"/>
                <w:color w:val="auto"/>
              </w:rPr>
            </w:pPr>
            <w:hyperlink r:id="rId9">
              <w:r>
                <w:rPr>
                  <w:rFonts w:ascii="Times New Roman" w:cs="Times New Roman" w:eastAsia="Times New Roman" w:hAnsi="Times New Roman"/>
                  <w:sz w:val="18"/>
                  <w:szCs w:val="18"/>
                  <w:color w:val="auto"/>
                </w:rPr>
                <w:t>Letter Agreement dated February 16,</w:t>
              </w:r>
            </w:hyperlink>
          </w:p>
        </w:tc>
        <w:tc>
          <w:tcPr>
            <w:tcW w:w="3820" w:type="dxa"/>
            <w:vAlign w:val="bottom"/>
          </w:tcPr>
          <w:p>
            <w:pPr>
              <w:ind w:left="20"/>
              <w:spacing w:after="0"/>
              <w:rPr>
                <w:rFonts w:ascii="Times New Roman" w:cs="Times New Roman" w:eastAsia="Times New Roman" w:hAnsi="Times New Roman"/>
                <w:sz w:val="18"/>
                <w:szCs w:val="18"/>
                <w:color w:val="auto"/>
              </w:rPr>
            </w:pPr>
            <w:hyperlink r:id="rId9">
              <w:r>
                <w:rPr>
                  <w:rFonts w:ascii="Times New Roman" w:cs="Times New Roman" w:eastAsia="Times New Roman" w:hAnsi="Times New Roman"/>
                  <w:sz w:val="18"/>
                  <w:szCs w:val="18"/>
                  <w:color w:val="auto"/>
                </w:rPr>
                <w:t>2026 between Innventure LLC and John Scott</w:t>
              </w:r>
            </w:hyperlink>
          </w:p>
        </w:tc>
      </w:tr>
      <w:tr>
        <w:trPr>
          <w:trHeight w:val="25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6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bl>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2026</w:t>
            </w:r>
          </w:p>
        </w:tc>
        <w:tc>
          <w:tcPr>
            <w:tcW w:w="28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860" w:type="dxa"/>
            <w:vAlign w:val="bottom"/>
          </w:tcPr>
          <w:p>
            <w:pPr>
              <w:spacing w:after="0"/>
              <w:rPr>
                <w:sz w:val="3"/>
                <w:szCs w:val="3"/>
                <w:color w:val="auto"/>
              </w:rPr>
            </w:pPr>
          </w:p>
        </w:tc>
        <w:tc>
          <w:tcPr>
            <w:tcW w:w="288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p>
        </w:tc>
        <w:tc>
          <w:tcPr>
            <w:tcW w:w="2880" w:type="dxa"/>
            <w:vAlign w:val="bottom"/>
            <w:vMerge w:val="continue"/>
          </w:tcPr>
          <w:p>
            <w:pPr>
              <w:spacing w:after="0"/>
              <w:rPr>
                <w:sz w:val="20"/>
                <w:szCs w:val="20"/>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860" w:type="dxa"/>
            <w:vAlign w:val="bottom"/>
          </w:tcPr>
          <w:p>
            <w:pPr>
              <w:spacing w:after="0"/>
              <w:rPr>
                <w:sz w:val="24"/>
                <w:szCs w:val="24"/>
                <w:color w:val="auto"/>
              </w:rPr>
            </w:pPr>
          </w:p>
        </w:tc>
        <w:tc>
          <w:tcPr>
            <w:tcW w:w="28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hyperlink" Target="https://www.sec.gov/Archives/edgar/data/2001557/000200155726000026/a101michaelotworthemployme.htm" TargetMode="External"/><Relationship Id="rId9" Type="http://schemas.openxmlformats.org/officeDocument/2006/relationships/hyperlink" Target="https://www.sec.gov/Archives/edgar/data/2001557/000200155726000026/a102johnscottemployment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2026-02-27T14:44:43Z</dcterms:created>
  <dcterms:modified xsi:type="dcterms:W3CDTF">2026-02-27T14:44:43Z</dcterms:modified>
</cp:coreProperties>
</file>