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Quarterly Report on Form 10-Q, which was filed with the Securities and Exchange Commission (the “SEC”) on November 14, 2024 (the “Quarterly Report”). Accordingly, we have attached the Quarterly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13, 2024, the closing price of our Common Stock was $10.64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636905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577215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0"/>
          <w:szCs w:val="20"/>
          <w:color w:val="auto"/>
        </w:rPr>
      </w:pPr>
    </w:p>
    <w:p>
      <w:pPr>
        <w:ind w:left="3240" w:right="1660" w:hanging="3167"/>
        <w:spacing w:after="0" w:line="412" w:lineRule="auto"/>
        <w:tabs>
          <w:tab w:leader="none" w:pos="4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_____________</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001-42303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8"/>
                <w:szCs w:val="18"/>
                <w:color w:val="auto"/>
                <w:w w:val="98"/>
              </w:rPr>
              <w:t>Delaware</w:t>
            </w:r>
          </w:p>
        </w:tc>
        <w:tc>
          <w:tcPr>
            <w:tcW w:w="354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auto"/>
              </w:rPr>
              <w:t>93-4440048</w:t>
            </w:r>
          </w:p>
        </w:tc>
      </w:tr>
      <w:tr>
        <w:trPr>
          <w:trHeight w:val="155"/>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540" w:type="dxa"/>
            <w:vAlign w:val="bottom"/>
          </w:tcPr>
          <w:p>
            <w:pPr>
              <w:jc w:val="center"/>
              <w:ind w:left="154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166"/>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540" w:type="dxa"/>
            <w:vAlign w:val="bottom"/>
          </w:tcPr>
          <w:p>
            <w:pPr>
              <w:spacing w:after="0"/>
              <w:rPr>
                <w:sz w:val="14"/>
                <w:szCs w:val="14"/>
                <w:color w:val="auto"/>
              </w:rPr>
            </w:pPr>
          </w:p>
        </w:tc>
      </w:tr>
      <w:tr>
        <w:trPr>
          <w:trHeight w:val="200"/>
        </w:trPr>
        <w:tc>
          <w:tcPr>
            <w:tcW w:w="4360" w:type="dxa"/>
            <w:vAlign w:val="bottom"/>
          </w:tcPr>
          <w:p>
            <w:pPr>
              <w:jc w:val="center"/>
              <w:ind w:right="1544"/>
              <w:spacing w:after="0" w:line="201" w:lineRule="exact"/>
              <w:rPr>
                <w:sz w:val="20"/>
                <w:szCs w:val="20"/>
                <w:color w:val="auto"/>
              </w:rPr>
            </w:pPr>
            <w:r>
              <w:rPr>
                <w:rFonts w:ascii="Times New Roman" w:cs="Times New Roman" w:eastAsia="Times New Roman" w:hAnsi="Times New Roman"/>
                <w:sz w:val="18"/>
                <w:szCs w:val="18"/>
                <w:color w:val="auto"/>
                <w:w w:val="99"/>
              </w:rPr>
              <w:t>6900 Tavistock Lakes Blvd, Suite 400</w:t>
            </w:r>
          </w:p>
        </w:tc>
        <w:tc>
          <w:tcPr>
            <w:tcW w:w="3540" w:type="dxa"/>
            <w:vAlign w:val="bottom"/>
          </w:tcPr>
          <w:p>
            <w:pPr>
              <w:spacing w:after="0"/>
              <w:rPr>
                <w:sz w:val="17"/>
                <w:szCs w:val="17"/>
                <w:color w:val="auto"/>
              </w:rPr>
            </w:pPr>
          </w:p>
        </w:tc>
      </w:tr>
      <w:tr>
        <w:trPr>
          <w:trHeight w:val="234"/>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8"/>
                <w:szCs w:val="18"/>
                <w:color w:val="auto"/>
                <w:w w:val="99"/>
              </w:rPr>
              <w:t>Orlando, Florida</w:t>
            </w:r>
          </w:p>
        </w:tc>
        <w:tc>
          <w:tcPr>
            <w:tcW w:w="3540" w:type="dxa"/>
            <w:vAlign w:val="bottom"/>
          </w:tcPr>
          <w:p>
            <w:pPr>
              <w:jc w:val="right"/>
              <w:ind w:right="644"/>
              <w:spacing w:after="0"/>
              <w:rPr>
                <w:sz w:val="20"/>
                <w:szCs w:val="20"/>
                <w:color w:val="auto"/>
              </w:rPr>
            </w:pPr>
            <w:r>
              <w:rPr>
                <w:rFonts w:ascii="Times New Roman" w:cs="Times New Roman" w:eastAsia="Times New Roman" w:hAnsi="Times New Roman"/>
                <w:sz w:val="18"/>
                <w:szCs w:val="18"/>
                <w:color w:val="auto"/>
              </w:rPr>
              <w:t>32827</w:t>
            </w:r>
          </w:p>
        </w:tc>
      </w:tr>
      <w:tr>
        <w:trPr>
          <w:trHeight w:val="173"/>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40" w:type="dxa"/>
            <w:vAlign w:val="bottom"/>
          </w:tcPr>
          <w:p>
            <w:pPr>
              <w:jc w:val="center"/>
              <w:ind w:left="15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(321) 209-6787</w:t>
      </w:r>
    </w:p>
    <w:p>
      <w:pPr>
        <w:spacing w:after="0" w:line="2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62" w:lineRule="exact"/>
        <w:rPr>
          <w:sz w:val="20"/>
          <w:szCs w:val="20"/>
          <w:color w:val="auto"/>
        </w:rPr>
      </w:pPr>
    </w:p>
    <w:p>
      <w:pPr>
        <w:jc w:val="both"/>
        <w:ind w:firstLine="588"/>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1" w:lineRule="exact"/>
        <w:rPr>
          <w:sz w:val="20"/>
          <w:szCs w:val="20"/>
          <w:color w:val="auto"/>
        </w:rPr>
      </w:pPr>
    </w:p>
    <w:p>
      <w:pPr>
        <w:jc w:val="both"/>
        <w:ind w:firstLine="588"/>
        <w:spacing w:after="0" w:line="18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0"/>
          <w:szCs w:val="20"/>
          <w:color w:val="auto"/>
        </w:rPr>
      </w:pPr>
    </w:p>
    <w:p>
      <w:pPr>
        <w:jc w:val="both"/>
        <w:ind w:firstLine="588"/>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9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0"/>
          <w:szCs w:val="20"/>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November 12, 2024, the registrant had 49,547,673 shares of common stock, $0.0001 par value per share,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1372" w:right="1440" w:bottom="1440" w:gutter="0" w:footer="0" w:header="0"/>
        </w:sectPr>
      </w:pPr>
    </w:p>
    <w:bookmarkStart w:id="3" w:name="page4"/>
    <w:bookmarkEnd w:id="3"/>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040" w:type="dxa"/>
            <w:vAlign w:val="bottom"/>
            <w:gridSpan w:val="3"/>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680" w:type="dxa"/>
            <w:vAlign w:val="bottom"/>
            <w:vMerge w:val="continue"/>
          </w:tcPr>
          <w:p>
            <w:pPr>
              <w:spacing w:after="0"/>
              <w:rPr>
                <w:sz w:val="24"/>
                <w:szCs w:val="24"/>
                <w:color w:val="auto"/>
              </w:rPr>
            </w:pPr>
          </w:p>
        </w:tc>
        <w:tc>
          <w:tcPr>
            <w:tcW w:w="2260" w:type="dxa"/>
            <w:vAlign w:val="bottom"/>
            <w:tcBorders>
              <w:bottom w:val="single" w:sz="8" w:color="0000FF"/>
            </w:tcBorders>
            <w:gridSpan w:val="7"/>
            <w:vMerge w:val="continue"/>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(Unaudited) and December 31,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nine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months ended 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Mezzanine Capital for the three and nine months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Unitholders' Deficit for the three and nine months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420" w:type="dxa"/>
            <w:vAlign w:val="bottom"/>
            <w:gridSpan w:val="4"/>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2"/>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6540" w:type="dxa"/>
            <w:vAlign w:val="bottom"/>
            <w:gridSpan w:val="5"/>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40" w:right="339" w:bottom="1440" w:gutter="0" w:footer="0" w:header="0"/>
        </w:sectPr>
      </w:pPr>
    </w:p>
    <w:bookmarkStart w:id="4" w:name="page5"/>
    <w:bookmarkEnd w:id="4"/>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statements about the Company’s business model, the financial condition, results of operation, earnings outlook and its and its operating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4" w:lineRule="exact"/>
        <w:rPr>
          <w:sz w:val="20"/>
          <w:szCs w:val="20"/>
          <w:color w:val="auto"/>
        </w:rPr>
      </w:pPr>
    </w:p>
    <w:p>
      <w:pPr>
        <w:ind w:right="240" w:firstLine="648"/>
        <w:spacing w:after="0" w:line="241"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Quarterly Report on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discussed and identified in other public filings made with the Securities and Exchange Commission by the Company and the following:</w:t>
      </w:r>
    </w:p>
    <w:p>
      <w:pPr>
        <w:spacing w:after="0" w:line="211" w:lineRule="exact"/>
        <w:rPr>
          <w:sz w:val="20"/>
          <w:szCs w:val="20"/>
          <w:color w:val="auto"/>
        </w:rPr>
      </w:pPr>
    </w:p>
    <w:p>
      <w:pPr>
        <w:ind w:left="660" w:right="6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w:t>
      </w:r>
    </w:p>
    <w:p>
      <w:pPr>
        <w:spacing w:after="0" w:line="23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including the available cash and performance targets, and access any of the installments draws under the WTI line of credit;</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Standby Equity Purchase Agreement (the “SEPA”) with YA II PN, Ltd., including exchange caps, issuances and subscriptions based on trading volumes, to access the funds available under the SEPA;</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Innventure will have sufficient capital following the completion of the business combination to operate as anticipated;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obtain funding for its operations and future growth;</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238"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ability to meet, and to continue to meet, applicable regulatory requirements for the use of their products and the numerous regulatory requirements generally applicable to their products and facilities;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Innventure in connection with the completion of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spacing w:after="0" w:line="261" w:lineRule="exact"/>
        <w:rPr>
          <w:sz w:val="20"/>
          <w:szCs w:val="20"/>
          <w:color w:val="auto"/>
        </w:rPr>
      </w:pPr>
    </w:p>
    <w:p>
      <w:pPr>
        <w:ind w:left="660" w:right="8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which would impose burdensome compliance requirements and restrictions on its activities;</w:t>
      </w:r>
    </w:p>
    <w:p>
      <w:pPr>
        <w:spacing w:after="0" w:line="18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rights of itself and its subsidiaries, and to avoid or resolve in a timely and cost-effective manner any disputes that may arise relating to its use of the intellectual property of third parties;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its subsidiaries.</w:t>
      </w:r>
    </w:p>
    <w:p>
      <w:pPr>
        <w:spacing w:after="0" w:line="34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Quarterly Report on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6" w:name="page7"/>
    <w:bookmarkEnd w:id="6"/>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consummated a business combination (the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and direct, wholly-owned subsidiary of Holdco (“Innventure Merger Sub” and, together with LCW Merger Sub, the “Merger Subs”). Following the closing of the business combination (the "Closing"), each of Learn CW and Innventure LLC are subsidiaries of Holdco, and Holdco became a publicly traded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At the Closing of the business combination, Holdco changed its name to “Innventure, Inc.”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covered in this Quarterly Report on Form 10-Q of Innventure for the quarterly period ended September 30, 2024 ("Form 10-Q") present the financial condition and results of operations of Innventure’s predecessor, Innventure LLC and its subsidiaries (together, the “Predecessor”), which operated the majority of the historical business and was identified as the acquirer and predecessor upon consummation of the business combination.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Innventure did not conduct any activity prior to the business combination and the Predecessor became a subsidiary of Innventure upon Closing of the various transactions completed concurrently with the business combination. The information provided in Part I Item 1 of this Quarterly Report on Form 10-Q only reflects the financial condition and results of operations of the Predecessor as of September 30, 2024 and December 31, 2023 and for the three and nine months ended September 30, 2024 and 2023. Because the business combination was completed subsequent to the end of the period covered by this Form 10-Q, the information provided herein regarding the Predecessor does not include financial or other information regarding the other entities who were parties to the business combination or whose assets became part of the business combination, including Learn CW. Financial information surrounding Learn CW is included in Exhibit 99.1 to this Form 10-Q. The condensed combined financial data for the Predecessor is not necessarily indicative of Innventure’s results of operations, cash flows or financial position following the completion of the business combination and related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 Risk Factors</w:t>
      </w:r>
      <w:r>
        <w:rPr>
          <w:rFonts w:ascii="Times New Roman" w:cs="Times New Roman" w:eastAsia="Times New Roman" w:hAnsi="Times New Roman"/>
          <w:sz w:val="18"/>
          <w:szCs w:val="18"/>
          <w:color w:val="auto"/>
        </w:rPr>
        <w:t>” of this Form 10-Q. Some of these principal risks include the following:</w:t>
      </w:r>
    </w:p>
    <w:p>
      <w:pPr>
        <w:spacing w:after="0" w:line="228" w:lineRule="exact"/>
        <w:rPr>
          <w:sz w:val="20"/>
          <w:szCs w:val="20"/>
          <w:color w:val="auto"/>
        </w:rPr>
      </w:pPr>
    </w:p>
    <w:p>
      <w:pPr>
        <w:ind w:left="660" w:right="6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principal revenues are expected to be earned in the future through its subsidiaries and through AeroFlexx and Accelsius, and Innventure depends on its subsidiaries for cash.</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MNCs.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265" w:lineRule="exact"/>
        <w:rPr>
          <w:rFonts w:ascii="Arial" w:cs="Arial" w:eastAsia="Arial" w:hAnsi="Arial"/>
          <w:sz w:val="22"/>
          <w:szCs w:val="22"/>
          <w:color w:val="auto"/>
        </w:rPr>
      </w:pPr>
    </w:p>
    <w:p>
      <w:pPr>
        <w:ind w:left="660" w:right="160" w:hanging="328"/>
        <w:spacing w:after="0" w:line="246"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25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WTI Facility may impair Innventure LLC’s, Innventure’s and the Operating Companies’ (as defined below) financial and operating flexibility.</w:t>
      </w:r>
    </w:p>
    <w:p>
      <w:pPr>
        <w:spacing w:after="0" w:line="265" w:lineRule="exact"/>
        <w:rPr>
          <w:rFonts w:ascii="Arial" w:cs="Arial" w:eastAsia="Arial" w:hAnsi="Arial"/>
          <w:sz w:val="21"/>
          <w:szCs w:val="21"/>
          <w:color w:val="auto"/>
        </w:rPr>
      </w:pPr>
    </w:p>
    <w:p>
      <w:pPr>
        <w:ind w:left="660" w:right="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It is not possible to predict the actual number of shares Innventure will sell under the SEPA with YA II PN, LTD. ("Yorkville"), or the actual gross proceeds resulting from those sales.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not possible to predict the extent to which Innventure will, intends to, or may rely on Yorkville and the SEPA as a source of funding.</w:t>
      </w:r>
    </w:p>
    <w:p>
      <w:pPr>
        <w:spacing w:after="0" w:line="265" w:lineRule="exact"/>
        <w:rPr>
          <w:rFonts w:ascii="Times New Roman" w:cs="Times New Roman" w:eastAsia="Times New Roman" w:hAnsi="Times New Roman"/>
          <w:sz w:val="22"/>
          <w:szCs w:val="22"/>
          <w:color w:val="auto"/>
        </w:rPr>
      </w:pPr>
    </w:p>
    <w:p>
      <w:pPr>
        <w:ind w:left="660" w:right="160" w:hanging="328"/>
        <w:spacing w:after="0" w:line="24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261"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price of our common stock is likely to be highly volatile, and you may lose some or all of your investment.</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shares of our common stock may depress its stock price.</w:t>
      </w:r>
    </w:p>
    <w:p>
      <w:pPr>
        <w:spacing w:after="0" w:line="265" w:lineRule="exact"/>
        <w:rPr>
          <w:rFonts w:ascii="Arial" w:cs="Arial" w:eastAsia="Arial" w:hAnsi="Arial"/>
          <w:sz w:val="22"/>
          <w:szCs w:val="22"/>
          <w:color w:val="auto"/>
        </w:rPr>
      </w:pPr>
    </w:p>
    <w:p>
      <w:pPr>
        <w:ind w:left="660" w:right="3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8" w:name="page9"/>
    <w:bookmarkEnd w:id="8"/>
    <w:p>
      <w:pPr>
        <w:spacing w:after="0" w:line="315" w:lineRule="exact"/>
        <w:rPr>
          <w:sz w:val="20"/>
          <w:szCs w:val="20"/>
          <w:color w:val="auto"/>
        </w:rPr>
      </w:pPr>
    </w:p>
    <w:p>
      <w:pPr>
        <w:ind w:left="328" w:right="760" w:hanging="328"/>
        <w:spacing w:after="0" w:line="256" w:lineRule="auto"/>
        <w:tabs>
          <w:tab w:leader="none" w:pos="323"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249" w:lineRule="exact"/>
        <w:rPr>
          <w:rFonts w:ascii="Arial" w:cs="Arial" w:eastAsia="Arial" w:hAnsi="Arial"/>
          <w:sz w:val="21"/>
          <w:szCs w:val="21"/>
          <w:color w:val="auto"/>
        </w:rPr>
      </w:pPr>
    </w:p>
    <w:p>
      <w:pPr>
        <w:ind w:left="328" w:right="4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pacing w:after="0" w:line="267" w:lineRule="exact"/>
        <w:rPr>
          <w:rFonts w:ascii="Arial" w:cs="Arial" w:eastAsia="Arial" w:hAnsi="Arial"/>
          <w:sz w:val="22"/>
          <w:szCs w:val="22"/>
          <w:color w:val="auto"/>
        </w:rPr>
      </w:pPr>
    </w:p>
    <w:p>
      <w:pPr>
        <w:ind w:left="328" w:right="70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267" w:lineRule="exact"/>
        <w:rPr>
          <w:rFonts w:ascii="Arial" w:cs="Arial" w:eastAsia="Arial" w:hAnsi="Arial"/>
          <w:sz w:val="22"/>
          <w:szCs w:val="22"/>
          <w:color w:val="auto"/>
        </w:rPr>
      </w:pPr>
    </w:p>
    <w:p>
      <w:pPr>
        <w:ind w:left="328" w:right="140" w:hanging="328"/>
        <w:spacing w:after="0" w:line="246"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261" w:lineRule="exact"/>
        <w:rPr>
          <w:rFonts w:ascii="Arial" w:cs="Arial" w:eastAsia="Arial" w:hAnsi="Arial"/>
          <w:sz w:val="22"/>
          <w:szCs w:val="22"/>
          <w:color w:val="auto"/>
        </w:rPr>
      </w:pPr>
    </w:p>
    <w:p>
      <w:pPr>
        <w:ind w:left="328" w:right="80" w:hanging="328"/>
        <w:spacing w:after="0" w:line="239" w:lineRule="auto"/>
        <w:tabs>
          <w:tab w:leader="none" w:pos="3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Innventure is deemed to be an investment company under the Investment Company Act of 1940 (the “Investment Company Act”), it may be required to institute burdensome compliance requirements and its activities may be restricted, which may make it difficult to operate or to execute its growth plans.</w:t>
      </w:r>
    </w:p>
    <w:p>
      <w:pPr>
        <w:spacing w:after="0" w:line="24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 currently relies on a single facility for all of its operations.</w:t>
      </w:r>
    </w:p>
    <w:p>
      <w:pPr>
        <w:spacing w:after="0" w:line="265" w:lineRule="exact"/>
        <w:rPr>
          <w:rFonts w:ascii="Arial" w:cs="Arial" w:eastAsia="Arial" w:hAnsi="Arial"/>
          <w:sz w:val="22"/>
          <w:szCs w:val="22"/>
          <w:color w:val="auto"/>
        </w:rPr>
      </w:pPr>
    </w:p>
    <w:p>
      <w:pPr>
        <w:ind w:left="328" w:right="440" w:hanging="328"/>
        <w:spacing w:after="0" w:line="239"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67" w:lineRule="exact"/>
        <w:rPr>
          <w:rFonts w:ascii="Arial" w:cs="Arial" w:eastAsia="Arial" w:hAnsi="Arial"/>
          <w:sz w:val="22"/>
          <w:szCs w:val="22"/>
          <w:color w:val="auto"/>
        </w:rPr>
      </w:pPr>
    </w:p>
    <w:p>
      <w:pPr>
        <w:ind w:left="328" w:right="54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267" w:lineRule="exact"/>
        <w:rPr>
          <w:rFonts w:ascii="Arial" w:cs="Arial" w:eastAsia="Arial" w:hAnsi="Arial"/>
          <w:sz w:val="22"/>
          <w:szCs w:val="22"/>
          <w:color w:val="auto"/>
        </w:rPr>
      </w:pPr>
    </w:p>
    <w:p>
      <w:pPr>
        <w:jc w:val="both"/>
        <w:ind w:left="328" w:right="580" w:hanging="328"/>
        <w:spacing w:after="0" w:line="246"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261" w:lineRule="exact"/>
        <w:rPr>
          <w:rFonts w:ascii="Arial" w:cs="Arial" w:eastAsia="Arial" w:hAnsi="Arial"/>
          <w:sz w:val="22"/>
          <w:szCs w:val="22"/>
          <w:color w:val="auto"/>
        </w:rPr>
      </w:pPr>
    </w:p>
    <w:p>
      <w:pPr>
        <w:ind w:left="328" w:right="2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Accelsius is an early-stage company, and its limited operating history makes it difficult to evaluate its future prospects and the risks and challenges it may encounter.</w:t>
      </w:r>
    </w:p>
    <w:p>
      <w:pPr>
        <w:spacing w:after="0" w:line="267" w:lineRule="exact"/>
        <w:rPr>
          <w:rFonts w:ascii="Arial" w:cs="Arial" w:eastAsia="Arial" w:hAnsi="Arial"/>
          <w:sz w:val="22"/>
          <w:szCs w:val="22"/>
          <w:color w:val="auto"/>
        </w:rPr>
      </w:pPr>
    </w:p>
    <w:p>
      <w:pPr>
        <w:ind w:left="328"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w:t>
      </w:r>
    </w:p>
    <w:p>
      <w:pPr>
        <w:spacing w:after="0" w:line="248" w:lineRule="exact"/>
        <w:rPr>
          <w:rFonts w:ascii="Arial" w:cs="Arial" w:eastAsia="Arial" w:hAnsi="Arial"/>
          <w:sz w:val="22"/>
          <w:szCs w:val="22"/>
          <w:color w:val="auto"/>
        </w:rPr>
      </w:pPr>
    </w:p>
    <w:p>
      <w:pPr>
        <w:ind w:left="328" w:hanging="328"/>
        <w:spacing w:after="0"/>
        <w:tabs>
          <w:tab w:leader="none" w:pos="3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8"/>
          </w:cols>
          <w:pgMar w:left="652" w:top="1440" w:right="339" w:bottom="1440" w:gutter="0" w:footer="0" w:header="0"/>
        </w:sectPr>
      </w:pPr>
    </w:p>
    <w:bookmarkStart w:id="9" w:name="page10"/>
    <w:bookmarkEnd w:id="9"/>
    <w:p>
      <w:pPr>
        <w:spacing w:after="0" w:line="72" w:lineRule="exact"/>
        <w:rPr>
          <w:sz w:val="20"/>
          <w:szCs w:val="20"/>
          <w:color w:val="auto"/>
        </w:rPr>
      </w:pPr>
    </w:p>
    <w:p>
      <w:pPr>
        <w:ind w:left="328" w:hanging="328"/>
        <w:spacing w:after="0" w:line="23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267" w:lineRule="exact"/>
        <w:rPr>
          <w:rFonts w:ascii="Arial" w:cs="Arial" w:eastAsia="Arial" w:hAnsi="Arial"/>
          <w:sz w:val="22"/>
          <w:szCs w:val="22"/>
          <w:color w:val="auto"/>
        </w:rPr>
      </w:pPr>
    </w:p>
    <w:p>
      <w:pPr>
        <w:ind w:left="328" w:hanging="328"/>
        <w:spacing w:after="0" w:line="239"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267" w:lineRule="exact"/>
        <w:rPr>
          <w:rFonts w:ascii="Arial" w:cs="Arial" w:eastAsia="Arial" w:hAnsi="Arial"/>
          <w:sz w:val="22"/>
          <w:szCs w:val="22"/>
          <w:color w:val="auto"/>
        </w:rPr>
      </w:pPr>
    </w:p>
    <w:p>
      <w:pPr>
        <w:ind w:left="328" w:right="60" w:hanging="328"/>
        <w:spacing w:after="0" w:line="23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267" w:lineRule="exact"/>
        <w:rPr>
          <w:rFonts w:ascii="Arial" w:cs="Arial" w:eastAsia="Arial" w:hAnsi="Arial"/>
          <w:sz w:val="22"/>
          <w:szCs w:val="22"/>
          <w:color w:val="auto"/>
        </w:rPr>
      </w:pPr>
    </w:p>
    <w:p>
      <w:pPr>
        <w:ind w:left="328" w:right="240" w:hanging="328"/>
        <w:spacing w:after="0" w:line="24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failure to timely and effectively implement controls and procedures required by Section 404(a) of the Sarbanes-Oxley Act of 2002 (“Sarbanes-Oxley Act”) could negatively impact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4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8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from related parties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5,664</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55,731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21,564</w:t>
            </w:r>
          </w:p>
        </w:tc>
        <w:tc>
          <w:tcPr>
            <w:tcW w:w="0" w:type="dxa"/>
            <w:vAlign w:val="bottom"/>
          </w:tcPr>
          <w:p>
            <w:pPr>
              <w:spacing w:after="0"/>
              <w:rPr>
                <w:sz w:val="1"/>
                <w:szCs w:val="1"/>
                <w:color w:val="auto"/>
              </w:rPr>
            </w:pPr>
          </w:p>
        </w:tc>
      </w:tr>
      <w:tr>
        <w:trPr>
          <w:trHeight w:val="184"/>
        </w:trPr>
        <w:tc>
          <w:tcPr>
            <w:tcW w:w="8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Unitholders’ Capital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notes payable -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 current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 installment payable -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Liability for future preferred stock issuance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41,601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8,168</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promissory note, net</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promissory note due to related party, net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 liability</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 installment payable, net of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55,459</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29,420</w:t>
            </w:r>
          </w:p>
        </w:tc>
        <w:tc>
          <w:tcPr>
            <w:tcW w:w="0" w:type="dxa"/>
            <w:vAlign w:val="bottom"/>
          </w:tcPr>
          <w:p>
            <w:pPr>
              <w:spacing w:after="0"/>
              <w:rPr>
                <w:sz w:val="1"/>
                <w:szCs w:val="1"/>
                <w:color w:val="auto"/>
              </w:rPr>
            </w:pPr>
          </w:p>
        </w:tc>
      </w:tr>
      <w:tr>
        <w:trPr>
          <w:trHeight w:val="184"/>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Mezzanine Capital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Class I Units, no par value, 1,000,000 units authorized,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Redeemable Class PCTA Units, no par value, 3,982,675 units authorized, issued and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Unitholders' Deficit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2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Class B Preferred Units, no par value, 6,722,562 and 4,639,557 units authorized, 5,609,951 and 4,109,961 units issued and</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51,683</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B-1 Preferred Units, no par value, 2,600,000 units authorized, 342,608 units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Units, no par value, 10,975,000 units authorized, 10,875,000 units issued and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C Units, no par value, 1,585,125 units authorized, 1,570,125 units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(64,284)</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0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Unitholders’ Deficit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(22,308)</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(18,486)</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Mezzanine Capital, and Unitholders' Deficit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55,731</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21,564</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Income (Loss)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 income - related parties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Consulting revenue</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14,601</w:t>
            </w: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(13,708)</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gain on investments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gain on investments – due to related parties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embedded derivative liability</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income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(Expense) Income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(4,243)</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(7,641)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(26,481)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(17,951)</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Innventure LLC Unitholders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(17,850)</w:t>
            </w:r>
          </w:p>
        </w:tc>
      </w:tr>
      <w:tr>
        <w:trPr>
          <w:trHeight w:val="252"/>
        </w:trPr>
        <w:tc>
          <w:tcPr>
            <w:tcW w:w="5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Class A Unitholders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(16,848)</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loss per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Class A Units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r>
      <w:tr>
        <w:trPr>
          <w:trHeight w:val="239"/>
        </w:trPr>
        <w:tc>
          <w:tcPr>
            <w:tcW w:w="5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on AFS debt securities - related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taxes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8"/>
        </w:trPr>
        <w:tc>
          <w:tcPr>
            <w:tcW w:w="5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(17,951)</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Comprehensive Loss Attributable to Innventure LLC Unitholders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(17,850)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Mezzanine Capital</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I Amount</w:t>
            </w:r>
          </w:p>
        </w:tc>
        <w:tc>
          <w:tcPr>
            <w:tcW w:w="14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 PCTA Amount</w:t>
            </w:r>
          </w:p>
        </w:tc>
        <w:tc>
          <w:tcPr>
            <w:tcW w:w="4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29"/>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16,324</w:t>
            </w:r>
          </w:p>
        </w:tc>
      </w:tr>
      <w:tr>
        <w:trPr>
          <w:trHeight w:val="229"/>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23,908</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10,690</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13,759</w:t>
            </w:r>
          </w:p>
        </w:tc>
      </w:tr>
      <w:tr>
        <w:trPr>
          <w:trHeight w:val="250"/>
        </w:trPr>
        <w:tc>
          <w:tcPr>
            <w:tcW w:w="5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15,045</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15,407</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18,103</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Unitholders' Deficit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Class B-1</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8"/>
                <w:szCs w:val="8"/>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right="15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Controlling Unitholders'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4"/>
                <w:szCs w:val="14"/>
                <w:color w:val="auto"/>
              </w:rPr>
            </w:pPr>
          </w:p>
        </w:tc>
        <w:tc>
          <w:tcPr>
            <w:tcW w:w="8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b w:val="1"/>
                <w:bCs w:val="1"/>
                <w:color w:val="auto"/>
                <w:w w:val="95"/>
              </w:rPr>
              <w:t>Preferred</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units to NCI in exchange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45,688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(10,519)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48,540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(81,568)</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15,113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(2,373)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(90,952)</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(2,373)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Unitholders' Deficit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Class B-1</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8"/>
                <w:szCs w:val="8"/>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right="17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Controlling Unitholders'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4"/>
                <w:szCs w:val="14"/>
                <w:color w:val="auto"/>
              </w:rPr>
            </w:pPr>
          </w:p>
        </w:tc>
        <w:tc>
          <w:tcPr>
            <w:tcW w:w="8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b w:val="1"/>
                <w:bCs w:val="1"/>
                <w:color w:val="auto"/>
                <w:w w:val="95"/>
              </w:rPr>
              <w:t>Preferred</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(42,595)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(14,278)</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24,114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(45,455)</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(14,387)</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advanced distributions to members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(54,420)</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(17,963)</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(17,951)</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and cash equivalents used in operating activities: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Unit-based compensation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on debt securities - related party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unpaid interest on note payable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embedded derivative liability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payables due to related parties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 on notes payable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loss on investments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 (gain)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rent costs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Liability for future preferred stock issuance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(18,647)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(12,136)</w:t>
            </w:r>
          </w:p>
        </w:tc>
      </w:tr>
      <w:tr>
        <w:trPr>
          <w:trHeight w:val="198"/>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shares in equity method investees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to equity method investees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debt securities - related party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received related to PCT stock sale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(5,822)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w:t>
            </w:r>
          </w:p>
        </w:tc>
      </w:tr>
      <w:tr>
        <w:trPr>
          <w:trHeight w:val="198"/>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capital, net of issuance costs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units to NCI</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 payable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Receipt of Capital from Class I Unitholder</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advance distribution to Members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of related party notes payable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38,191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10,325</w:t>
            </w:r>
          </w:p>
        </w:tc>
      </w:tr>
      <w:tr>
        <w:trPr>
          <w:trHeight w:val="198"/>
        </w:trPr>
        <w:tc>
          <w:tcPr>
            <w:tcW w:w="8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13,722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(3,406)</w:t>
            </w:r>
          </w:p>
        </w:tc>
      </w:tr>
      <w:tr>
        <w:trPr>
          <w:trHeight w:val="207"/>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7,544</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Information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redeemable units to redemption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discount and embedded derivative upon issuance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Class Preferred B Units to extinguish convertible 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Class B Preferred Units in exchange for Innventus ESG Fund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NCI in exchange for interest in Innventus ESG Fund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Commissions payable on issuance of Class B Preferred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Commissions payable on issuance of NCI</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Class B Preferred Units to extinguish consulting fees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units to NCI in exchange of convertible promissory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of working capital loans to equity method investees into investments in debt securities - related party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on investments in debt Securities - related party through OCI</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right of use asset and corresponding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8"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w:t>
      </w:r>
    </w:p>
    <w:p>
      <w:pPr>
        <w:spacing w:after="0" w:line="16" w:lineRule="exact"/>
        <w:rPr>
          <w:sz w:val="20"/>
          <w:szCs w:val="20"/>
          <w:color w:val="auto"/>
        </w:rPr>
      </w:pPr>
    </w:p>
    <w:p>
      <w:pPr>
        <w:ind w:right="2940"/>
        <w:spacing w:after="0" w:line="211" w:lineRule="auto"/>
        <w:rPr>
          <w:sz w:val="20"/>
          <w:szCs w:val="20"/>
          <w:color w:val="auto"/>
        </w:rPr>
      </w:pPr>
      <w:r>
        <w:rPr>
          <w:rFonts w:ascii="Times New Roman" w:cs="Times New Roman" w:eastAsia="Times New Roman" w:hAnsi="Times New Roman"/>
          <w:sz w:val="18"/>
          <w:szCs w:val="18"/>
          <w:color w:val="auto"/>
        </w:rPr>
        <w:t>to the business and operations of Innventure LLC and its consolidated subsidiaries for all periods prior to the Closing, and to the business and operations of Innventure, Inc. and its consolidated subsidiaries for all periods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Innventure LLC is an origination platform company with its headquarters in Orlando, Florida. Innventure LLC founds, funds, and operates companies with a focus on transformative, sustainable technology solutions acquired or licensed from Multinational Corporations (‘‘MNCs’’). As owner-operators, Innventure LLC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LLC defines ‘‘disruptive’’ as innovations that have the ability to significantly change the way businesses, industries, markets and/or consumers operate.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2024, the business combination that the Company entered into with, among others, Learn CW, closed and was preliminarily accounted for as a reverse recapitalization and Innventure LLC has been determined to be the accounting acquirer and the Predecessor. The information provided in this Quarterly Report on Form 10-Q only reflects the financial condition and results of operations of the Predecessor.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Inc., formerly known as Holdco, is the successor to Innventure LLC following the business combination and is a Delaware corporation, whose common stock is listed and traded on the Nasdaq Capital Market (“Nasdaq”). Following the business combination, the Company will continue the business of Innventure LLC described above.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Learn CW and Holdco, a direct wholly-owned subsidiary of Learn CW prior to the business combination, were created for the purpose of consummating a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for the Predecessor for such periods does not reflect the material changes to the business as a result of the business combination. Accordingly, the financial information for the Predecessor is not necessarily indicative of the Company’s results of operations, cash flows or financial position following the completion of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Holdco, consummated the business combination pursuant to the terms of the business combination agreement, dated as of October 24, 2023 (the “Business Combination Agreement”), by and among Holdco, Learn CW and Innventure LLC, LCW Merger Sub, Inc. and Innventure Merger Sub, LLC, a direct, wholly-owned subsidiary of Holdco (“Innventure Merger Sub” and, together with LCW Merger Sub, the “Merger Subs”). Pursuant to the Business Combination Agreement, on the Closing Date, (i) LCW Merger Sub merged with and into Learn CW (the “LCW Merger”), with Learn CW as the surviving company of the LCW Merger and (ii) Innventure Merger Sub merged with and into Innventure LLC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cash flows from operations, from the sale of its capital and/or issuance of debt. The Company intends to obtain additional financing in the future to proceed with its business plans. The future value of investments held is unpredictable and subject to market events outside of the Company’s control. If the Company is unable to acquire additional working capital, it will be required to significantly reduce its current level of operations.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the accompanying condensed consolidated financial statements are issued; however, the above conditions raise substantial doubt about the Company’s ability to do so. The condensed consolidated financial statements do not include any adjustments to reflect the probable future effects on the recoverability and classification of assets or the amounts and classifications of liabilities that may result should the Company be unable to continue as a going concern. There can be no assurance that management will be successful in accessing additional capital or implementing its business plan or that the successful implementation of such business plan will actually improve our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that contractual sale restrictions should not be considered in measuring the fair value of equity securities. This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2023, including interim periods therein, with early adoption permitted. The Company adopted this ASU on January 1, 2024, and the adoption did not have a material impact on the Company’s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on its segment disclosures.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The amendments in ASU 2023-09 are effective for fiscal years beginning after December 15, 2024, with early adoption permitted. The Company is currently evaluating the impact of adopting ASU 2023-09 on its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primarily include its investment in the Innventus ESG Fund I, L.P. (the “ESG Fund"), for which it serves as general partner, and AeroFlexx, LLC ("AeroFlexx"), which are both not consolidated, but for which the Company exerts significant influence.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equity-method investment in the ESG Fund reflects the Company’s general partner interest in the ESG Fund, which represents approximately 5% of the ESG Fund’s total capital commitments. The general partner interest is not consolidated because the ESG Fund is not considered a variable interest entity and the Company does not hold a controlling financial interest in the ESG Fund under the voting interest entity model.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2024, and December 31,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 31% equity-method investment interest in AeroFlexx as of both September 30, 2024, and December 31, 2023. The Company recorded its investment in AeroFlexx at $721 and $1,570 as of September 30, 2024, and December 31,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previously formed PureCycle Technologies, Inc. ("PCT") in partnership with a multinational corporation. PureCycle became a publicly traded company in 2021 and the remaining shares of PCT's common stock held by the Company are classified as an Exchange-traded investment at fair value recorded through net income (“FVTNI”). The remaining shares of PCT's common stock held by the Company are subject to a final lock-up which expires based upon the achievement of certain operational metrics, as certified by certain third-parties, of PCT’s Ironton, Ohio plant. Furthermore, the Company does not have an economic interest in the remaining shares of PCT's common stock held by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400,000 PCT shares for aggregate net proceeds of $2,302. The PCT shares were measured at their fair value immediately prior to the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debt securities - AFS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2024, the Company ("Lender") entered into an intercompany loan agreement with AeroFlexx ("Borrower") under which the Company will lend up to $10,000 to AeroFlexx. The pre-existing working capital interest-free loans to AeroFlexx, amounting to $7,635 were considered outstanding term loans under this agreement and the Company has also lent Borrower an additional $2,365 during the three months ended September 30, 2024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the Borrower’s assets or Borrower's stock is consummated. After any full or partial repayment of the term loans, the Borrower may borrow additional funds up to the $10,000 limit until the maturity date. The loan bears interest at the applicable federal rate published by the Internal Revenue Service and is adjusted on a quarterly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the Borrower, at a price equal to 100% of the price per share or unit and on the same terms and conditions as apply to such issuance.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by January 1, 2025, the Borrower has not raised equity financing equal to or more than a target of $10,000, then on January 2, 2025, the outstanding principal and any unpaid accrued interest on the term loans will automatically convert into Class D preferred units of the Borrower at the same price per unit and on the same terms and conditions as the Class D preferred unit of the Borrower purchased by Lender prior to the date of this loan agreement, up to the amount necessary to reach the $10,000 target.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this loan as an investment in debt securities and classified it as an available for sale ("AFS") debt security. Based on the AFS classification, the Company records this investment at fair value at each reporting date and as such recorded the changes in fair value of this loan (including the adjustment to fair value at inception date) in Other Comprehensive Income ("OCI").</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the loan is maturing in 2026, it is included in the non-current line item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of the condensed consolidated balance sheets. Also, the change in fair value of this investment in debt securities of $2,373 is included as </w:t>
      </w:r>
      <w:r>
        <w:rPr>
          <w:rFonts w:ascii="Times New Roman" w:cs="Times New Roman" w:eastAsia="Times New Roman" w:hAnsi="Times New Roman"/>
          <w:sz w:val="18"/>
          <w:szCs w:val="18"/>
          <w:i w:val="1"/>
          <w:iCs w:val="1"/>
          <w:color w:val="auto"/>
        </w:rPr>
        <w:t>'Unrealized loss on AFS debt securities - Related Party'</w:t>
      </w:r>
      <w:r>
        <w:rPr>
          <w:rFonts w:ascii="Times New Roman" w:cs="Times New Roman" w:eastAsia="Times New Roman" w:hAnsi="Times New Roman"/>
          <w:sz w:val="18"/>
          <w:szCs w:val="18"/>
          <w:color w:val="auto"/>
        </w:rPr>
        <w:t xml:space="preserve"> in the condensed consolidated statements of operations and comprehensive income (loss).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Fair Value</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6"/>
                <w:szCs w:val="16"/>
                <w:color w:val="auto"/>
              </w:rPr>
            </w:pPr>
          </w:p>
        </w:tc>
        <w:tc>
          <w:tcPr>
            <w:tcW w:w="18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5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Markets for</w:t>
            </w: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5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76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60" w:type="dxa"/>
            <w:vAlign w:val="bottom"/>
          </w:tcPr>
          <w:p>
            <w:pPr>
              <w:spacing w:after="0"/>
              <w:rPr>
                <w:sz w:val="16"/>
                <w:szCs w:val="16"/>
                <w:color w:val="auto"/>
              </w:rPr>
            </w:pPr>
          </w:p>
        </w:tc>
        <w:tc>
          <w:tcPr>
            <w:tcW w:w="18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5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400" w:type="dxa"/>
            <w:vAlign w:val="bottom"/>
          </w:tcPr>
          <w:p>
            <w:pPr>
              <w:spacing w:after="0"/>
              <w:rPr>
                <w:sz w:val="16"/>
                <w:szCs w:val="16"/>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92"/>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24"/>
                <w:szCs w:val="24"/>
                <w:color w:val="auto"/>
              </w:rPr>
            </w:pPr>
          </w:p>
        </w:tc>
        <w:tc>
          <w:tcPr>
            <w:tcW w:w="18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60" w:type="dxa"/>
            <w:vAlign w:val="bottom"/>
          </w:tcPr>
          <w:p>
            <w:pPr>
              <w:spacing w:after="0"/>
              <w:rPr>
                <w:sz w:val="15"/>
                <w:szCs w:val="15"/>
                <w:color w:val="auto"/>
              </w:rPr>
            </w:pPr>
          </w:p>
        </w:tc>
        <w:tc>
          <w:tcPr>
            <w:tcW w:w="3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  Unobservable Inputs</w:t>
            </w:r>
          </w:p>
        </w:tc>
        <w:tc>
          <w:tcPr>
            <w:tcW w:w="400" w:type="dxa"/>
            <w:vAlign w:val="bottom"/>
          </w:tcPr>
          <w:p>
            <w:pPr>
              <w:spacing w:after="0"/>
              <w:rPr>
                <w:sz w:val="15"/>
                <w:szCs w:val="15"/>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95"/>
        </w:trPr>
        <w:tc>
          <w:tcPr>
            <w:tcW w:w="36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debt security - AFS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in debt security is stated at fair value as described in Note 3. Investments. The fair value of the Class D Units is estimated on an as-converted basis using a Black-Scholes model incorporating breakpoints upon which each tranche of equity participates in distributions. The as-converted shares related to the loan are included in the AeroFlexx capitalization table given the expectation that they will have been converted to Class D Units by the liquidity date.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Issuance</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3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to liquidity</w:t>
            </w:r>
          </w:p>
        </w:tc>
        <w:tc>
          <w:tcPr>
            <w:tcW w:w="24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3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below, see Note 5. Borrowings) are stated at fair value. Fair value is determined utilizing discounted cash flows, using unobservable market data inputs, and an option pricing model based on management’s probability 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is as follows:</w:t>
      </w:r>
    </w:p>
    <w:p>
      <w:pPr>
        <w:sectPr>
          <w:pgSz w:w="11900" w:h="16838" w:orient="portrait"/>
          <w:cols w:equalWidth="0" w:num="1">
            <w:col w:w="11240"/>
          </w:cols>
          <w:pgMar w:left="320" w:top="138" w:right="339" w:bottom="1440" w:gutter="0" w:footer="0" w:header="0"/>
        </w:sectPr>
      </w:pPr>
    </w:p>
    <w:p>
      <w:pPr>
        <w:spacing w:after="0" w:line="24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Embedded derivative within 2025 Note issued August 18, 2022 with a principal balance of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Financing</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86" w:lineRule="exact"/>
        <w:rPr>
          <w:sz w:val="20"/>
          <w:szCs w:val="20"/>
          <w:color w:val="auto"/>
        </w:rPr>
      </w:pPr>
    </w:p>
    <w:p>
      <w:pPr>
        <w:ind w:left="20" w:right="160"/>
        <w:spacing w:after="0" w:line="238" w:lineRule="auto"/>
        <w:rPr>
          <w:sz w:val="20"/>
          <w:szCs w:val="20"/>
          <w:color w:val="auto"/>
        </w:rPr>
      </w:pPr>
      <w:r>
        <w:rPr>
          <w:rFonts w:ascii="Times New Roman" w:cs="Times New Roman" w:eastAsia="Times New Roman" w:hAnsi="Times New Roman"/>
          <w:sz w:val="18"/>
          <w:szCs w:val="18"/>
          <w:i w:val="1"/>
          <w:iCs w:val="1"/>
          <w:color w:val="auto"/>
        </w:rPr>
        <w:t>Embedded derivative within 2025 Notes issued June 7 &amp; July 3, 2023 with an aggregate principal balance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94"/>
        </w:trPr>
        <w:tc>
          <w:tcPr>
            <w:tcW w:w="2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228"/>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449"/>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674" w:lineRule="exact"/>
        <w:rPr>
          <w:sz w:val="20"/>
          <w:szCs w:val="20"/>
          <w:color w:val="auto"/>
        </w:rPr>
      </w:pPr>
    </w:p>
    <w:p>
      <w:pPr>
        <w:sectPr>
          <w:pgSz w:w="11900" w:h="16838" w:orient="portrait"/>
          <w:cols w:equalWidth="0" w:num="2">
            <w:col w:w="6540" w:space="180"/>
            <w:col w:w="4520"/>
          </w:cols>
          <w:pgMar w:left="320" w:top="13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71% - 87%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30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control</w:t>
            </w:r>
          </w:p>
        </w:tc>
        <w:tc>
          <w:tcPr>
            <w:tcW w:w="30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assets and liabilities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8"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Embedded Derivative</w:t>
            </w:r>
          </w:p>
        </w:tc>
        <w:tc>
          <w:tcPr>
            <w:tcW w:w="220" w:type="dxa"/>
            <w:vAlign w:val="bottom"/>
          </w:tcPr>
          <w:p>
            <w:pPr>
              <w:spacing w:after="0"/>
              <w:rPr>
                <w:sz w:val="17"/>
                <w:szCs w:val="17"/>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Investment in debt</w:t>
            </w: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2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security - AFS</w:t>
            </w:r>
          </w:p>
        </w:tc>
      </w:tr>
      <w:tr>
        <w:trPr>
          <w:trHeight w:val="225"/>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6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7,738</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net change in fair value included in earnings for the three months ended September 30, 2024, and 2023 were $— and $451, respectively, and for the nine months ended September 30, 2024, and 2023 were $478 and $492,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Company's convertible promissory notes were converted in March 2024 and the related embedded derivative liabilities settled as part of this conversion (see Note 5. Borrowings)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fair value of the Company's convertible promissory notes as of December 31, 2023, was $4,501.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 9-15% interest, maturity: 36 – 60 months from issuance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(net of unamortized loan fees of $68 and $0)</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notes, 8% interest, maturity: 36 months from issuance</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14,907</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8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8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accrued interest of $— and $634 in long-term notes as of September 30, 2024, and December 31, 2023,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notes payable and notes payable to related parties mature as follows:</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9"/>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20" w:type="dxa"/>
            <w:vAlign w:val="bottom"/>
          </w:tcPr>
          <w:p>
            <w:pPr>
              <w:spacing w:after="0"/>
              <w:rPr>
                <w:sz w:val="24"/>
                <w:szCs w:val="24"/>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3"/>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1 Promissory Notes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noteholders with principal amounts totaling $396 converted their Series 1 promissory notes into 40,829 of Class B Preferred Units based on the Class B Preferred Unit issuance price of $9.6992 per share.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 During the nine months ended September 30, 2023, noteholders with principal amounts totaling $100 converted their Series 1 promissory notes into 10,310 of Class B Preferred Units based on the Class B Preferred Unit issuance price of $9.6992 per share.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the Company extended Series 1 promissory notes with principal of $122 and $421 for an additional year for the 1st and 2nd time at 12% from 9% and 15% from 12% interest, respectively. During the nine months ended September 30, 2023, the Company extended Series 1 promissory notes with principal of $772 and $616 for an additional year for the 1st and 2nd time at 12% from 9% and 15% from 12% interest, respectively.</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2024 and 2023, interest expense on the Series 1 promissory notes was approximately $39 and $82, respectively, and for the nine months ended September 30, 2024 and 2023, interest expense on the Series 1 promissory notes was approximately $138 and $246, respectively, and is included in interest expense on the condensed consolidated statements of operations and comprehensive income (loss). The interest expense on Series 1 promissory notes includes the amortization of issuance costs of $— and $8, for the three months ended September 30, 2024 and 2023, respectively, and $— and $26, for the nine months ended September 30,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note with the first party contains a loan fee of $1,000 which is payable with the repayment of the principal amount of the note and the note with the second party contains interest at the rate of 11.5% per annum. The principal amounts, loan fees and accrued interest are repayable at the earlier of October 15, 2024 and the first business day following the date of consummation of the business combination, as discussed in Note 1 above.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holders of these notes have an option to receive equity in form of shares of Series A Preferred Stock of Innventure, Inc, in lieu of receipt of cash repayment of all amounts due under the notes. Such shares will be equal to all amounts due under the notes including loan fees and accrued interest, divided by the original issue price of such preferred stock, with substantially the same terms as the designations, powers, preferences and other rights, and the qualifications, limitations and restrictions of the Series A Preferred Stock set forth at the time of original issue.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interest expense on these related party notes, including amortization of loan fee in form of debt discount, was $932.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note matures on December 21, 2024. Upon maturity, the Company is required to repay the outstanding principal amount of $1,000 and a loan fee equal to approximately $63. There is no stated interest as per the terms of the executed agreement but it provides for interest at the rate of 8% per annum on the outstanding amount from the maturity date if the Company fails to pay any amount due on the maturity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2024, the 8% convertible promissory notes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Company recognized $231 in interest expense associated with the 2025 Notes discounts and the contractual interest expense for 2024 was $120.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recognized $204 and $293, respectively, in interest expense associated with the 2025 Notes discounts and the contractual interest expense for the three and nine months ended September 30, 2023 was $46 and $316,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unamortized discount was $— and $2,133,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consisting of raw materials and finished goods are stated at the lower of cost or net realizable value. Cost of our inventories is determined by costing methods that approximate an average cost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2,824</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5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53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120" w:type="dxa"/>
            <w:vAlign w:val="bottom"/>
          </w:tcPr>
          <w:p>
            <w:pPr>
              <w:spacing w:after="0"/>
              <w:rPr>
                <w:sz w:val="24"/>
                <w:szCs w:val="24"/>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4"/>
                <w:szCs w:val="24"/>
                <w:color w:val="auto"/>
              </w:rPr>
            </w:pPr>
          </w:p>
        </w:tc>
        <w:tc>
          <w:tcPr>
            <w:tcW w:w="398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3120" w:type="dxa"/>
            <w:vAlign w:val="bottom"/>
          </w:tcPr>
          <w:p>
            <w:pPr>
              <w:spacing w:after="0"/>
              <w:rPr>
                <w:sz w:val="15"/>
                <w:szCs w:val="15"/>
                <w:color w:val="auto"/>
              </w:rPr>
            </w:pPr>
          </w:p>
        </w:tc>
        <w:tc>
          <w:tcPr>
            <w:tcW w:w="2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Units Authorized</w:t>
            </w:r>
          </w:p>
        </w:tc>
        <w:tc>
          <w:tcPr>
            <w:tcW w:w="1900" w:type="dxa"/>
            <w:vAlign w:val="bottom"/>
            <w:gridSpan w:val="2"/>
          </w:tcPr>
          <w:p>
            <w:pPr>
              <w:jc w:val="right"/>
              <w:ind w:right="210"/>
              <w:spacing w:after="0" w:line="174" w:lineRule="exact"/>
              <w:rPr>
                <w:sz w:val="20"/>
                <w:szCs w:val="20"/>
                <w:color w:val="auto"/>
              </w:rPr>
            </w:pPr>
            <w:r>
              <w:rPr>
                <w:rFonts w:ascii="Times New Roman" w:cs="Times New Roman" w:eastAsia="Times New Roman" w:hAnsi="Times New Roman"/>
                <w:sz w:val="18"/>
                <w:szCs w:val="18"/>
                <w:b w:val="1"/>
                <w:bCs w:val="1"/>
                <w:color w:val="auto"/>
              </w:rPr>
              <w:t>Units Issued and</w:t>
            </w:r>
          </w:p>
        </w:tc>
        <w:tc>
          <w:tcPr>
            <w:tcW w:w="160" w:type="dxa"/>
            <w:vAlign w:val="bottom"/>
          </w:tcPr>
          <w:p>
            <w:pPr>
              <w:spacing w:after="0"/>
              <w:rPr>
                <w:sz w:val="15"/>
                <w:szCs w:val="15"/>
                <w:color w:val="auto"/>
              </w:rPr>
            </w:pPr>
          </w:p>
        </w:tc>
        <w:tc>
          <w:tcPr>
            <w:tcW w:w="1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Units Authorized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right"/>
              <w:ind w:right="230"/>
              <w:spacing w:after="0" w:line="174" w:lineRule="exact"/>
              <w:rPr>
                <w:sz w:val="20"/>
                <w:szCs w:val="20"/>
                <w:color w:val="auto"/>
              </w:rPr>
            </w:pPr>
            <w:r>
              <w:rPr>
                <w:rFonts w:ascii="Times New Roman" w:cs="Times New Roman" w:eastAsia="Times New Roman" w:hAnsi="Times New Roman"/>
                <w:sz w:val="18"/>
                <w:szCs w:val="18"/>
                <w:b w:val="1"/>
                <w:bCs w:val="1"/>
                <w:color w:val="auto"/>
              </w:rPr>
              <w:t>Units Issued and</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0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94"/>
        </w:trPr>
        <w:tc>
          <w:tcPr>
            <w:tcW w:w="3120" w:type="dxa"/>
            <w:vAlign w:val="bottom"/>
            <w:tcBorders>
              <w:bottom w:val="single" w:sz="8" w:color="CCEEFF"/>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90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6,722,562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5,609,951</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6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ectPr>
          <w:pgSz w:w="11900" w:h="16838" w:orient="portrait"/>
          <w:cols w:equalWidth="0" w:num="1">
            <w:col w:w="11240"/>
          </w:cols>
          <w:pgMar w:left="320" w:top="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8"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B and B-1 Preferred Unitholders are entitled to distributions at a rate of 6% per year of unreturned capital of preferred units. Class B and B-1 Preferred Unitholders have accumulated $4,743 and $359, respectively, in unreturned preferred returns as of September 30, 2024 and $2,555 and $210, respectively,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continued to receive additional capital in connection with its Class B Preferred Unit capital raise which closed on January 26, 2024. The Company received $13,932 and $8,771 in cash during the nine months ended September 30, 2024 and 2023 and issued 1,437,868 and 904,375 new Class B Preferred Units, respectively, at the issuance price of $9.6992 per share. For the three months ended September 30, 2024 and 2023, the Company received $3,384 and $5,382 in cash and issued 350,360 and 554,966 new Class B Preferred Units, respectively, at the issuance price of $9.6992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costs related to the Equity Incentive Plan of $41 and $51 for the three months ended September 30, 2024 and 2023, respectively, and $137 and $153 for the nine months ended September 30, 2024 and 2023, respectively. As of September 30, 2024, the Company has $234 in unit-based compensation expense remaining to be recognized over approximately 1.4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Equity Plan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months ended September 30, 2023, there were 109,000 Class C units granted under the Subsidiary Equity Plan with a grant date fair value of $3.51. There were no Class C units granted under the Subsidiary Equity Plan during the three months ended September 30, 2024. During the nine months ended September 30, 2024 and 2023, there were 110,000 and 347,000 Class C units granted under the Subsidiary Equity Plan with a grant date fair value of $4.41 and $3.51, respectively.</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$326 and $244 for the three months ended September 30, 2024 and 2023, respectively, and $919 and $480 for the nine months ended September 30, 2024 and 2023, respectively, which is recorded in general and administrative, sales and marketing and research and development in the condensed consolidated statements of operations and comprehensive income (loss). As of September 30, 2024, the Subsidiary has $1,633 in unit-based compensation expense remaining to be recognized over approximately 1.7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no income tax provision was recorded due to maintenance of a full valuation allowance against net deferred tax assets as of December 31, 2023 due to the Company’s history of losses and the Company’s belief that it is not more likely than not the benefit will be realized. There was no income tax effect for the three and nine months ended September 30, 2023. The effective tax rate was zero for the three and nine months ended September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Unit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for the basic earnings per unit calculations using the two 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r>
      <w:tr>
        <w:trPr>
          <w:trHeight w:val="229"/>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(16,848)</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Company had a convertible promissory note to the ESG Fund as part of the 2025 Notes which was converted during the nine months ended September 30, 2024. The Company also has short-term notes with three separate related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Innventure1</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related party liability established in connection with the ownership interest in the Company's PCT common stock assigned by Innventure1 to investors that are considered related parties of the Company was revalued to $125 and $53 as of September 30, 2024 and December 31, 2023, respectively. The change in value was included in Net (loss) gain on investments – due to related parties in the condensed consolidated statements of operations and comprehensive income (loss).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the ESG Fund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ESG Fund. Expenses which meet certain criteria are reimbursed to the Company by the ESG Fund. Amounts paid by the Company not reimbursed by the ESG Fund totaled $11 and $30 for the three months ended September 30, 2024 and 2023, respectively, and $46 and $39 for the nine months ended September 30, 2024 and 2023, respectively. There was a receivable of $6 and $2 as of September 30, 2024 and December 31, 2023, respectively, related to those expenses included in Due from related parties in the condensed consolidated balance sheets.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a 1-2% management fee for administrative, finance and accounting, and other back-office functions from the ESG Fund. Management fees earned from the ESG Fund totaled $195 and $198 for the three months ended September 30, 2024 and 2023, respectively, and $588 and $592 for the nine months ended September 30, 2024 and 2023, which is recorded as Management fee income - related parties in the condensed consolidated statements of operations and comprehensive income (loss).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a related party, to sell 145,161 shares of PCT common stock with an exercise price of $1. The option period would have expired on July 22, 2024, and the Company measured the derivative liability at fair value. The option was exercised in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the shares are subject to the lock-up provisions. The liability due to the ESG Fund as of September 30, 2024 and December 31, 2023 was $690 and $294, respectively, and is included in Related party payables in the condensed consolidated balance sheets.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sold 23,712 of Accelsius Class A Units to the ESG Fund for aggregate proceeds of approximately $104. This amount is reflected in non-controlling interests in the condensed consolidated statements of changes in unitholders' deficit.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AeroFlexx</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$3 and $18 for the three months ended September 30, 2024 and 2023, respectively, and $14 and $76 for the nine months ended September 30, 2024 and 2023, respectively. There was a receivable of $205 and $— as of September 30, 2024 and December 31, 2023, respectively, related to those expenses included in Due from related parties 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PCT Guaranty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2024 and December 31, 2023, there is no principal outstanding under the guaranty.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Agreement Contingent Fees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minimum patent royalties included in Patent installment payables on the condensed consolidated balance sheets are due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Equity of Innventure, Inc.</w:t>
      </w:r>
    </w:p>
    <w:p>
      <w:pPr>
        <w:spacing w:after="0" w:line="2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the Company received $10,870 of advance funds for future equity issuance of Holdco upon Closing on the business combination. This amount is shown within </w:t>
      </w:r>
      <w:r>
        <w:rPr>
          <w:rFonts w:ascii="Times New Roman" w:cs="Times New Roman" w:eastAsia="Times New Roman" w:hAnsi="Times New Roman"/>
          <w:sz w:val="18"/>
          <w:szCs w:val="18"/>
          <w:i w:val="1"/>
          <w:iCs w:val="1"/>
          <w:color w:val="auto"/>
        </w:rPr>
        <w:t>'Liability for future preferred stock issuance'</w:t>
      </w:r>
      <w:r>
        <w:rPr>
          <w:rFonts w:ascii="Times New Roman" w:cs="Times New Roman" w:eastAsia="Times New Roman" w:hAnsi="Times New Roman"/>
          <w:sz w:val="18"/>
          <w:szCs w:val="18"/>
          <w:color w:val="auto"/>
        </w:rPr>
        <w:t xml:space="preserve"> of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 Data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businesses include corporate (including service activities) and technology businesses. Reportable segment information for the three and nine months ended September 30, 2024 and 2023, respectively,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36"/>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5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43,260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6"/>
              </w:rPr>
              <w:t>22,953</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44,327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6"/>
              </w:rPr>
              <w:t>16,246</w:t>
            </w:r>
          </w:p>
        </w:tc>
      </w:tr>
      <w:tr>
        <w:trPr>
          <w:trHeight w:val="229"/>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(31,856)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(17,635)</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55,731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6"/>
              </w:rPr>
              <w:t>21,564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September 30, 2024, management has evaluated events through November 14, 2024 which is the date the condensed consolidated financial statements were available to be issued. Events occurring after September 30, 2024 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business combination consummation ("Closing") occurred on the Closing Date and, as a result of the business combination, (a) each Learn CW Class A ordinary share and Class B ordinary share issued and outstanding immediately prior to Closing (and not cancelled or redeemed) was converted into the right to receive one share of Holdco common stock, par value $0.0001 ("Common Stock"); (b) each Learn CW public warrant and private placement warrant outstanding immediately prior to Closing was assumed by Holdco and converted into a Holdco warrant ("Warrant"); (c) the Innventure LLC equity units (other than the Innventure LLC Class PCTA units ("PCTA Units") and Class I units ("Class I Units")) issued and outstanding immediately prior to Closing were converted into the right to receive shares of Holdco common stock; and (d) the PCTA Units and the Class I Units of Innventure LLC remained outstanding.</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Closing, each of Learn CW and Innventure LLC are subsidiaries of Holdco, Holdco changed its name to "Innventure, Inc." and Holdco became a publicly traded company. Holdco's shares of Common Stock began trading on Nasdaq under the symbol “INV” on October 3, 2024. While Holdco intended for and expected its Warrants to trade on Nasdaq,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preliminarily accounted for as a reverse recapitalization in accordance with GAAP, and under this method of accounting, Learn CW was treated as the acquired company for financial reporting purposes and Innventure LLC was treated as the accounting acquirer.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Innventure Merger (the “Merger Consideration”) paid to the Innventure Members (as defined in the definitive proxy statement filed with the SEC on September 10, 2024 by Learn CW) consisted of 43,490,268 shares of Common Stock. A portion of this Merger Consideration to be delivered to Innventure Members consists of a contingent right to receive up to 5,000,000 shares of Common Stock (the “Company Earnout Shares”), which shares are subject to the following milestone conditions (collectively, the “Milestone Conditions”):</w:t>
      </w:r>
    </w:p>
    <w:p>
      <w:pPr>
        <w:spacing w:after="0" w:line="193" w:lineRule="exact"/>
        <w:rPr>
          <w:sz w:val="20"/>
          <w:szCs w:val="20"/>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Accelsius Holdings LLC (Accelsius” or “ACC”) having entered into binding contracts providing for revenue for the Company Group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within 7 years following the Closing (the “Vesting Period”) in excess of $15,000 in revenue ("Milestone One");</w:t>
      </w: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Holdco’s formation of a new subsidiary, in partnership with an MNC (as defined in the Business Combination Agreement), as determined using the Innventure LLC's “DownSelect” process, within the Vesting Period ("Milestone Two");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Company Earnout Shares will be issuable upon AeroFlexx, LLC having received in excess of $15,000 revenue within the Vesting Period ("Milestone Three").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44,602,673 shares of Common Stock and 18,646,000 Warrants issued and outstanding. As of the Closing, the Innventure Members owned approximately 86.3% of the Holdco’s outstanding shares of Common Stock, and the former shareholders of Learn CW, including (i) Learn CW's sponsor, CWAM LC Sponsor LLC (the “Sponsor”) and (ii) Learn CW's independent directors, owned approximately 13.7% of Holdco’s outstanding shares of Common Stock.</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30, 2024, Learn CW held an extraordinary general meeting in which Learn CW's shareholders approved the business combination of Learn CW, Innventure LLC, Holdco, and the Merger Subs, pursuant to the transactions contemplated by the Business Combination Agreement. As a result, effective on the Closing Date, 250,000,000 shares of Holdco common stock, par value $0.0001 per share, were authorized and 25,000,000 shares of Holdco preferred stock, par value $0.0001 per share, were authorized. Of the 25,000,000 shares of preferred stock authorized by the Amended and Restated Certificate of Incorporation, the Holdco board of directors designated 3,000,000 shares as Series B preferred stock ("Series B Preferred Shares").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Learn CW shareholders holding 8,310,747 Learn CW Class A ordinary shares exercised their right to redeem such shares for cash at a redemption price of approximately $11.04 per share, for an aggregate redemption amount of $91,721. On October 3, 2024, Learn CW paid such shareholders the aggregate amount of $91,721 for the redemption from the assets held as cash investments in the Learn CW trust account.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Holdco settled obligations of Learn CW including (a) outstanding accounts payable and accrued expenses totaling $9,233 and (b) the outstanding amount of the promissory note due to the Sponsor totaling $4,628. Additionally, Holdco settled obligations of Innventure LLC including transaction-related items of $6,493 as part of the Closing. In total, Holdco paid $20,354 to settle these obligations using cash from the Learn CW trust account and financing secured through Series B Preferred Shares, which is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Shares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Closing Date Holdco issued 750,000 Series B Preferred Shares to Commonwealth Asset Management LP (together with its assignee, "CWAM LP"), an affiliate of the Sponsor, and 352,000 Series B Preferred Shares to certain purchasers (together with CWAM LP, the "Series B Investors"), for a total of 1,102,000 Series B Preferred Shares at a purchase price of $10.00 per share (the “Original Issue Price”) and a total amount of $11,020.</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Series B Preferred Shares will convert into Common Stock on the fifth anniversary of the issue date, or owners can choose to convert before this date. The number of shares of Common Stock that each holder of Series B Preferred Shares will receive upon conversion of all of such holder’s shares of Series B Preferred Shares will be the number of shares equal to the Conversion Rate (as defined below) multiplied by the number of shares of Series B Preferred Shares held by such holder (subject to a threshold amount). No fractional shares shall be issued upon the exercise of any conversion right. Any fractional shares that a holder would otherwise be entitled to will be rounded up to the next whole share. The conversion rate (“Conversion Rate”) will equal a fraction whose numerator is the Original Issue Price, which is $10.00 per share of Series B Preferred Shares and whose denominator is the lesser of (i) the Reset Conversion Price and (ii) $12.50, where the “Reset Conversion Price” means the greater of (a) $5.00 and (b) the 10-trading day volume-weighted average closing price of the Common Stock of Holdco.</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Shares shall rank senior in priority of payment to all junior stock ("Junior Stock") and parity stock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up, dissolution, dividend and redemption rights, the Series B Preferred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and senior in priority of payment to all Junior Stock in any liquidation, dissolution, winding up or distribution of Holdco, and junior to any existing or future secured or unsecured indebtedness and other liabilities (including trade payables) of Holdco.</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Per each whole share of Series B Preferred Shares, the holders of Series B Preferred Shares are entitled to cast the number of votes equal to (i) $10.00, divided by (ii) the Minimum Price (which shall have the meaning assigned in Nasdaq Listing Rule 5635(d)) of Common Stock as of the initial issue date of the Series B Preferred Shares and will vote with the holders of Common Stock as a single class an on an as-converted basis, except as provided by law or applicable to Nasdaq Listing Rules. Holders of Series B Preferred Shares can vote along with holders of Common Stock, but their voting power, on an as-converted basis cannot exceed 19.99% of the total outstanding voting power.</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Dividends for Series B Preferred Shares will accrue annually at 8.0% of the liquidation preference, defined as, with respect to a holder, the Original Issue Price multiplied by the number of Series B Preferred Shares held by the holder. All dividends are prior to and in preference over any dividend on any Junior Stock or Parity Stock and shall be declared and fully paid before any dividends are declared and paid, or any other distributions are made, on any Junior Stock or Parity Stock. Dividends will be due and payable annually in arrears as payment in kind on each the last day of the last quarter in each fiscal year of Holdco. Holders are also eligible to receive dividends declared on Common Stock.</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2024, all Innventure LLC unvested Employee Class C Equity Incentive Plan Units vested according to the accelerated vesting trigger in the board resolution dated October 26th, 2023. The triggering event was the Closing of a special purpose acquisition company transaction. The accelerated vesting results in 213,533 units vesting and an additional compensation expense of $234 recognized in October 2024 related to the acceleration.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sold 331,006 of Accelsius Series A Units for aggregate proceeds of approximately $4,030. This amount will be reflected in non-controlling interests in the condensed consolidated statements of changes in unitholders' deficit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advanced funds in the amount of $925 to AeroFlexx.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and Security Agreement</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22, 2024, the Company entered into a Loan and Security Agreement with WTI Fund X, Inc. and WTI Fund XI, Inc., (collectively, “WTI Lenders”), as supplemented by the Supplement (the “Supplement”) to the Loan and Security Agreement, dated October 22, 2024, by and among the Company and the WTI Lenders (the “Loan and Security Agreement” and, together with the Supplement and other related loan documents, the “Loan Documents”). The Loan and Security Agreement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interest-only period of twelve months in the case of the First Tranche and six months in the case of each of the Second Tranche and the Third Tranche, in equal monthly installments over a period of thirty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drawn down any funds from this term loan facility. Obligations under the Loan Documents are secured by a lien on substantially all of the assets of Innventure LLC and the Company.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Inc. issued two warrants to purchase up to an aggregate total of 1,000,000 shares of Common Stock, to WTI Fund X, LLC and WTI Fund XI, LLC (each an affiliate of the WTI Lenders, collectively, the "WTI Holders"), respectively (the “WTI Warrants”). Each warrant is exercisable into one share of Common Stock at price of $0.01 per share (subject to certain limitations, adjustment and certain other rights to possible future financings, such as subsequent round stock (as defined in the Warrant Agreement), in accordance with terms of the WTI Warrants) through March 31, 2025. The WTI Warrants include customary registration rights and change-of-control adjustments and may be exchanged, at the WTI Holders' option, for a cash amount equal to $15 million (in the aggregate), subject to adjustment to the extent a WTI Warrant is partially exercised, in lieu of exercise upon a change of control, at any time from and after the four-year anniversary of October 22, 2024. In connection with any equity or convertible debt securities that Innventure, Inc may from time to time propose to offer or sell after the date of issuance of the WTI Warrants, the WTI Holders will also have the option to purchase up to $5 million (in the aggregate) or such amount as is necessary for each of WTI Holder to maintain its pro rata ownership in certain future financings conducted by Innventure, Inc, subject to customary exclusions.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Ducera</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31, 2024, the Company entered into an engagement letter with Ducera Partners, LLC and its affiliates including, where appropriate, Ducera Securities LLC (collectively ("Ducera") under which Ducera was retained to provide the Company with financial advisory and investment banking services. Pursuant to the engagement letter, Ducera is compensated for services rendered through a financing fee, which is calculated as a percentage of the debt and equity financing the Company raises. Per the terms of the engagement letter, the financing fee is equal to (i) 1.0% of secured debt raised payable in cash and 1.0% of secured debt raised payable in warrants; (ii) 2.0% of unsecured debt raised payable in cash and 2.0% of unsecured debt raised payable in warrants; and (iii) 4.0% of equity raised payable in cash and 4.0% of equity raised payable in warrants.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October 2, 2024, as described above in this footnote, the Company issued the Series B Preferred Shares for a total amount of $11,020. In connection with this issuance of equity securities, a financing fee became payable to Ducera, with $441 payable in cash and $441 payable in warrants (each calculated as 4% of $11,020). The $441 payable in cash, plus an additional $8 of expenses, was paid in cash on October 2, 2024 as part of the Company's transaction-related items settled at Closing with the remainder of the obligation outstanding. The Company and Ducera are currently discussing the appropriate satisfaction of the outstanding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Grail</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previously entered into an agreement with Grail Partners, LLC ("Grail") on October 19, 2023, pursuant to which Grail was retained to provide the Company with financial advisory and merchant banking services in relation to the business combination transaction. Pursuant to this agreement, the Company agreed to pay a $50 monthly retainer fee upon execution of the agreement and at the time of closing of the business combination, a minimum success fee of 1.25% of the aggregate value of all consideration in connection with the business combination. The success fee on the Closing Date was calculated as approximately $5,717.</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18, 2024, the Company entered into an amendment to the agreement with Grail, pursuant to which, the Company agreed to promptly pay, for services previously rendered, a success fee of $600 in cash ("Cash Success Fee") and an additional success fee of $3,000 (the "Equity Success Fee") in preferred stock of Innventure, Inc. Under the amendment, the Company and Grail agreed that the Cash Success Fee and Equity Success Fee replace the success fee under the original agreement and will be paid in addition to the aggregate monthly retainer fee of $550 previously paid.</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entered into a letter agreement with Grail on October 18, 2024, in which Grail will provide financial advisory services to the Company for a term of 15 months, commencing on November 1, 2024. During the term, the Company will pay Grail a monthly fee, in cash, of $100 payable monthly in arrears beginning on December 1, 2024. An amount of $625 of the aggregate $1,500 of fees that may otherwise accrue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agreement are contingent upon the achievement of the Milestone Conditions set forth in the Business Combination Agreement, such that $250 is contingent the achievement of Milestone One, $250 is contingent on the achievement of Milestone Two, and $125 is contingent on the achievement of Milestone Three. If any Milestone Condition is not achieved by October 2, 2031, then the fee contingent upon the achievement of such milestone will not be payable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Roth</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previously entered into a letter agreement with Roth Capital Partners, LLC ("Roth") in July 2024, pursuant to which Roth was engaged to provide capital markets advisory services for a duration of twelve months. The Company paid Roth an advisory fee of $500, payable at the time of Closing of the business combination transaction. Of the advisory fee, a minimum of $250 could be paid in cash and, at the option of Company (or Innventure Inc.), up to 50%, or $250, can be paid in cash or Common Stock, based upon a value of $10.00 per share (subject to adjustment if certain conditions were met and such conditions were not met on the applicable date). On October 2, 2024, the Company paid $250 in cash and on October 31, the Company issued to Roth 25,000 shares of Common Stock in settlement of $250 of the advisory fee (accordingly, at an effective price of $10.00 per share)</w:t>
      </w:r>
      <w:r>
        <w:rPr>
          <w:rFonts w:ascii="Times New Roman" w:cs="Times New Roman" w:eastAsia="Times New Roman" w:hAnsi="Times New Roman"/>
          <w:sz w:val="18"/>
          <w:szCs w:val="18"/>
          <w:u w:val="single" w:color="auto"/>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Unsecured Promissory Note Amendments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2024, the Company entered into amended and restated agreements to amend the terms of the unsecured promissory notes with two related parties, with principal amounts of $10,000 and $2,000, respectively, as described in Note 5. Borrowings.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on the note with the first party, became due on or around the amendment date but has not yet been paid and interest will now accrue at the rate of 15.99% per annum.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amended note with the second party, the maturity date was extended to January 31, 2025, and the interest rate was increased from 11.5% to 13.5% per annum. Additionally, $1,000 of the principal amount became due on or around the amendment date but has not yet been paid.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amendments, the two related parties no longer have an option to receive equity in form of shares of Series A preferred stock of Innventure, Inc, in lieu of receipt of cash repayment of all amounts due under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Holdco entered into the SEPA with Yorkville on October 24, 2023. Pursuant to the SEPA and subject to certain conditions and limitations, the Company has the option, but not the obligation, to sell to Yorkville, and Yorkville must subscribe for, an aggregate amount of up to $75,000 of Holdco’s Common Stock, at the Company’s request any time during the commitment period commencing on the Closing Date and continuing for a term of three years. Holdco agreed and paid, to YA Global II SPV, LLC, a subsidiary of Yorkville, (i) a structuring fee in the amount of $25 and (ii) a commitment fee of $375.</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Each advance that Holdco issues in writing to Yorkville under the SEPA (each, an “Advance,” and notice of such request, and “Advance Notice”) may be in an amount of Common Stock up to the greater of (i) $10,000 or (ii) the aggregate daily trading volume of Common Stock for the five trading days prior to Holdco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1, 2027 and (ii) the date on which Yorkville shall have made payment of advances pursuant to the SEPA for Common Stock equal to the commitment amount of $75,000.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Holdco has not sold any shares to Yorkville pursuant to the SEPA.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8" w:right="339" w:bottom="1440" w:gutter="0" w:footer="0" w:header="0"/>
        </w:sectPr>
      </w:pPr>
    </w:p>
    <w:bookmarkStart w:id="35" w:name="page36"/>
    <w:bookmarkEnd w:id="35"/>
    <w:p>
      <w:pPr>
        <w:spacing w:after="0" w:line="217" w:lineRule="exact"/>
        <w:rPr>
          <w:sz w:val="20"/>
          <w:szCs w:val="20"/>
          <w:color w:val="auto"/>
        </w:rPr>
      </w:pPr>
    </w:p>
    <w:p>
      <w:pPr>
        <w:ind w:right="1060"/>
        <w:spacing w:after="0" w:line="263"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OF INNVENTURE</w:t>
      </w:r>
    </w:p>
    <w:p>
      <w:pPr>
        <w:spacing w:after="0" w:line="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"Innventure", "we", "us", "our" and "the Company" refer to the business and operations of Innventure LLC and its consolidated subsidiaries for all periods prior to the Closing, and to the business and operations of Innventure, Inc. and its consolidated subsidiaries for all periods after the Closing. Unless otherwise indicated, all dollar amounts ("$") are expressed in thousands.</w:t>
      </w:r>
    </w:p>
    <w:p>
      <w:pPr>
        <w:spacing w:after="0" w:line="21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as of September 30, 2024 and for the three and nine months ended September 30, 2024 and 2023 included in Item 1 of this Quarterly Report on Form 10-Q ("Form 10-Q") and our audited consolidated financial statements and related notes as of and for the year ended December 31, 2023 included in our definitive proxy statement/consent solicitation statement/prospectus, dated September 10, 2024 (the "Proxy Statement/Prospectus").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Additionally, our historical results are not necessarily indicative of the results that may be expected for any period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Technologies, Inc. (“PureCycle” or “PCT”) in late 2015 (technology sourced from P&amp;G), AeroFlexx, LLC (“AeroFlexx” or “AFX”) in 2018 (technology sourced from P&amp;G), and Accelsius Holdings LLC (“Accelsius” or “ACC”) in 2022 (technology sourced from Nokia). PureCycle became a publicly traded company in 2021 and Innventure no longer has an economic interest in PureCycle.</w:t>
      </w:r>
    </w:p>
    <w:p>
      <w:pPr>
        <w:spacing w:after="0" w:line="2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20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customers, (4) the ability to create sustainable competitive advantages,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21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sheet, which we believe can provide excellent potential returns to Innventure shareholders as described in more detail in this section.</w:t>
      </w:r>
    </w:p>
    <w:p>
      <w:pPr>
        <w:spacing w:after="0" w:line="25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20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Operating Companies and potentially maximizing value for investors and other stakeholders. As part of the new “Disruptive Conglomerate Model,”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AeroFlexx, Accelsius and Innventure’s future subsidiary companies that Innventure founds, funds, and operates going forward (the “Operating Companies”). We are currently deploying this advanced approach with Accelsius, and we will continue to deploy it following the business combination.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5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October 24, 2023, Learn CW Investment Corporation, ("Learn CW") and Innventure LLC entered into a Business Combination Agreement with Learn SPAC HoldCo, Inc., ("Holdco"), LCW Merger Sub, Inc., a direct, wholly-owned subsidiary of Holdco ("LCW Merger Sub") and Innventure Merger Sub, LLC, a direct, wholly-owned subsidiary of Holdco ("Innventure Merger Sub" and, together with LCW Merger Sub, the "Merger Subs"). On September 30, 2024, the stockholders of Learn CW approved the business combination, and the business combination closed on October 2, 2024 (the "Closing Date"). The business combination was preliminarily accounted for as a reverse recapitalization and Innventure LLC has been determined to be the accounting acquirer and the Predecessor under the preliminary analysis. The information provided in this Form 10-Q only reflects the financial condition and results of operations of the Predecessor.</w:t>
      </w:r>
    </w:p>
    <w:p>
      <w:pPr>
        <w:spacing w:after="0" w:line="21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two reportable segments: (i) Corporate ("Corporate") and (ii) Technology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three and nine months ended September 30, 2024 includes the following highlights:</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Technology segment began generating revenue related to its cooling systems for data centers.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operational expenses of approximately $3,637 and $10,483, respectively, relate to public readiness activities connected with the business combination for the three and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37" w:name="page38"/>
    <w:bookmarkEnd w:id="37"/>
    <w:p>
      <w:pPr>
        <w:ind w:left="660"/>
        <w:spacing w:after="0" w:line="261" w:lineRule="auto"/>
        <w:rPr>
          <w:sz w:val="20"/>
          <w:szCs w:val="20"/>
          <w:color w:val="auto"/>
        </w:rPr>
      </w:pPr>
      <w:r>
        <w:rPr>
          <w:rFonts w:ascii="Times New Roman" w:cs="Times New Roman" w:eastAsia="Times New Roman" w:hAnsi="Times New Roman"/>
          <w:sz w:val="18"/>
          <w:szCs w:val="18"/>
          <w:color w:val="auto"/>
        </w:rPr>
        <w:t>2024. Increased headcount within both the Corporate and Technology segments accounted for approximately $1,793 and $7,000 for the three and nine months ended September 30, 2024, respectively.</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from equity raises were approximately $26,981 compared to net cash outflows related to operating, investing and remaining financing activity of $13,259 for the nine months ended September 30, 2024.</w:t>
      </w:r>
    </w:p>
    <w:p>
      <w:pPr>
        <w:jc w:val="both"/>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filed several amendments to its registration statement on Form S-4 with the U.S. Securities and Exchange Commission (the “SEC”) during the three months ended September 30, 2024 as it progressed toward completion of the business combination and shareholders of Learn CW voted to approve the business combination on September 30, 2024, after receiving effectiveness notice from the SEC. As noted above, the business combination was subsequently completed on October 2,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 (in thousands, except as otherwise noted) (Unaudited)</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 %</w:t>
            </w:r>
          </w:p>
        </w:tc>
        <w:tc>
          <w:tcPr>
            <w:tcW w:w="0" w:type="dxa"/>
            <w:vAlign w:val="bottom"/>
          </w:tcPr>
          <w:p>
            <w:pPr>
              <w:spacing w:after="0"/>
              <w:rPr>
                <w:sz w:val="1"/>
                <w:szCs w:val="1"/>
                <w:color w:val="auto"/>
              </w:rPr>
            </w:pPr>
          </w:p>
        </w:tc>
      </w:tr>
      <w:tr>
        <w:trPr>
          <w:trHeight w:val="229"/>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320" w:type="dxa"/>
            <w:vAlign w:val="bottom"/>
            <w:gridSpan w:val="2"/>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(1,539.5)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Net Loss Attributable to Innventure</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LLC Unitholders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shd w:val="clear" w:color="auto" w:fill="CCEEFF"/>
          </w:tcPr>
          <w:p>
            <w:pPr>
              <w:spacing w:after="0"/>
              <w:rPr>
                <w:sz w:val="20"/>
                <w:szCs w:val="20"/>
                <w:color w:val="auto"/>
              </w:rPr>
            </w:pPr>
          </w:p>
        </w:tc>
        <w:tc>
          <w:tcPr>
            <w:tcW w:w="1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(1,926.6)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(1,998.9)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2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of taxes: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loss on AFS debt securities -</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(28,854)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60.7 %</w:t>
            </w:r>
          </w:p>
        </w:tc>
        <w:tc>
          <w:tcPr>
            <w:tcW w:w="0" w:type="dxa"/>
            <w:vAlign w:val="bottom"/>
          </w:tcPr>
          <w:p>
            <w:pPr>
              <w:spacing w:after="0"/>
              <w:rPr>
                <w:sz w:val="1"/>
                <w:szCs w:val="1"/>
                <w:color w:val="auto"/>
              </w:rPr>
            </w:pPr>
          </w:p>
        </w:tc>
      </w:tr>
      <w:tr>
        <w:trPr>
          <w:trHeight w:val="184"/>
        </w:trPr>
        <w:tc>
          <w:tcPr>
            <w:tcW w:w="33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(1,539.5)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w:t>
            </w: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(17,092)</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-3925570</wp:posOffset>
            </wp:positionV>
            <wp:extent cx="6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-3925570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-3925570</wp:posOffset>
            </wp:positionV>
            <wp:extent cx="5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-3925570</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Revenue was $764 for the nine months ended September 30, 2024, as compared to $893 for the nine months ended September 30, 2023, a decrease of $129, or 14.4%. The decrease was primarily due to $225 of non-recurring consulting revenue generated to certain third parties for the nine months ended September 30, 2023. The decrease was partially offset by new product sales within the Technology segment during the nine months ended September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Cost of sales was $777 for the nine months ended September 30, 2024 as compared to $— for the nine months ended September 30, 2023, an increase of $777, or 100.0%. This increase is due to the fact that the Technology segment was pre-revenue in 2023 and started generating revenue from product sales during the nine months ended September 30, 2024. Cost of sales relate to those costs incurred to generate the new product sale revenue.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was $25,323 for the nine months ended September 30, 2024 as compared to $9,878 for the nine months ended September 30, 2023, an increase of $15,445, or 156.4%. This increase in expenditure was primarily attributed to an increase in professional services, legal fees, and consulting fees related to the business combination. The remaining increase in expenditure was due to increased employee costs as a result of increased headcount.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Sales and marketing expense was $4,178 for the nine months ended September 30, 2024 as compared to $1,901 for the nine months ended September 30, 2023, an increase of $2,277, or 119.8%. This was primarily due to increased compensation costs for both the Technology and Corporate segments (as a result of increased headcount), increases in public relations expenses, website expenses and marketing efforts and events. The Technology segment's commission expenses related to product revenue also contributed to the increase, as the segment’s first sales occurred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$5,978 for the nine months ended September 30, 2024 as compared to $2,822 for the nine months ended September 30, 2023, an increase of $3,156 or 111.8%. This was primarily due to an increase in employee-related costs in the Technology segment and an increase in new product development costs also in the Technology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Non-operating (Expense) Income</w:t>
      </w:r>
    </w:p>
    <w:p>
      <w:pPr>
        <w:spacing w:after="0" w:line="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Total non-operating income was $9,011 for the nine months ended September 30, 2024 as compared to total non-operating expense of $4,243 for the nine months ended September 30, 2023, a net change of $13,254, or 312.4%. This was primarily due to an increase in the value of exchange traded investments in the current period as opposed to a decrease in the prior period. Additionally, equity method investment income was recognized due to Innventure's allocation of larger unrealized gains on the Innventus ESG Fund I, L.P. (the “ESG Fund”), offset by Innventure's portion of allocated loss on the AeroFlexx investment. These increases in income were partially offset by higher interest expense in the current period due to the debt financing as well as the loss on the conversion of promissory notes that was recognized in the first quarter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20" w:right="339" w:bottom="1440" w:gutter="0" w:footer="0" w:header="0"/>
        </w:sectPr>
      </w:pPr>
    </w:p>
    <w:bookmarkStart w:id="39" w:name="page40"/>
    <w:bookmarkEnd w:id="39"/>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 was $11,762 for the nine months ended September 30, 2024, as compared to $101 for the nine months ended September 30, 2023, an increase of $11,661, or 11,545.5%. This was due to the increase in Technology segment loss subject to allocable percentage during the nine months ended September 30, 2024 as compared to the nine months ended September 30, 2023, as well as an increase in total number of non-controlling interest unitholders.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comprehensive loss was $2,373 for the nine months ended September 30, 2024, as compared to $— for the nine months ended September 30, 2023, an increase of $2,373, or 100.0%. This was due to the change in fair value of the new investment in debt securities of a related party which are classified as available-for-sale.</w:t>
      </w:r>
    </w:p>
    <w:p>
      <w:pPr>
        <w:spacing w:after="0" w:line="19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 (in thousands, except as otherwise noted) (Unaudited)</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0" w:name="page41"/>
    <w:bookmarkEnd w:id="40"/>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4,413.6</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2,186.1 %</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(4,313.6)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(4,817.5)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(145.7) %</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(2,410.4)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155"/>
        </w:trPr>
        <w:tc>
          <w:tcPr>
            <w:tcW w:w="3320" w:type="dxa"/>
            <w:vAlign w:val="bottom"/>
            <w:gridSpan w:val="2"/>
            <w:shd w:val="clear" w:color="auto" w:fill="CCEEFF"/>
          </w:tcPr>
          <w:p>
            <w:pPr>
              <w:ind w:left="200"/>
              <w:spacing w:after="0" w:line="15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 %</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w:t>
            </w: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LLC Unitholders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(697.5) %</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taxes: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2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8"/>
                <w:szCs w:val="18"/>
                <w:color w:val="auto"/>
              </w:rPr>
              <w:t>Unrealized loss on AFS debt securities -</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 %</w:t>
            </w:r>
          </w:p>
        </w:tc>
        <w:tc>
          <w:tcPr>
            <w:tcW w:w="8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00" w:type="dxa"/>
            <w:vAlign w:val="bottom"/>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(3,159.0)%</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(6,903.6)%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 %</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(4,584)</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(1,446.1)%</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(6,887.2)%</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14,287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114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-4105275</wp:posOffset>
            </wp:positionV>
            <wp:extent cx="60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-4105275</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-4105275</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-4105275</wp:posOffset>
            </wp:positionV>
            <wp:extent cx="59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Revenue was $317 for the three months ended September 30, 2024, as compared to $274 for the three months ended September 30, 2023, an increase of $43 or 15.7%. The increase was primarily due to new product sales within the Technology segment. This was partially offset by non-recurring consulting revenue generated to certain third parties for the three months ended September 30,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Cost of sales expense was $777 for the three months ended September 30, 2024 as compared to $— for the three months ended September 30, 2023, an increase of $777, or 100.0%. This increase is due to the fact that Accelsius was pre-revenue in 2023 and started generating revenue during the three months ended September 30, 2024. Cost of sales relate to those costs incurred to generate the new product sale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was $9,052 for the three months ended September 30, 2024 as compared to $4,054 for the three months ended September 30, 2023, a increase of $4,998, or 123.3%. This increase in expenditures was primarily attributed to an increase in professional services, legal fees, and consulting fees related to the business combination. The remaining increase in expenditures was due to increased employee costs as a result of increased headcount.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Sales and marketing expense was $1,629 for the three months ended September 30, 2024 as compared to $696 for the three months ended September 30, 2023, an increase of $933, or 134.1%. This was primarily due to increased compensation costs for both the Technology and Corporate segments as a result of increased headcount and increases in public relations expenses, website expenses and marketing efforts and events. The Technology segment's commissions expenses related to product revenue also contributed to the increase, as the segment's first sales occurred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R&amp;D expense was $2,533 for the three months ended September 30, 2024 as compared to $1,240 for the three months ended September 30, 2023, an increase of $1,293 or 104.3%. This was primarily due to increased employee costs in the Technology segment and an increase in new product development costs in the Corporate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Non-operating (Expense) Income</w:t>
      </w:r>
    </w:p>
    <w:p>
      <w:pPr>
        <w:spacing w:after="0" w:line="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Total non-operating income was $6,033 for the three months ended September 30, 2024 as compared to the total non-operating expense of $13,200 for the three months ended September 30, 2023, a change of $19,233, or 145.7%. This was primarily due to an increase in the value of exchange traded investments in the current period as opposed to a decrease in the prior period. Additionally, equity method investment income was recognized due to Innventure's allocation of larger unrealized gains on the ESG Fund, offset by Innventure's portion of allocated loss on the AeroFlexx investment. Further, there was no loss realized in association with embedded derivative liabilities in the current period in comparison to a loss recognized in the prior period. These increases in income were partially offset by higher interest expenses in the current period due to additional debt financing.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25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 was $5,430 for the three months ended September 30, 2024, as compared to $45 for the three months ended September 30, 2023, an increase of $5,385, or 11,966.7%. This was due to the increase in Technology segment loss subject to allocable percentage during the nine months ending September 30, 2024 as compared to the nine months ending September 30, 2023 , as well as an increase in total non-controlling interest unitholders.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comprehensive loss was $2,373 for the three months ended September 30, 2024, as compared to $— for the three months ended September 30, 2023, a increase of $2,373, or 100.0%. This was due to the change in fair value of the new investment in debt securities of a related party which are classified as available-for-sale.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(in thousands, except as otherwise noted)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and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business combination, we have financed our operations primarily through cash flows from investing and various financing activities.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6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2"/>
                <w:szCs w:val="22"/>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(90,952)</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31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projections, we believe we will require approximately $25 million to meet our liquidity requirements for the 12 months after the completion of the business combination.</w:t>
      </w:r>
    </w:p>
    <w:p>
      <w:pPr>
        <w:spacing w:after="0" w:line="20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available after the share redemptions pursuant to the business combination, cash generated from our Operating Companies, the Standby Equity Purchase Agreement (the “SEPA”), dated October 24, 2023, entered into with Yorkville (maximum amount of $75,000, subject to various conditions), the WTI Facility (as defined below) (maximum amount of $50,000, subject to the satisfaction of certain conditions and achievement of certain commercial milestones by certain dates) as well as proceeds from additional financings completed by us or our Operating Companies. During the nine months ended September 30, 2024, the Corporate and Technology segments each raised approximately $13,932 and $14,468 of additional financing, in comparison to each respective segment raising approximately $8,771 and $100 during the nine months ended September 30, 2023. During the three months ended September 30, 2024, the Corporate and Technology segments each raised approximately $3,384 and $3,175 of additional financing, in comparison to each respective segment raising approximately $5,382 and $100 during the three months ended September 30,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borrowed $10,000 from Glockner Family Venture Fund (the “Glockner Lender”), a Florida limited partnership affiliated with Glockner Enterprises, as bridge financing until the Closing of the transactions related to the business combination. The outstanding principal amount and loan fee are due upon the later of October 15, 2024 and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On August 22, 2024, pursuant to an unsecured promissory note (the “Scott Bridge Note”), Innventure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 Any amounts due under the Glockner Bridge Note and the Scott Bridge Note may each be repaid in lieu of cash, at the option of the Glockner Lender and Dr. Scott, respectively, in shares of preferred stock.</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 million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 million as a loan fee, which has not yet been repaid. As of the date hereof, no amounts have been repaid under the A&amp;R Glockner Bridge Note. As described above, Mr. Donnally serves as the managing member of the Glockner Family Venture Fund’s general partner, Bellringer Consulting Group LLC.</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 million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 million under the Scott Bridge Note, which has not yet been repaid. As of the date hereof, no amounts have been repaid under the A&amp;R Scott Bridge Note.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and the WTI Lenders entered into a joinder agreement, pursuant to which the Company became a co-borrower under the Loan and Security Agreement and related loan documents (collectively, the “Loan Documents”).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the Company's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nine months ended September 30, 2024 and September 30,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0" w:type="dxa"/>
            <w:vAlign w:val="bottom"/>
          </w:tcPr>
          <w:p>
            <w:pPr>
              <w:spacing w:after="0"/>
              <w:rPr>
                <w:sz w:val="20"/>
                <w:szCs w:val="20"/>
                <w:color w:val="auto"/>
              </w:rPr>
            </w:pPr>
          </w:p>
        </w:tc>
        <w:tc>
          <w:tcPr>
            <w:tcW w:w="17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(6,511)</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265.0 %</w:t>
            </w: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27,866</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269.9 %</w:t>
            </w: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17,128</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-633730</wp:posOffset>
            </wp:positionV>
            <wp:extent cx="9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-633730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-633730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-633730</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Cash used in operating activities were $18,647 for the nine months ended September 30, 2024 as compared to $12,136 for the nine months ended September 30, 2023, an increase of $6,511, or 53.7%. The increase in cash used in operating activities is primarily related to change in net loss related to changes in the fair value of our investments and other financial instruments, additional costs incurred in connection with the Business Combination, increased employee compensation costs associated with increased headcount, and increased expenditures on inventory as the Technology segment began preparing for product sales. This increase was partially offset by advance receipt of funds for equity issuances expected to occur after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were $5,822 for the nine months ended September 30, 2024 as compared to cash used in investing activities of $1,595 for the nine months ended September 30, 2023, an increase of $4,227 or 265.0%. The increase is primarily related to investment in available for sale debt securities and increased acquisitions of property, plant and equipment and partially offset by increased proceeds received related to PCT stock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were $38,191 for the nine months ended September 30, 2024 as compared to $10,325 for the nine months ended September 30, 2023, an increase of $27,866 or 269.9%. The increase was primarily related to proceeds from the issuance of securities, issuance of units to non-controlling interest and related party notes payable. This increase was partially offset by increased repayment of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7" w:right="339" w:bottom="1440" w:gutter="0" w:footer="0" w:header="0"/>
        </w:sectPr>
      </w:pPr>
    </w:p>
    <w:bookmarkStart w:id="45" w:name="page46"/>
    <w:bookmarkEnd w:id="45"/>
    <w:p>
      <w:pPr>
        <w:jc w:val="both"/>
        <w:ind w:firstLine="360"/>
        <w:spacing w:after="0" w:line="268" w:lineRule="auto"/>
        <w:rPr>
          <w:sz w:val="20"/>
          <w:szCs w:val="20"/>
          <w:color w:val="auto"/>
        </w:rPr>
      </w:pPr>
      <w:r>
        <w:rPr>
          <w:rFonts w:ascii="Times New Roman" w:cs="Times New Roman" w:eastAsia="Times New Roman" w:hAnsi="Times New Roman"/>
          <w:sz w:val="18"/>
          <w:szCs w:val="18"/>
          <w:color w:val="auto"/>
        </w:rPr>
        <w:t>Refer to Note 5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to our condensed consolidated financial statements for the three and nine months ended September 30, 2024 included in Item 1 of this Form 10-Q for a discussion of our indebtedness.</w:t>
      </w:r>
    </w:p>
    <w:p>
      <w:pPr>
        <w:spacing w:after="0" w:line="20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combination with the capital raises and in order to finance continued operations and transaction costs, Innventure converted $396 of Series 1 promissory notes into Class B Preferred Units as detailed in the condensed consolidated financial statements for the nine months ended September 30, 2024. Furthermore, Innventure extended eligible Series 1 promissory notes with an aggregate outstanding principal of $543 for an additional 12-month period with an average increase to the related interest rate of 3%. The 8% convertible promissory notes were converted to equity of the Technology segment in the amount of $6,755, thereby reducing indebtedness accordingly.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4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-487680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-487680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-487680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-487680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-487680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 cost structure. 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consolidated financial statements included in Item 1 of this Form 10-Q. If we are unable to realize our assets, obtain adequate capital from the SEPA, the WTI Facility or otherwise generate sufficient revenues to support our cost structure within the normal operating cycle of a twelve (12) month period, we may have to consider supplementing our available sources of funds through:</w:t>
      </w:r>
    </w:p>
    <w:p>
      <w:pPr>
        <w:spacing w:after="0" w:line="21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raising transactions; or</w:t>
      </w:r>
    </w:p>
    <w:p>
      <w:pPr>
        <w:spacing w:after="0" w:line="9"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18"/>
          <w:szCs w:val="18"/>
          <w:color w:val="auto"/>
        </w:rPr>
        <w:t xml:space="preserve">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 xml:space="preserve">"Item 1A. Risk Factors – Risk’s Related to Innventure’s Business – There is uncertainty regarding Innventure's ability to maintain liquidity sufficient to operate its business effectively, which raises substantial doubt about its ability to continue as a going concern." </w:t>
      </w:r>
      <w:r>
        <w:rPr>
          <w:rFonts w:ascii="Times New Roman" w:cs="Times New Roman" w:eastAsia="Times New Roman" w:hAnsi="Times New Roman"/>
          <w:sz w:val="18"/>
          <w:szCs w:val="18"/>
          <w:color w:val="auto"/>
        </w:rPr>
        <w:t>in this Form 10-Q.</w:t>
      </w:r>
    </w:p>
    <w:p>
      <w:pPr>
        <w:spacing w:after="0" w:line="22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02" w:right="339" w:bottom="1440" w:gutter="0" w:footer="0" w:header="0"/>
        </w:sectPr>
      </w:pPr>
    </w:p>
    <w:bookmarkStart w:id="46" w:name="page47"/>
    <w:bookmarkEnd w:id="46"/>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Refer to Note 2. Accounting Policies to our consolidated financial statements for the year ended December 31, 2023 included in the Proxy Statement/Prospectus for a discussion of our critical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(the "Exchange Act") and are not required to provide the information required under this Item.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accordance with Rule 13a-15(b) of the Exchange Act, as of the end of the period covered by this Quarterly Report on Form 10-Q, the Company’s management evaluated, with the participation of the Company’s Chief Executive Officer and Chief Financial Officer, the effectiveness of the Company’s disclosure controls and procedures (as defined in Rule 13a-15(e) under the Exchange Act).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September 30, 2024, because of the material weaknesses in our internal control over financial reporting.</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including our Chief Executive Officer and Chief Financial Officer, does not expect that the Company's disclosure controls and procedures or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39" w:lineRule="exact"/>
        <w:rPr>
          <w:sz w:val="20"/>
          <w:szCs w:val="20"/>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Innventure's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(c) segregation of duties and (d) review of accounting treatment related to equity of publicly traded securities.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Form 10-Q. The market price of the Company’s Common Stock could decline due to any of these risks, in which case you could lose all or part of your investment. In assessing these risks, you should also refer to the other information included in this Form 10-Q, including the unaudited condensed consolidated interim financial statements and notes thereto and the section entitled “Management’s Discussion and Analysis of Financial Condition and Results of Operations.” The Company’s business, financial condition or results of operations could be affected materially and adversely by any of the risks discussed below. We cannot assure you that any of the events discussed below will not occur.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25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subsidiaries and through the Innventure Companies, and Innventure may depend on its subsidiaries for cash.</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Innventure’s principal operation is to partner with MNCs to acquire new intellectual property through newly-created entities where Innventure supports the initial funding and management of the company. Innventure also conducts operations through its subsidiaries, including the investment management services provided to the ESG Fund.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or any subsidiary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subsidiaries from making distributions, paying dividends or making loans to Innventure.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MNCs.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MNCs to create and operate new entities that generate future revenues. If Innventure is unable to reach agreements with MNCs on acceptable terms for license or acquisition of intellectual property related to certain technology solutions,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413" w:right="379" w:bottom="144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may have to curtail the founding and operating of new subsidiary companies that Innventure founds, funds and operates going forward (such companies, together with AFX and ACC,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2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The Procter &amp; Gamble Company (“P&amp;G”) and the Nokia Corporation (“Nokia”), and any agreements they may enter with future MNC partners, they may be required to obtain or provide certain permits, licenses or other authorizations, provide certain fiscal indemnification to their MNC partners and meet various other terms and conditions. If Innventure and the Innventure Companies fail to comply with the terms and conditions of the applicable MNC agreement, they may incur liabilities to their MNC partners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MNC partners could be impeded and the underlying value of Innventure’s business could decline significantly.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the First Tranche will be made available after October 22, 2024 and through November 15, 2024; (ii) the Second Tranche will be made available after November 1, 2024 and through November 30, 2024; and (iii) the Third Tranche will be made available after December 31, 2024 and through January 31, 2025 (provided that up to $7.5 million of the Third Tranche will be made available until March 31,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receipt of any funds under the WTI Facility is subject to the satisfaction of certain conditions by certain deadlines,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Innventure is unable to satisfy the conditions, certain of which are outside of its control, set forth in the Loan Documents with respect to a particular tranche, Innventure will not receive the funds otherwise available under that tranche and, if Innventure is unable to satisfy the conditions, certain of which are outside of its control, set forth in any of the tranches, Innventure will receive no funds from the WTI Facility.</w:t>
      </w: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These restrictions will be imposed upon Innventure LLC, the Company and the Operating Companies until March 31, 2025, even if no WTI Facility loans are made by that date.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WTI on a timely basis, or at all.</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WTI Facility will be available to Innventure when requested, or at all. The restrictions imposed by the WTI Facility on Innventure LLC, the Company and the Operating Companies may make it more difficult for them to operate their businesses or implement their growth plans going forward. Furthermore, these restrictions will be imposed upon Innventure LLC, the Company and the Operating Companies until March 31, 2025, even if no funds are provided to Innventure pursuant to the WTI Facility.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21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to Yorkville, or the actual gross proceeds resulting from those sales.</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Innventure’s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Moreover, although the SEPA provides that Innventure may sell up to an aggregate of $75.0 million of its Common Stock to Yorkville, Innventure is only registering the resale by Yorkville of up to 4,418,307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13" w:right="35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Innventure’s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the resale by Yorkville of any such additional shares of Innventure’s Common Stock over the shares registered for resale by Yorkville and such registration statements would need to be declared effective by the SEC, in each case before Innventure may elect to sell any additional shares of Innventure’s Common Stock to Yorkville under the SEPA, a process which will take time and incur additional expense.</w:t>
      </w:r>
    </w:p>
    <w:p>
      <w:pPr>
        <w:spacing w:after="0" w:line="2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Any issuance and sale by Innventure under the SEPA of a substantial amount of shares of Common Stock in addition to the shares already registered for resale to Yorkville could cause additional substantial dilution to Innventure’s stockholders. The number of shares of Innventure’s Common Stock ultimately offered for resale by Yorkville is dependent upon the number of shares of Common Stock, if any, Innventure ultimately sells to Yorkville under the SEPA.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as a source of funding.</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SEPA, Innventure may, at its discretion, issue and sell to Yorkville up to $75.0 million of shares of Innventure’s Common Stock under the SEPA from time-to-time. The purchase price per share for the shares of Common Stock that Innventure may elect to sell to Yorkville under the SEPA will fluctuate based on the market prices of Innventure’s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Innventure’s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8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research and development,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at-will and may end at any point in time. In addition, all of Innventure and the Innventure Companies’ employees are at-will, which means that either they or the employee may terminate their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7" w:right="339" w:bottom="1440" w:gutter="0" w:footer="0" w:header="0"/>
        </w:sectPr>
      </w:pPr>
    </w:p>
    <w:bookmarkStart w:id="52" w:name="page53"/>
    <w:bookmarkEnd w:id="52"/>
    <w:p>
      <w:pPr>
        <w:ind w:right="40"/>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21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21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 for the years ended December 31, 2023 and December 31, 2022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partnerships, including partnerships with MNCs. Additionally, if Innventure is unable to continue as a going concern, investors, including holders of Common Stock, may lose some or all of their investment.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many others,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17" w:right="339" w:bottom="1440" w:gutter="0" w:footer="0" w:header="0"/>
        </w:sectPr>
      </w:pPr>
    </w:p>
    <w:bookmarkStart w:id="53" w:name="page54"/>
    <w:bookmarkEnd w:id="53"/>
    <w:p>
      <w:pPr>
        <w:spacing w:after="0" w:line="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246" w:lineRule="exact"/>
        <w:rPr>
          <w:rFonts w:ascii="Arial" w:cs="Arial" w:eastAsia="Arial" w:hAnsi="Arial"/>
          <w:sz w:val="21"/>
          <w:szCs w:val="21"/>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developments involving Innventure’s competitors;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and regulations affecting Innventure’s business;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and departures of key personnel;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278" w:lineRule="exact"/>
        <w:rPr>
          <w:rFonts w:ascii="Arial" w:cs="Arial" w:eastAsia="Arial" w:hAnsi="Arial"/>
          <w:sz w:val="22"/>
          <w:szCs w:val="22"/>
          <w:color w:val="auto"/>
        </w:rPr>
      </w:pPr>
    </w:p>
    <w:p>
      <w:pPr>
        <w:ind w:left="660" w:right="52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market valuations of similar companies;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overall performance of the equity markets;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sales of the Common Stock by Innventure or its stockholders in the future;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trading volume of the Common Stock;</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lawsuits, including shareholder litigation;</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requirements of Nasdaq;</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40" w:right="359" w:bottom="1440" w:gutter="0" w:footer="0" w:header="0"/>
        </w:sectPr>
      </w:pPr>
    </w:p>
    <w:bookmarkStart w:id="54" w:name="page55"/>
    <w:bookmarkEnd w:id="54"/>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may depress its stock price.</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 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Innventure’s Board of Directors (the “Board”). The provisions in Innventure’s charter documents include the following:</w:t>
      </w:r>
    </w:p>
    <w:p>
      <w:pPr>
        <w:spacing w:after="0" w:line="243" w:lineRule="exact"/>
        <w:rPr>
          <w:sz w:val="20"/>
          <w:szCs w:val="20"/>
          <w:color w:val="auto"/>
        </w:rPr>
      </w:pPr>
    </w:p>
    <w:p>
      <w:pPr>
        <w:ind w:left="660" w:right="60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417" w:right="379" w:bottom="1440" w:gutter="0" w:footer="0" w:header="0"/>
        </w:sectPr>
      </w:pPr>
    </w:p>
    <w:bookmarkStart w:id="55" w:name="page56"/>
    <w:bookmarkEnd w:id="55"/>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65" w:lineRule="exact"/>
        <w:rPr>
          <w:rFonts w:ascii="Arial" w:cs="Arial" w:eastAsia="Arial" w:hAnsi="Arial"/>
          <w:sz w:val="22"/>
          <w:szCs w:val="22"/>
          <w:color w:val="auto"/>
        </w:rPr>
      </w:pPr>
    </w:p>
    <w:p>
      <w:pPr>
        <w:ind w:left="660" w:right="18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of directors;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prohibition on removal of directors without cause;</w:t>
      </w:r>
    </w:p>
    <w:p>
      <w:pPr>
        <w:spacing w:after="0" w:line="278" w:lineRule="exact"/>
        <w:rPr>
          <w:rFonts w:ascii="Arial" w:cs="Arial" w:eastAsia="Arial" w:hAnsi="Arial"/>
          <w:sz w:val="22"/>
          <w:szCs w:val="22"/>
          <w:color w:val="auto"/>
        </w:rPr>
      </w:pPr>
    </w:p>
    <w:p>
      <w:pPr>
        <w:ind w:left="660" w:right="120" w:hanging="328"/>
        <w:spacing w:after="0" w:line="256" w:lineRule="auto"/>
        <w:tabs>
          <w:tab w:leader="none" w:pos="65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230" w:lineRule="exact"/>
        <w:rPr>
          <w:rFonts w:ascii="Arial" w:cs="Arial" w:eastAsia="Arial" w:hAnsi="Arial"/>
          <w:sz w:val="21"/>
          <w:szCs w:val="21"/>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265"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267"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267" w:lineRule="exact"/>
        <w:rPr>
          <w:rFonts w:ascii="Arial" w:cs="Arial" w:eastAsia="Arial" w:hAnsi="Arial"/>
          <w:sz w:val="22"/>
          <w:szCs w:val="22"/>
          <w:color w:val="auto"/>
        </w:rPr>
      </w:pPr>
    </w:p>
    <w:p>
      <w:pPr>
        <w:ind w:left="660" w:right="320" w:hanging="328"/>
        <w:spacing w:after="0" w:line="24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261" w:lineRule="exact"/>
        <w:rPr>
          <w:rFonts w:ascii="Arial" w:cs="Arial" w:eastAsia="Arial" w:hAnsi="Arial"/>
          <w:sz w:val="22"/>
          <w:szCs w:val="22"/>
          <w:color w:val="auto"/>
        </w:rPr>
      </w:pPr>
    </w:p>
    <w:p>
      <w:pPr>
        <w:ind w:left="660" w:right="2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267"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acquiror from conducting a solicitation of proxies to elect the acquirer’s own slate of directors or otherwise attempting to obtain control of Innventure; and</w:t>
      </w:r>
    </w:p>
    <w:p>
      <w:pPr>
        <w:spacing w:after="0" w:line="267" w:lineRule="exact"/>
        <w:rPr>
          <w:rFonts w:ascii="Arial" w:cs="Arial" w:eastAsia="Arial" w:hAnsi="Arial"/>
          <w:sz w:val="22"/>
          <w:szCs w:val="22"/>
          <w:color w:val="auto"/>
        </w:rPr>
      </w:pPr>
    </w:p>
    <w:p>
      <w:pPr>
        <w:ind w:left="660" w:right="24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which will prevent Innventure from engaging in a business combination with any holder of 15% or more of its capital stock unless the holder has held the stock for three years or, among other exceptions, the Board has approved the transaction.</w:t>
      </w:r>
    </w:p>
    <w:p>
      <w:pPr>
        <w:spacing w:after="0" w:line="22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39" w:right="339" w:bottom="1440" w:gutter="0" w:footer="0" w:header="0"/>
        </w:sectPr>
      </w:pPr>
    </w:p>
    <w:bookmarkStart w:id="56" w:name="page57"/>
    <w:bookmarkEnd w:id="56"/>
    <w:p>
      <w:pPr>
        <w:ind w:right="20"/>
        <w:spacing w:after="0" w:line="258" w:lineRule="auto"/>
        <w:rPr>
          <w:sz w:val="20"/>
          <w:szCs w:val="20"/>
          <w:color w:val="auto"/>
        </w:rPr>
      </w:pPr>
      <w:r>
        <w:rPr>
          <w:rFonts w:ascii="Times New Roman" w:cs="Times New Roman" w:eastAsia="Times New Roman" w:hAnsi="Times New Roman"/>
          <w:sz w:val="18"/>
          <w:szCs w:val="18"/>
          <w:color w:val="auto"/>
        </w:rPr>
        <w:t>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1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w:t>
      </w:r>
    </w:p>
    <w:p>
      <w:pPr>
        <w:spacing w:after="0" w:line="5" w:lineRule="exact"/>
        <w:rPr>
          <w:sz w:val="20"/>
          <w:szCs w:val="20"/>
          <w:color w:val="auto"/>
        </w:rPr>
      </w:pPr>
    </w:p>
    <w:p>
      <w:pPr>
        <w:ind w:right="160" w:firstLine="8"/>
        <w:spacing w:after="0" w:line="26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2029,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2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7" w:right="339" w:bottom="1440" w:gutter="0" w:footer="0" w:header="0"/>
        </w:sectPr>
      </w:pPr>
    </w:p>
    <w:bookmarkStart w:id="57" w:name="page58"/>
    <w:bookmarkEnd w:id="57"/>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the Innventure may adversely affect the market price of the Common Stock or otherwise dilute all other stockholders.</w:t>
      </w:r>
    </w:p>
    <w:p>
      <w:pPr>
        <w:spacing w:after="0" w:line="18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the future, the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9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the Innventure’s control, which may adversely affect the amount, timing and nature of the Innventure’s future offerings.</w:t>
      </w:r>
    </w:p>
    <w:p>
      <w:pPr>
        <w:spacing w:after="0" w:line="210"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7" w:right="339" w:bottom="1440" w:gutter="0" w:footer="0" w:header="0"/>
        </w:sectPr>
      </w:pPr>
    </w:p>
    <w:bookmarkStart w:id="58" w:name="page59"/>
    <w:bookmarkEnd w:id="58"/>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Court of Chancery of the State of Delaware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2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Innventure LLC's financial statements, certain material weaknesses were identified in Innventure LLC’s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 The material weaknesses identified were as follows:</w:t>
      </w:r>
    </w:p>
    <w:p>
      <w:pPr>
        <w:spacing w:after="0" w:line="247" w:lineRule="exact"/>
        <w:rPr>
          <w:sz w:val="20"/>
          <w:szCs w:val="20"/>
          <w:color w:val="auto"/>
        </w:rPr>
      </w:pPr>
    </w:p>
    <w:p>
      <w:pPr>
        <w:ind w:left="660" w:right="240" w:hanging="328"/>
        <w:spacing w:after="0" w:line="258" w:lineRule="auto"/>
        <w:tabs>
          <w:tab w:leader="none" w:pos="65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Innventure LLC's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251" w:lineRule="exact"/>
        <w:rPr>
          <w:rFonts w:ascii="Arial" w:cs="Arial" w:eastAsia="Arial" w:hAnsi="Arial"/>
          <w:sz w:val="21"/>
          <w:szCs w:val="21"/>
          <w:color w:val="auto"/>
        </w:rPr>
      </w:pPr>
    </w:p>
    <w:p>
      <w:pPr>
        <w:ind w:left="660" w:right="6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226" w:lineRule="exact"/>
        <w:rPr>
          <w:rFonts w:ascii="Arial" w:cs="Arial" w:eastAsia="Arial" w:hAnsi="Arial"/>
          <w:sz w:val="22"/>
          <w:szCs w:val="22"/>
          <w:color w:val="auto"/>
        </w:rPr>
      </w:pPr>
    </w:p>
    <w:p>
      <w:pPr>
        <w:ind w:left="660" w:right="1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 did not maintain effectively designed and implemented controls over the costing and existence of inventory as of September 30, 2024, including controls over the calculation of such inventory on the weighted average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59" w:name="page60"/>
    <w:bookmarkEnd w:id="59"/>
    <w:p>
      <w:pPr>
        <w:spacing w:after="0" w:line="261" w:lineRule="exact"/>
        <w:rPr>
          <w:sz w:val="20"/>
          <w:szCs w:val="20"/>
          <w:color w:val="auto"/>
        </w:rPr>
      </w:pPr>
    </w:p>
    <w:p>
      <w:pPr>
        <w:ind w:left="660" w:right="8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267"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 2022, Innventure LLC's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internal controls are necessary for Innventure to provide reliable financial reports and prevent fraud. Innventure has developed a remediation plan for the material weaknesses that have been identified, including enhancing its complement of resources with accounting and internal control knowledge through additional hiring and/or training to implement and perform additional controls over: (a) the initial subsequent accounting for complex and significant unusual transactions, (b) general IT controls, (c) segregation of duties and (d) review of accounting treatment related to equity of publically traded securities. Innventure is currently implementing this plan. Furthermore, Innventure has engaged additional external resources to assess its control environment and expects to further engage these external advisors to provide assistance with all elements of the design of the Company's program for internal controls over financial reporting, including:</w:t>
      </w:r>
    </w:p>
    <w:p>
      <w:pPr>
        <w:spacing w:after="0" w:line="256" w:lineRule="exact"/>
        <w:rPr>
          <w:sz w:val="20"/>
          <w:szCs w:val="20"/>
          <w:color w:val="auto"/>
        </w:rPr>
      </w:pPr>
    </w:p>
    <w:p>
      <w:pPr>
        <w:ind w:left="660" w:right="40" w:hanging="328"/>
        <w:spacing w:after="0" w:line="24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expanding Innventure's accounting and finance functions by hiring additional employees within its accounting and finance departments, which has not yet been initiated, and co-sourcing with third parties to augment Innventure’s accounting and finance functions;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developing and implementing formal duties, processes and responsibilities within Innventure's accounting and finance systems;</w:t>
      </w:r>
    </w:p>
    <w:p>
      <w:pPr>
        <w:spacing w:after="0" w:line="265"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implementing additional controls relating to identification and treatment of unusual significant accounting matters within the financial close and reporting process on a go forward basis; and</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implementing additional controls around review of accounting treatment related to equity of publicly traded securities.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remediation measures may be time consuming, costly, and might place significant demands on Innventure's financial and operational resources. The specific time frames needed to fully remediate the identified material weaknesses have not yet been determined.</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cannot assure you that these measures will adequately remediate the material weaknesses described above. The implementation of these remediation measures is in the early stages and will require testing and validation of the design and operating effectiveness of Innventure's internal controls over multiple financial reporting cycles. As a result, because it is not clear if Innventure will be able to fully remediate the material weaknesses in a timely manner, there is a possibility that these control deficiencies or others may result in a material misstatement of Innventure's annual or interim financial statements that would not be prevented or detected on a timely basis.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60" w:name="page61"/>
    <w:bookmarkEnd w:id="60"/>
    <w:p>
      <w:pPr>
        <w:ind w:right="120"/>
        <w:spacing w:after="0" w:line="255" w:lineRule="auto"/>
        <w:rPr>
          <w:sz w:val="20"/>
          <w:szCs w:val="20"/>
          <w:color w:val="auto"/>
        </w:rPr>
      </w:pPr>
      <w:r>
        <w:rPr>
          <w:rFonts w:ascii="Times New Roman" w:cs="Times New Roman" w:eastAsia="Times New Roman" w:hAnsi="Times New Roman"/>
          <w:sz w:val="18"/>
          <w:szCs w:val="18"/>
          <w:color w:val="auto"/>
        </w:rPr>
        <w:t>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w:t>
      </w:r>
    </w:p>
    <w:p>
      <w:pPr>
        <w:spacing w:after="0" w:line="21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nature of its investments;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on its ability to borrow;</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prohibitions on transactions with affiliates; and</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issuance of securities.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21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adoption of a specific form of corporate structure;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320" w:top="1417" w:right="379" w:bottom="1440" w:gutter="0" w:footer="0" w:header="0"/>
        </w:sectPr>
      </w:pPr>
    </w:p>
    <w:bookmarkStart w:id="61" w:name="page62"/>
    <w:bookmarkEnd w:id="61"/>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were deemed to be subject to the Investment Company Act, compliance with the additional regulatory burdens discussed above would require additional expense and attention from management for which Innventure has not accounted.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8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w:t>
      </w:r>
    </w:p>
    <w:p>
      <w:pPr>
        <w:ind w:right="20"/>
        <w:spacing w:after="0" w:line="218" w:lineRule="auto"/>
        <w:rPr>
          <w:sz w:val="20"/>
          <w:szCs w:val="20"/>
          <w:color w:val="auto"/>
        </w:rPr>
      </w:pPr>
      <w:r>
        <w:rPr>
          <w:rFonts w:ascii="Times New Roman" w:cs="Times New Roman" w:eastAsia="Times New Roman" w:hAnsi="Times New Roman"/>
          <w:sz w:val="18"/>
          <w:szCs w:val="18"/>
          <w:color w:val="auto"/>
        </w:rPr>
        <w:t>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CEO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financing transactions by the Operating Companies could impact your rights as a stockholder of Innventure.</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Innventure’s Common Stock with respect to that Operating Companies’ assets and will also have priority as to liquidation and dividend and other rights more favorable than Innventure’s Common Stock with respect to that Operating Company. This priority, or any reduction in Innventure’s ownership interest in any Operating Companies, may reduce the value of Innventure’s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417" w:right="359" w:bottom="1440" w:gutter="0" w:footer="0" w:header="0"/>
        </w:sectPr>
      </w:pPr>
    </w:p>
    <w:bookmarkStart w:id="62" w:name="page63"/>
    <w:bookmarkEnd w:id="6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AeroFlexx’s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currently relies on a single facility for all of its operations.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AFX currently relies solely on the operations at its facility in West Chester, Ohio (the “West Chester Facility”). Adverse changes or developments affecting the West Chester Facility could impair AFX’s ability to produce its packaging and its business and prospects, which would negatively affect its financial condition and results of operations. Any shutdown or period of reduced production at the West Chester Facility, which may be caused by regulatory noncompliance or other issues, as well as other factors beyond its control, such as severe weather conditions, natural disaster, fire, power interruption, work stoppage, disease outbreaks or pandemics, equipment failure, delay in supply delivery, or shortages of material, equipment, or labor, would significantly disrupt AFX’s ability to grow and produce liquid packaging products in a timely manner, meet its contractual obligations and operate its business. AFX’s equipment is costly to replace or repair, and AFX’s equipment supply chains may be disrupted in connection with pandemics, trade wars or other factors. If any material amount of AFX’s machinery were damaged, it would be unable to predict when, if at all, it could replace or repair such machinery or find co-manufacturers with suitable alternative machinery, which could adversely affect AFX’s business, financial condition, results of operations and prospects. Performance guarantees may not be sufficient to cover damages or losses, or the guarantors under such guarantees may not have the ability to pay. Any insurance coverage AFX has may not be sufficient to cover all of its potential losses and may not continue to be available to AFX on acceptable terms, or at all.</w:t>
      </w:r>
    </w:p>
    <w:p>
      <w:pPr>
        <w:spacing w:after="0" w:line="2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fourth quarter of 2024.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63" w:name="page64"/>
    <w:bookmarkEnd w:id="6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AFX’s target customers, who are subject to cyclical downturns, to achieve success or maintain market share could adversely impact AFX’s sales and operating margins.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AFX’s plastic packaging can be used in the production of various consumer products. A customer’s ability to successfully develop, manufacture and market those products is integral to AFX’s success. Cyclical downturns and changing consumer preferences may negatively affect businesses that use AFX’s products, which could adversely affect sales and operating margins. Other factors that could adversely affect the business include (i) failure by a key customer to achieve success or maintain share in markets in which they sell products containing AFX’s materials, including as a result of customer preferences for products other than plastics, (ii) key customers using products developed by others that replace AFX’s business with such customers, (iii) delays in a key customer rolling out products utilizing new technologies developed by AFX, and (iv) operational decisions by a key customer that result in component substitution, inventory reductions and similar changes.</w:t>
      </w:r>
    </w:p>
    <w:p>
      <w:pPr>
        <w:spacing w:after="0" w:line="21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 is an early-stage company, and its limited operating history makes it difficult to evaluate its future prospects and the risks and challenges it may encounter.</w:t>
      </w:r>
    </w:p>
    <w:p>
      <w:pPr>
        <w:spacing w:after="0" w:line="18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AFX is early in the development of its commercial production capacity. Its limited operating history makes it difficult to evaluate AFX’s future prospects and the risks and challenges it may encounter. Risks and challenges AFX has faced or expects to face include, but are not limited to, its ability to:</w:t>
      </w:r>
    </w:p>
    <w:p>
      <w:pPr>
        <w:spacing w:after="0" w:line="1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commercialize its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design and deliver products of acceptable performance;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 sales revenue;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forecast its revenue and budget for and manage its expenses;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attract new customers and commercial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compete successfully in the industry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plan for and manage capital expenditures for its current and future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278"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the value of its reputation and brand;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protect intellectual property;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413" w:right="359" w:bottom="1440" w:gutter="0" w:footer="0" w:header="0"/>
          <w:type w:val="continuous"/>
        </w:sectPr>
      </w:pPr>
    </w:p>
    <w:bookmarkStart w:id="64" w:name="page65"/>
    <w:bookmarkEnd w:id="64"/>
    <w:p>
      <w:pPr>
        <w:spacing w:after="0" w:line="261" w:lineRule="exact"/>
        <w:rPr>
          <w:sz w:val="20"/>
          <w:szCs w:val="20"/>
          <w:color w:val="auto"/>
        </w:rPr>
      </w:pPr>
    </w:p>
    <w:p>
      <w:pPr>
        <w:ind w:left="660" w:right="60" w:hanging="328"/>
        <w:spacing w:after="0" w:line="23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2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AFX fails to address the risks and difficulties that it faces, including those associated with the challenges listed above, its business, financial condition, results of operations, prospects and that of Innventure, could be adversely affected. Further, because AFX has limited historical financial data and operates in a highly competitive market, any predictions about its future revenue and expenses may not be as accurate as they would be if AFX had a longer operating history or operated in a more predictable market. AFX has encountered in the past, and will encounter in the future, risks and uncertainties frequently experienced by growing companies with limited operating histories in rapidly changing industries. If AFX’s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AFX’s products may not be approved or accepted by customers, and may not be able to be sold profitably at prices sufficient to establish demand.</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Potential customers for AFX products generally have established manufacturing processes and arrangements with suppliers of their product components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established business relationships and agreements, regulatory issues, product liability and other factors, many of which are unknown to, or not well understood by, us. Satisfying these processes may take many months. Similarly, AFX customers may have a resistance to accepting alternative compositions for those products. Additionally, AFX may be subject to product safety testing and may be required to meet certain regulatory and/or product safety standards. Meeting these standards can be a time-consuming and expensive process, and Innventure and AFX may invest substantial time and resources into such qualification efforts without ultimately securing approval.</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AFX is unable to convince these potential customers and the consumers who purchase end-products containing AFX products that use of such products is to their benefit, AFX will not be successful in entering those markets and its business will be adversely affected. Successfully marketing AFX’s products requires that the company continue to improve production, logistics, quality, sales, marketing, digital, managerial, compliance, and related capabilities or make arrangements with third parties to perform these services. If AFX is unable to establish adequate marketing, sales and distribution capabilities, whether independently or with third parties, AFX may not be able to appropriately commercialize such products. There is no assurance that AFX will be able to successfully maintain or increase sales and respond to shifting consumer and consumer packaged goods buying requirements.</w:t>
      </w:r>
    </w:p>
    <w:p>
      <w:pPr>
        <w:spacing w:after="0" w:line="21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202"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 w:cs="Times New Roman" w:eastAsia="Times New Roman" w:hAnsi="Times New Roman"/>
          <w:sz w:val="21"/>
          <w:szCs w:val="21"/>
          <w:i w:val="1"/>
          <w:iCs w:val="1"/>
          <w:color w:val="auto"/>
        </w:rPr>
        <w:t>Guidance for Industry - Use of Recycled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Plastics in Food Packaging: Chemistry Considerations (August 2006)</w:t>
      </w:r>
      <w:r>
        <w:rPr>
          <w:rFonts w:ascii="Times New Roman" w:cs="Times New Roman" w:eastAsia="Times New Roman" w:hAnsi="Times New Roman"/>
          <w:sz w:val="17"/>
          <w:szCs w:val="17"/>
          <w:color w:val="auto"/>
        </w:rPr>
        <w:t>.” In order for AFX’s products to be used in food 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440" w:right="35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applications, AFX will be required to partner with customers or third-party co-manufacturers that possess the required food certifications to do the filling of AFX’s package.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partnerships would require significant time, effort, and financial resources to complete, and may not result in a successful production partnership. All of the above would have an adverse effect on AFX’s business, financial condition, results of operations and prospects.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ensuring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Accelsius’ Operations</w:t>
      </w:r>
    </w:p>
    <w:p>
      <w:pPr>
        <w:spacing w:after="0" w:line="25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Accelsius is an early-stage company, and its limited operating history makes it difficult to evaluate its future prospects and the risks and challenges it may encounter.</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Accelsius has been focused on developing and commercializing data center cooling products since its inception in 2022 and delivered its first customer proof-of-concept pilots in Q2 2024 and just shipped its first unit in Q3 2024. This limited operating history makes it difficult to evaluate Accelsius’ future prospects and the risks and challenges it may encounter. Risks and challenges Accelsius has faced or expects to face include, but are not limited to, its ability to:</w:t>
      </w:r>
    </w:p>
    <w:p>
      <w:pPr>
        <w:spacing w:after="0" w:line="22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commercialize its data center cooling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design and deliver data center cooling products of acceptable performance;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increase sales revenue of its connectivity products;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forecast its revenue and budget for and manage its expenses;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attract new customers and commercial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compete successfully in the industry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417" w:right="359" w:bottom="1440" w:gutter="0" w:footer="0" w:header="0"/>
        </w:sectPr>
      </w:pPr>
    </w:p>
    <w:bookmarkStart w:id="66" w:name="page67"/>
    <w:bookmarkEnd w:id="66"/>
    <w:p>
      <w:pPr>
        <w:spacing w:after="0" w:line="18" w:lineRule="exact"/>
        <w:rPr>
          <w:sz w:val="20"/>
          <w:szCs w:val="20"/>
          <w:color w:val="auto"/>
        </w:rPr>
      </w:pPr>
    </w:p>
    <w:p>
      <w:pPr>
        <w:ind w:left="660" w:right="18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plan for and manage capital expenditures for its current and future products, and manage its supply chain and supplier relationships related to its current and future products;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265" w:lineRule="exact"/>
        <w:rPr>
          <w:rFonts w:ascii="Arial" w:cs="Arial" w:eastAsia="Arial" w:hAnsi="Arial"/>
          <w:sz w:val="22"/>
          <w:szCs w:val="22"/>
          <w:color w:val="auto"/>
        </w:rPr>
      </w:pPr>
    </w:p>
    <w:p>
      <w:pPr>
        <w:ind w:left="660" w:right="180" w:hanging="328"/>
        <w:spacing w:after="0" w:line="24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the value of its reputation and brand;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protect intellectual property;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278"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Accelsius fails to address the risks and difficulties that it faces, including those associated with the challenges listed above, its business, financial condition, results of operations, prospects and that of Innventure, could be adversely affected. Further, because Accelsius has limited historical financial data and operates in a rapidly evolving and highly competitive market, any predictions about its future revenue and expenses may not be as accurate as they would be if Accelsius had a longer operating history or operated in a more predictable market. Accelsius has encountered in the past, and will encounter in the future, risks and uncertainties frequently experienced by growing companies with limited operating histories in rapidly changing industries. If Accelsius’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cooling products because they are based on a relatively novel and complex technology.</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 There can be no assurance that Accelsius’ products will be understood, approved, or accepted by customers and potential investors or that Accelsius will be able to sell its products profitably at competitive prices and with features sufficient to establish demand. If Accelsius is unable to convince these potential customers of the utility and value of its products or that its cooling solutions are superior to those they currently use, Accelsius will not be successful in entering those markets and its business and results of operations will be adversely affected. If potential investors are skeptical of the success of Accelsius’ cooling products, its ability to raise capital and the value of Innventure stock may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440" w:right="359" w:bottom="1440" w:gutter="0" w:footer="0" w:header="0"/>
        </w:sectPr>
      </w:pPr>
    </w:p>
    <w:bookmarkStart w:id="67" w:name="page68"/>
    <w:bookmarkEnd w:id="67"/>
    <w:p>
      <w:pPr>
        <w:ind w:right="22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U.S. may elect to curtail the use of polyfluoroalkyl substances (PFAS), including hydrofluoroolefins (HFOs) and hydrochlorofluoroolefins (HCFOs), due to their persistence in the environment, their global warming potential, or their ozone depletion potential. While Accelsius is working to ensure industry best practices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intellectual property acquired or licensed from MNCs. Innventure monitors and protects against activities that might infringe, dilute, misappropriate or otherwise violate that intellectual property and relies on the relevant patent, trademark and other laws of the U.S. and other countries. However, Innventure, the Innventure Companies, and their MNC partners may be unable to prevent their employees, consultants or other third parties from infringing, diluting or misappropriating their intellectual property or from otherwise violating obligations with respect to their intellectual property and confidential information, which could have a material adverse effect on Innventure and the Innventure Companies’ business, financial condition, results of operations and prospects.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intellectual property rights, there is no certainty that Innventure’s, the Innventure Companies’ or their MNC partners’ intellectual property rights will provide them with substantial protection or commercial benefit. Despite Innventure, the Innventure Companies’ and their MNC partners’ efforts to protect their intellectual property, some of their innovations may not be protectable, and their intellectual property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intellectual property rights than the laws of the U.S. and present greater risks of infringement, misappropriation, dilution or other misuse. To the extent Innventure, the Innventure Companies, and their MNC partners cannot protect their intellectual property and confidential information, unauthorized use and misuse of that intellectual property could harm their competitive position and have a material adverse effect on Innventure’s business, financial condition, results of operations and prospects.</w:t>
      </w:r>
    </w:p>
    <w:p>
      <w:pPr>
        <w:spacing w:after="0" w:line="2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Innventure’s efforts to protect these rights, unauthorized third parties may attempt to duplicate or copy the proprietary aspects of its technology and processes. Innventure’s competitors and other third parties independently may design around or develop similar technology or otherwise duplicate Innventure’s services or products such that Innventure could not assert its intellectual property rights against them. In addition, Innventure’s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Innventure’s intellectual property or proprietary information and the resulting loss of competitive advantage, and Innventure may be required to litigate to protect its intellectual property and proprietary information from misappropriation or infringement by others, which is expensive, could cause a diversion of resources and may not be successful.</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Innventure also may encounter disputes from time to time concerning intellectual property rights of others, and it may not prevail in these disputes. Third parties may raise claims against Innventure alleging that Innventure, its employees, consultants or other third parties retained or indemnified by Innventure, infringe, dilute, misappropriate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7" w:right="33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or otherwise violate their intellectual property rights. Some third-party intellectual property rights may be extremely broad, and it may not be possible for Innventure to conduct its operations in such a way as to avoid all alleged violations of such intellectual property rights and thus, Innventure cannot be certain that its technologies or products and services do not infringe valid patents, trademarks, copyrights or other proprietary rights held by third parties. Given the complex, rapidly changing and competitive technological and business environment in which Innventure operates, and the potential risks and uncertainties of intellectual property-related litigation, an assertion of an infringement claim against Innventure may cause Innventure to spend significant amounts to defend the claim, even if Innventure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Innventure. Even in instances where Innventure believes that claims and allegations of intellectual property infringement against it are without merit, defending against such claims is time consuming and expensive and could result in the diversion of time and attention of Innventure’s management and employees. In addition, although in some cases a third-party may have agreed to indemnify Innventure for such costs, such indemnifying party may refuse or be unable to uphold its contractual obligations. In other cases, insurance may not cover potential claims of this type adequately or at all, and Innventure may be required to pay monetary damages, which may be significant.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256"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17" w:right="359" w:bottom="1440" w:gutter="0" w:footer="0" w:header="0"/>
        </w:sectPr>
      </w:pPr>
    </w:p>
    <w:bookmarkStart w:id="69" w:name="page70"/>
    <w:bookmarkEnd w:id="69"/>
    <w:p>
      <w:pPr>
        <w:ind w:right="740"/>
        <w:spacing w:after="0" w:line="282" w:lineRule="auto"/>
        <w:rPr>
          <w:sz w:val="20"/>
          <w:szCs w:val="20"/>
          <w:color w:val="auto"/>
        </w:rPr>
      </w:pPr>
      <w:r>
        <w:rPr>
          <w:rFonts w:ascii="Times New Roman" w:cs="Times New Roman" w:eastAsia="Times New Roman" w:hAnsi="Times New Roman"/>
          <w:sz w:val="18"/>
          <w:szCs w:val="18"/>
          <w:color w:val="auto"/>
        </w:rPr>
        <w:t>property disputes, and other business matters. Any such claims or investigations may be time-consuming, costly, divert management resources, or otherwise have a material adverse effect on its business or results of operations.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intellectual property,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2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data privacy laws continue to evolve in various jurisdictions, including the scope of consumer and commercial privacy protections. It is possible that data privacy laws, including those that may develop regarding new technologies such as artificial intelligence,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Innventure’s performance relating to environmental, social and governance (“ESG”) factors may impose additional costs and expose it to new risks.</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customers and other stakeholders concerning corporate responsibility, specifically related to ESG matters. Some investors may use these non-financial performance factors to guide their investment strategies and, in some cases, may choose not to invest in Innventure if they believe its policies and actions relating to corporate responsibility are inadequate. The growing investor demand for measurement of non-financial performance is addressed by third-party providers of sustainability assessments and ratings with respect to public companies. The criteria by which Innventure’s corporate responsibility practices are assessed may change due to changes in the sustainability landscape, which could cause it to undertake costly initiatives to satisfy such new criteria. If Innventure elects not to or is unable to satisfy such new criteria, investors may conclude that its policies and/or actions with respect to corporate social responsibility are inadequate. Innventure may face reputational damage in the event that it does not meet the ESG standards set by various constituencies.</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7" w:right="339" w:bottom="1440" w:gutter="0" w:footer="0" w:header="0"/>
        </w:sectPr>
      </w:pPr>
    </w:p>
    <w:bookmarkStart w:id="70" w:name="page71"/>
    <w:bookmarkEnd w:id="70"/>
    <w:p>
      <w:pPr>
        <w:ind w:right="60"/>
        <w:spacing w:after="0" w:line="254"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The first detailed draft rules under that approach were published in December 2021. Most countries are expected to introduce new rules in line with the Two Pillar approach for the first time in 2024, although different countries are likely to implement these changes at different times and in different ways, through their individual agreement to tax treaty changes and through changes to their own domestic tax laws.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first pillar will first establish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second pillar will establish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Innventure and the Innventure Companies could be adversely affected due to its income being taxed at higher effective rates, once these new rules come into force.</w:t>
      </w:r>
    </w:p>
    <w:p>
      <w:pPr>
        <w:spacing w:after="0" w:line="19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will incur significant increased expenses and administrative burdens as a public company, which could have an adverse effect on its business, financial condition and results of operations.</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Innventure will face increased legal, accounting, administrative and other costs and expenses as a public company that Innventure LLC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(United States) and the securities exchanges, impose additional reporting and other obligations on public companies. Compliance with public company requirements will increase costs and make certain activities more time-consuming. A number of those requirements will require Innventure to carry out activities Innventure has not done previously.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7" w:right="339" w:bottom="1440" w:gutter="0" w:footer="0" w:header="0"/>
        </w:sectPr>
      </w:pPr>
    </w:p>
    <w:bookmarkStart w:id="71" w:name="page72"/>
    <w:bookmarkEnd w:id="71"/>
    <w:p>
      <w:pPr>
        <w:spacing w:after="0" w:line="253" w:lineRule="auto"/>
        <w:rPr>
          <w:sz w:val="20"/>
          <w:szCs w:val="20"/>
          <w:color w:val="auto"/>
        </w:rPr>
      </w:pPr>
      <w:r>
        <w:rPr>
          <w:rFonts w:ascii="Times New Roman" w:cs="Times New Roman" w:eastAsia="Times New Roman" w:hAnsi="Times New Roman"/>
          <w:sz w:val="18"/>
          <w:szCs w:val="18"/>
          <w:color w:val="auto"/>
        </w:rPr>
        <w:t>Innventure has created new board committees and adopted new internal controls and disclosure controls and procedures. In addition, additional expenses associated with SEC reporting requirements will be incurred. Furthermore, if any issues in complying with those requirements are identified (for example, if the auditors identify material weaknesses in addition to those disclosed herein or a significant deficiency in the internal control over financial reporting), Innventure could incur additional costs rectifying those issues, and the existence of those issues could adversely affect Innventure’s reputation or investor perceptions of it. It may also be more expensive to obtain director and officer liability insurance in such a situation. Risks associated with Innventure’s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Innventure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failure to timely and effectively implement controls and procedures required by Section 404(a) of the Sarbanes-Oxley Act could negatively impact its business.</w:t>
      </w:r>
    </w:p>
    <w:p>
      <w:pPr>
        <w:spacing w:after="0" w:line="1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Innventure LLC was not subject to Section 404 of the Sarbanes-Oxley Act. However, Innventure will in the future be required to provide management’s attestation on internal controls in accordance with the Sarbanes-Oxley Act. The standards required for a public company under Section 404(a) of the Sarbanes-Oxley Act are significantly more stringent than those required of Innventure LLC as a privately held company. Management may not be able to effectively and timely implement controls and procedures that adequately respond to the increased regulatory compliance and reporting requirements that will be applicable. If Innventure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Commonwealth Asset Management LP (together with its assignee, “CWAM LP”), pursuant to which Holdco sold CWAM LP an aggregate of 750,000 shares of Innventure’s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the CWAM LC Sponsor LLC, Learn CW’s former Sponsor (the “Sponsor”).</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27, 2024, the Company entered into an investment agreement, substantially in the same form as the investment agreement entered into with CWAM LP with certain purchasers (together with CWAM LP, the “Series B Investors”), pursuant to which Holdco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Innventure sold, in total, 1,102,000 shares of Series B Preferred Stock providing Innventure with approximately $11.0 million of gross proceeds before deducting fees and other estimated offering expenses.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1417" w:right="359" w:bottom="1440" w:gutter="0" w:footer="0" w:header="0"/>
        </w:sectPr>
      </w:pPr>
    </w:p>
    <w:bookmarkStart w:id="72" w:name="page73"/>
    <w:bookmarkEnd w:id="72"/>
    <w:p>
      <w:pPr>
        <w:ind w:right="20"/>
        <w:spacing w:after="0" w:line="255" w:lineRule="auto"/>
        <w:rPr>
          <w:sz w:val="20"/>
          <w:szCs w:val="20"/>
          <w:color w:val="auto"/>
        </w:rPr>
      </w:pPr>
      <w:r>
        <w:rPr>
          <w:rFonts w:ascii="Times New Roman" w:cs="Times New Roman" w:eastAsia="Times New Roman" w:hAnsi="Times New Roman"/>
          <w:sz w:val="18"/>
          <w:szCs w:val="18"/>
          <w:color w:val="auto"/>
        </w:rPr>
        <w:t>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5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On October 22, 2024, in connection with the entry by Innventure LLC into a Loan and Security Agreement with the WTI Lenders, as supplemented by the Supplement to the Loan and Security Agreement, the Company issued the WTI Warrants to purchase up to an aggregate total of 1,000,000 shares of</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Common Stock to WTI Fund X, LLC and WTI Fund XI, LLC (each an affiliate of the WTI Lenders).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 Capital Partners LLC</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31, 2024, pursuant to that letter agreement between Innventure LLC and Roth Capital Partners LLC (“Roth”), dated July 8, 2024, the Company issued to Roth 25,000 shares of Common Stock in settlement of $250,000 of transaction costs incurred by Innventure or its affiliates for certain capital markets advisory services (accordingly, at an effective price of $10.00 per share).</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7" w:right="339" w:bottom="1440" w:gutter="0" w:footer="0" w:header="0"/>
        </w:sectPr>
      </w:pPr>
    </w:p>
    <w:bookmarkStart w:id="73" w:name="page74"/>
    <w:bookmarkEnd w:id="73"/>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4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1"/>
        </w:trPr>
        <w:tc>
          <w:tcPr>
            <w:tcW w:w="1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spacing w:after="0" w:line="191"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Corporation, LCW Merger Sub, Inc., Innventure LLC and Innventure Merger Sub, LLC (incorporated by reference to Annex A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(incorporated by reference to Exhibit 3.1 to Innventure Inc.’s Current Report on Form 8-K filed with the SEC on October 9,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SEC on October 9, 2024).</w:t>
              </w:r>
            </w:hyperlink>
          </w:p>
        </w:tc>
        <w:tc>
          <w:tcPr>
            <w:tcW w:w="38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7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3.3 to Innventure Inc.’s Current Report on Form 8-K filed with the SEC on October 9,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of Innventure LLC Series 1 Promissory Note (incorporated by reference to Exhibit 4.3 to Innventure, Inc.’s Registration Statement</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Form of Accelsius Holdings LLC Convertible Promissory Note (incorporated by reference to Exhibit 4.4 to Innventure, Inc.’s</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Secured Convertible Note and Warrant Purchase Agreement, dated as of June 3, 2021, by and among Innventus ESG Fund I, L.P.,</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AeroFlexx, LLC, and the Investors party thereto (incorporated by reference to Exhibit 4.5 to Innventure, Inc.’s Registration Statement on</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Amended and Restated Secured Convertible Promissory Note and Warrant Purchase Agreement, dated as of July 31, 2021, by and</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among Innventus ESG Fund I, L.P., AeroFlexx, LLC, and the Investors party thereto (incorporated by reference to Exhibit 4.6 to</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Unsecured Promissory Note, dated as of May 2, 2024, between Innventure LLC and Michael Otworth (incorporated by reference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Exhibit 4.7 to Innventure, Inc.’s Registration Statement 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Innventure Class B Warrant Cashless Exercise Description and Acknowledgment Letter (incorporated by reference to Exhibit</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4.8 to Innventure, Inc.’s 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Warrant to Acquire Securities of Innventure, Inc., dated October 22, 2024, issued to WTI Fund X, LLC (incorporated by reference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Exhibit 4.1 to Innventure, Inc.’s Current Report on Form 8-K dated October 23,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Warrant to Acquire Securities of Innventure, Inc., dated October 22, 2024, issued to WTI Fund XI, LLC (incorporated by reference to</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Exhibit 4.2 to Innventure, Inc.’s Current Report on Form 8-K dated October 23,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Investment Management Trust Agreement, dated October 12, 2021, between the Company and U.S. Bank National Association, as</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trustee (incorporated by reference to Exhibit 10.3 to Learn CW Investment Corporation’s Current Report on Form 8-K filed with the</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 on October 14, 2021).</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Registration and Shareholder Rights Agreement, dated October 12, 2021, by and among Learn CW Investment Corporation, the Sponsor</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and certain other security holders named therein (incorporated by reference to Exhibit 10.4 to Learn CW Investment Corporation’s</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Current Report on Form 8-K filed with the SEC on October 14, 2021).</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Form of Investor Rights Agreement (incorporated by reference to Annex H to Innventure, Inc.’s Registration Statement on Form S-4</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September 6,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shd w:val="clear" w:color="auto" w:fill="CCEEFF"/>
          </w:tcPr>
          <w:p>
            <w:pPr>
              <w:ind w:left="36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Innventure LLC and the Innventure Members party thereto (incorporated by reference to Annex D to Innventure, Inc.’s Registration</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Loan and Security Agreement, dated March 30, 2023, between Innventure LLC and Accelsius Holdings LLC (incorporated by reference</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to Exhibit 10.6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Loan and Security Agreement, dated February 9, 2023, between AeroFlexx, LLC and Auto Now Acceptance Co, LLC (incorporated by</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reference to Exhibit 10.7 to Innventure, Inc.’s Registration 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Offer Letter, dated September 7, 2023, between David Yablunosky and Innventure LLC (incorporated by reference to Exhibit 10.8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Class B Preferred Unit Purchase Agreement, dated as of January 14, 2022, by and among Innventure LLC and the Investors party thereto</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(incorporated by reference to Exhibit 10.9 to Innventure, Inc.’s Registration Statement on Form S-4 filed with the SEC on September 6,</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Class B Preferred Unit Purchase Agreement, dated as of June 1, 2022, by and among Innventure LLC and the</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Investors party thereto (incorporated by reference to Exhibit 10.10 to Innventure, Inc.’s Registration Statement on Form S-4 filed with</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Class B-1 Preferred Unit Purchase Agreement, dated as of August 25, 2023, by and among Innventure LLC and the Investors party</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thereto (incorporated by reference to Exhibit 10.11 to Innventure, Inc.’s Registration Statement on Form S-4 filed with the SEC on</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Class D Preferred Unit Purchase Agreement, by and between Innventus ESG, AeroFlexx, and the Investors party thereto, dated as of</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November 10, 2021 (incorporated by reference to Exhibit 10.12 to Innventure, Inc.’s Registration Statement on Form S-4 filed with the</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Series I Convertible Note Purchase Agreement, dated as of August 18, 2022, by and among Accelsius, Innventus ESG Fund I L.P. and</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other parties thereto (incorporated by reference to Exhibit 10.13 to Innventure, Inc.’s Registration Statement on Form S-4 filed with</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Series I Convertible Note Purchase Agreement, dated as of June 2, 2023, by and among Accelsius, Innventus</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ESG Fund I L.P. and the other parties thereto (incorporated by reference to Exhibit 10.14 to Innventure, Inc.’s Registration Statement on</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Class A Series 2 Unit Purchase Agreement, dated as of July 19, 2022, by and among Innventus ESG Fund I, L.P., Accelsius Holdings</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LLC, and the Investors party thereto (incorporated by reference to Exhibit 10.15 to Innventure, Inc.’s Registration Statement on Form S-</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Guaranty Agreement, dated as of April 22, 2020, by and between TOTAL S.A. and Innventure LLC (incorporated by reference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Exhibit 10.16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Envelope Recycling Program Services Agreement, dated July 1, 2020, between AeroFlexx, LLC and TerraCycle (incorporated by</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reference to Exhibit 10.17 to Innventure, Inc.’s Registration 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10.18**</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Contractor Agreement, dated as of June 3, 2019, by and between 4350 LAAD, Inc. and Innventure LLC (incorporated by reference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Exhibit 10.18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Master Intercompany Services Agreement, dated as of April 9, 2023, by and between Innventure LLC and AeroFlexx, LLC</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10.19 to Innventure, Inc.’s Registration Statement on Form S-4 filed with the SEC on September 6,</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10.20</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Master Intercompany Services Agreement, dated as of April 24, 2023, between Innventure LLC and Accelsius Holdings LLC</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10.20 to Innventure, Inc.’s Registration Statement on Form S-4 filed with the SEC on September 6,</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shd w:val="clear" w:color="auto" w:fill="CCEEFF"/>
          </w:tcPr>
          <w:p>
            <w:pPr>
              <w:ind w:left="280"/>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Letter Agreement, dated October 7, 2021, among Learn CW Investment Corporation and its officers, directors, director nominees and the</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Sponsor (incorporated by reference to Exhibit 10.1 to Learn CW Investment Corporation's Current Report on Form 8-K filed with the</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SEC on October 14, 2021).</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10.22</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Promissory Note, dated as of September 7, 2021, issued by Learn CW Investment Corporation in favor of</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Sponsor (incorporated by reference to Exhibit 10.2 to Learn Investment CW Corporation's Amendment No. 2 to the Registration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Statement on Form S-1 filed with the SEC on September 17, 2021).</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Employment Agreement, dated as of July 29, 2022, by and between Innventure LLC and Michael Otworth (incorporated by reference to</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Exhibit 10.23 to Innventure, Inc.’s Registration Statement on Form S-4 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10.24</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Employment Agreement, dated as of March 5, 2024, by and between Innventure LLC and Suzanne Niemeyer (incorporated by reference</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to Exhibit 10.24 to Innventure, Inc.’s Registration Statement on Form S-4 filed with the SEC 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10.25</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Management Services Agreement, dated January 22, 2021, by and between Innventure LLC and L1FE Management Limited</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(incorporated by reference to Exhibit 10.25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10.26</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to Management Services Agreement, dated October 1, 2021, by and between Innventure LLC and L1FE Management</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Limited (incorporated by reference to Exhibit 10.26 to Innventure, Inc.’s Registration Statement on Form S-4 filed with the SEC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10.27</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Summary of the Statement of Work, effective as of April 1, 2018, between Innventure LLC and Corporate Development Group LLC</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(incorporated by reference to Exhibit 10.27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Debt Conversion Agreement, dated October 31, 2023, by and between Innventure LLC and Innventure1 LLC (incorporated by reference</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to Exhibit 10.28 to Innventure, Inc.’s Registration Statement on Form S-4 filed with the SEC 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10.29</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&amp; Restated Promissory Note, dated December 29, 2023, issued by Learn CW Investment Corporation in favor of Sponsor</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January 3,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10.30</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Second Amended &amp; Restated Promissory Note, dated March 19, 2024, issued by Learn CW Investment Corporation in favor of Sponsor</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March 25,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10.31</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First Amendment to Loan and Security Agreement, dated December 13, 2023, between Innventure LLC and Accelsius Holdings LLC</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(incorporated by reference to Exhibit 10.31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10.32**^</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Patent Purchase Agreement, dated May 27, 2022, between Nokia Technologies, OY, Nokia Solutions and Networks, OY, and Accelsius</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Holdings LLC (incorporated by reference to Exhibit 10.32 to Innventure, Inc.’s Registration Statement on Form S-4 filed with the SEC</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10.33**^†</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Technology License and Know-How Agreement, dated May 27, 2022, between Accelsius Holdings LLC, Nokia Technologies Oy, Nokia</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Solutions and Networks Oy, and Nokia of America Corporation (incorporated by reference to Exhibit 10.33 to Innventure, Inc.’s</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Registration Statement on Form S-4 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10.34</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Patent and Know How License Agreement, dated February 15, 2018, between Air Assist LLC and The Procter &amp; Gamble Company</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(incorporated by reference to Exhibit 10.34 to Innventure, Inc.’s Registration Statement on Form S-4 filed with the SEC on September 6,</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10.35</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Patent and Know-How License Agreement, dated as of October 25, 2021, by and between the Procter &amp; Gamble</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Company and AeroFlexx, LLC (incorporated by reference to Exhibit 10.35 to Innventure, Inc.’s Registration Statement on Form S-4</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10.36</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Amendment No. 1 to the Investment Management Trust Agreement, dated April 25, 2024, by and between Learn CW and U.S. Bank,</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National Association, as trustee (incorporated by reference to Exhibit 10.1 to Learn CW Investment Corporation's Current Report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8-K filed with the SEC on May 1,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320" w:type="dxa"/>
            <w:vAlign w:val="bottom"/>
            <w:shd w:val="clear" w:color="auto" w:fill="CCEEFF"/>
          </w:tcPr>
          <w:p>
            <w:pPr>
              <w:ind w:left="420"/>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Aircraft Time-Sharing Agreement, dated May 6, 2024, by and between Innventure LLC and Sugar Grove Ventures LLC (incorporated by</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Exhibit 10.37 to Innventure, Inc.’s Registration Statement on Form S-4 filed with the SEC on September 6,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10.38</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Aircraft Time-Sharing Agreement, dated May 6, 2024, by and between Innventure LLC and Corporate Development Group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(incorporated by reference to Exhibit 10.38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10.39</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Amendment to the Statement of Work, effective October 1, 2021, between Innventure LLC and Corporate Development Group LLC</w:t>
              </w:r>
            </w:hyperlink>
          </w:p>
        </w:tc>
      </w:tr>
      <w:tr>
        <w:trPr>
          <w:trHeight w:val="202"/>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(incorporated by reference to Exhibit 10.39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10.40^</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Loan Agreement, dated as of July 1, 2024, among Innventure LLC, AeroFlexx, LLC, and AeroFlexx Packaging Company,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(incorporated by reference to Exhibit 10.40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10.41</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Second Amendment to Loan and Security Agreement, dated April 10, 2024, between Innventure LLC and Accelsius Holdings LLC</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10.41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10.42</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Third Amendment to Loan and Security Agreement, dated July 1, 2024, between Innventure LLC and Accelsius Holdings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(incorporated by reference to Exhibit 10.42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10.43^</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Unsecured Promissory Note, dated August 20, 2024, by and between Innventure LLC and Glockner Family Venture Fund, LP</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(incorporated by reference to Exhibit 10.43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10.44^</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Unsecured Promissory Note, dated August 22, 2024, by and between Innventure LLC and Dr. John Scott (incorporated by reference to</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Exhibit 10.44 to Innventure, Inc.’s Registration Statement on Form S-4 filed with the SEC on September 6,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10.45</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Third Amended &amp; Restated Promissory Note, dated June 28, 2024, issued by Learn CW Investment Corporation in favor of Sponsor</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(incorporated by reference to Exhibit 10.1 on Form 10-Q filed with the SEC on August 20,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10.46^</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Investment Agreement by and among Innventure, Inc. and the investors party thereto (incorporated by reference to Exhibit</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10.46 to Innventure, Inc.’s Registration Statement on Form S-4 filed with the SEC on September 6,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10.47</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Warrant Agreement, dated October 12, 2021, between Learn CW Investment Corporation and American Stock Transfer &amp; Trust</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Company, LLC, as warrant agent (incorporated by reference to Exhibit 4.1 to Learn CW Investment Corporation’s Current Report on</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8-K filed with the SEC on October 14, 2021).</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10.48</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Warrant Assumption Agreement, dated October 2, 2024, by and among Learn CW Investment Corporation, Innventure, Inc. (f/k/a Learn</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SPAC HoldCo, Inc.) and Equiniti Trust Company, LLC (f/k/a American Stock Transfer &amp; Stock Company, LLC), as warrant agent</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(incorporated by reference to Exhibit 10.2 to Innventure Inc.’s Current Report on Form 8-K filed with the SEC on October 9,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10.49</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Registration Rights Agreement, dated October 2, 2024, by and among Innventure, Inc., Learn CW Investment</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Corporation, CWAM LC Sponsor LLC and the undersigned parties listed thereto (incorporated by reference to Exhibit 10.3 to</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Innventure Inc.’s Current Report on Form 8-K filed with the SEC on October 9,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10.50</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&amp; Restated Investor Rights Agreement, dated October 2, 2024, by and among Innventure, Inc., and the undersigned parties</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listed thereto (incorporated by reference to Exhibit 10.4 to Innventure Inc.’s Current Report on Form 8-K filed with the SEC on October</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9,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10.51</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September 6,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10.52</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Innventure LLC and the Innventure Members party thereto (incorporated by reference to Annex D to Innventure, Inc.’s Registration</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Statement on Form S-4 filed with the SEC on September 6,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900" w:type="dxa"/>
            <w:vAlign w:val="bottom"/>
            <w:gridSpan w:val="9"/>
            <w:shd w:val="clear" w:color="auto" w:fill="CCEEFF"/>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Indemnification Agreement (incorporated by reference to Exhibit 10.7 to Innventure Inc.’s Current Report on Form 8-K filed</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10.54#</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Innventure, Inc. 2024 Equity and Incentive Compensation Plan (incorporated by reference to Annex K to Innventure, Inc.’s Registration</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Statement on Form S-4 filed with the SEC on September 6,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10.55^</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Form of Investment Agreement by and among Innventure, Inc. and the purchasers listed on Schedule I thereto (incorporated by reference</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to Exhibit 10.9 to Innventure Inc.’s Current Report on Form 8-K filed 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10.56</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Waiver and Consent entered into on October 2, 2024, by and among, Learn CW, Holdco and Innventure (incorporated by reference to</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Exhibit 10.10 to Innventure Inc.’s Current Report on Form 8-K filed with the SEC on October 9,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10.57</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A&amp;R Glockner Bridge Note, dated October 1, 2024, by and between Innventure LLC and the Glockner Family Venture Fund, LP</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(incorporated by reference to Exhibit 10.11 to Innventure Inc.’s Current Report on Form 8-K filed 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10.58</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A&amp;R Scott Bridge Note, dated October 1, 2024, by and between Innventure LLC and John Scott (incorporated by reference to Exhibit</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10.12 to Innventure Inc.’s Current Report on Form 8-K filed with the SEC on October 9,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10.59</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Loan and Security Agreement, dated October 22, 2024, by and among Innventure LLC, WTI Fund X, Inc. and WTI Fund XI, Inc.</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(incorporated by reference to Exhibit 10.1 to Innventure, Inc.’s Current Report on Form 8-K dated October 23,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10.60</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Supplement to the Loan and Security Agreement, dated October 22, 2024, by and among Innventure LLC, WTI Fund X, Inc. and WTI</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Fund XI, Inc. (incorporated by reference to Exhibit 10.2 to Innventure, Inc.’s Current Report on Form 8-K dated October 23, 2024)</w:t>
              </w:r>
              <w:r>
                <w:rPr>
                  <w:rFonts w:ascii="Times New Roman" w:cs="Times New Roman" w:eastAsia="Times New Roman" w:hAnsi="Times New Roman"/>
                  <w:sz w:val="18"/>
                  <w:szCs w:val="18"/>
                  <w:color w:val="000000"/>
                </w:rPr>
                <w:t>.</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Subsidiaries of the Registrant (incorporated by reference to Exhibit 21.1 to Innventure, Inc.’s Registration Statement on Form S-1 filed</w:t>
              </w:r>
            </w:hyperlink>
          </w:p>
        </w:tc>
      </w:tr>
      <w:tr>
        <w:trPr>
          <w:trHeight w:val="230"/>
        </w:trPr>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268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with the SEC on November 4, 2024).</w:t>
              </w:r>
            </w:hyperlink>
          </w:p>
        </w:tc>
        <w:tc>
          <w:tcPr>
            <w:tcW w:w="7020" w:type="dxa"/>
            <w:vAlign w:val="bottom"/>
            <w:tcBorders>
              <w:top w:val="single" w:sz="8" w:color="0000FF"/>
              <w:bottom w:val="single" w:sz="8" w:color="CCEEFF"/>
            </w:tcBorders>
            <w:gridSpan w:val="6"/>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9"/>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 xml:space="preserve">Rule </w:t>
              </w:r>
            </w:hyperlink>
            <w:r>
              <w:rPr>
                <w:rFonts w:ascii="Times New Roman" w:cs="Times New Roman" w:eastAsia="Times New Roman" w:hAnsi="Times New Roman"/>
                <w:sz w:val="18"/>
                <w:szCs w:val="18"/>
                <w:color w:val="0000FF"/>
              </w:rPr>
              <w:t>13a</w:t>
            </w:r>
            <w:hyperlink r:id="rId102">
              <w:r>
                <w:rPr>
                  <w:rFonts w:ascii="Times New Roman" w:cs="Times New Roman" w:eastAsia="Times New Roman" w:hAnsi="Times New Roman"/>
                  <w:sz w:val="18"/>
                  <w:szCs w:val="18"/>
                  <w:color w:val="0000FF"/>
                </w:rPr>
                <w:t>-14(a) Certification by Gregory W. Haskell, Chief Executive Officer, for the quarter ended September 30, 2024.</w:t>
              </w:r>
            </w:hyperlink>
          </w:p>
        </w:tc>
      </w:tr>
      <w:tr>
        <w:trPr>
          <w:trHeight w:val="48"/>
        </w:trPr>
        <w:tc>
          <w:tcPr>
            <w:tcW w:w="13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5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Rule 13a-14(a) Certification by David Yablunosky, Chief Financial Officer, for the quarter ended September 30, 2024.</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57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9"/>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Section 1350 Certification by Gregory W. Haskell, Chief Executive Officer, for the quarter ended September 30, 2024.</w:t>
              </w:r>
            </w:hyperlink>
          </w:p>
        </w:tc>
      </w:tr>
      <w:tr>
        <w:trPr>
          <w:trHeight w:val="48"/>
        </w:trPr>
        <w:tc>
          <w:tcPr>
            <w:tcW w:w="13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5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37"/>
        </w:trPr>
        <w:tc>
          <w:tcPr>
            <w:tcW w:w="13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8380" w:type="dxa"/>
            <w:vAlign w:val="bottom"/>
            <w:tcBorders>
              <w:bottom w:val="single" w:sz="8" w:color="0000FF"/>
            </w:tcBorders>
            <w:gridSpan w:val="3"/>
            <w:shd w:val="clear" w:color="auto" w:fill="CCEEFF"/>
          </w:tcPr>
          <w:p>
            <w:pPr>
              <w:spacing w:after="0" w:line="18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Section 1350 Certification by David Yablunosky, Chief Financial Officer, for the quarter ended September 30, 2024.</w:t>
              </w:r>
            </w:hyperlink>
          </w:p>
        </w:tc>
        <w:tc>
          <w:tcPr>
            <w:tcW w:w="1520" w:type="dxa"/>
            <w:vAlign w:val="bottom"/>
            <w:tcBorders>
              <w:bottom w:val="single" w:sz="8" w:color="CCEEFF"/>
            </w:tcBorders>
            <w:gridSpan w:val="6"/>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9"/>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Unaudited condensed financial statements of Learn CW Investment Corporation for the nine months ended September 30, 2024 and</w:t>
              </w:r>
            </w:hyperlink>
          </w:p>
        </w:tc>
      </w:tr>
      <w:tr>
        <w:trPr>
          <w:trHeight w:val="183"/>
        </w:trPr>
        <w:tc>
          <w:tcPr>
            <w:tcW w:w="1340" w:type="dxa"/>
            <w:vAlign w:val="bottom"/>
          </w:tcPr>
          <w:p>
            <w:pPr>
              <w:spacing w:after="0"/>
              <w:rPr>
                <w:sz w:val="15"/>
                <w:szCs w:val="15"/>
                <w:color w:val="auto"/>
              </w:rPr>
            </w:pPr>
          </w:p>
        </w:tc>
        <w:tc>
          <w:tcPr>
            <w:tcW w:w="268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2023</w:t>
              </w:r>
              <w:r>
                <w:rPr>
                  <w:rFonts w:ascii="Times New Roman" w:cs="Times New Roman" w:eastAsia="Times New Roman" w:hAnsi="Times New Roman"/>
                  <w:sz w:val="18"/>
                  <w:szCs w:val="18"/>
                  <w:color w:val="000000"/>
                </w:rPr>
                <w:t>.</w:t>
              </w:r>
            </w:hyperlink>
          </w:p>
        </w:tc>
        <w:tc>
          <w:tcPr>
            <w:tcW w:w="57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40" w:type="dxa"/>
            <w:vAlign w:val="bottom"/>
            <w:gridSpan w:val="8"/>
          </w:tcPr>
          <w:p>
            <w:pPr>
              <w:spacing w:after="0" w:line="20" w:lineRule="exact"/>
              <w:rPr>
                <w:sz w:val="1"/>
                <w:szCs w:val="1"/>
                <w:color w:val="auto"/>
              </w:rPr>
            </w:pPr>
          </w:p>
        </w:tc>
      </w:tr>
      <w:tr>
        <w:trPr>
          <w:trHeight w:val="245"/>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quarterly period ended September 30,</w:t>
            </w:r>
          </w:p>
        </w:tc>
      </w:tr>
      <w:tr>
        <w:trPr>
          <w:trHeight w:val="223"/>
        </w:trPr>
        <w:tc>
          <w:tcPr>
            <w:tcW w:w="1340" w:type="dxa"/>
            <w:vAlign w:val="bottom"/>
          </w:tcPr>
          <w:p>
            <w:pPr>
              <w:spacing w:after="0"/>
              <w:rPr>
                <w:sz w:val="19"/>
                <w:szCs w:val="19"/>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2024, formatted in Inline XBRL (eXtensible Business Reporting Language):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44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ind w:left="1880" w:hanging="221"/>
        <w:spacing w:after="0" w:line="234" w:lineRule="auto"/>
        <w:tabs>
          <w:tab w:leader="none" w:pos="1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September 30, 2024 (Unaudited) and December 31, 2023</w:t>
      </w:r>
    </w:p>
    <w:p>
      <w:pPr>
        <w:ind w:left="1660" w:right="80" w:hanging="1"/>
        <w:spacing w:after="0" w:line="234" w:lineRule="auto"/>
        <w:tabs>
          <w:tab w:leader="none" w:pos="19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Income (Loss)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660" w:right="80" w:hanging="1"/>
        <w:spacing w:after="0" w:line="226" w:lineRule="auto"/>
        <w:tabs>
          <w:tab w:leader="none" w:pos="1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Mezzanine Capital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660" w:right="420" w:hanging="1"/>
        <w:spacing w:after="0" w:line="234" w:lineRule="auto"/>
        <w:tabs>
          <w:tab w:leader="none" w:pos="19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Unitholders' Deficit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920" w:hanging="261"/>
        <w:spacing w:after="0" w:line="234" w:lineRule="auto"/>
        <w:tabs>
          <w:tab w:leader="none" w:pos="1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nine months ended September 30, 2024 and 2023 (Unaudited)</w:t>
      </w:r>
    </w:p>
    <w:p>
      <w:pPr>
        <w:ind w:left="1960" w:hanging="301"/>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w:t>
      </w:r>
    </w:p>
    <w:p>
      <w:pPr>
        <w:sectPr>
          <w:pgSz w:w="11900" w:h="16838" w:orient="portrait"/>
          <w:cols w:equalWidth="0" w:num="1">
            <w:col w:w="11240"/>
          </w:cols>
          <w:pgMar w:left="320" w:top="1440"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6" w:lineRule="exact"/>
        <w:rPr>
          <w:sz w:val="20"/>
          <w:szCs w:val="20"/>
          <w:color w:val="auto"/>
        </w:rPr>
      </w:pPr>
    </w:p>
    <w:p>
      <w:pPr>
        <w:sectPr>
          <w:pgSz w:w="11900" w:h="16838" w:orient="portrait"/>
          <w:cols w:equalWidth="0" w:num="2">
            <w:col w:w="620" w:space="720"/>
            <w:col w:w="99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ectPr>
          <w:pgSz w:w="11900" w:h="16838" w:orient="portrait"/>
          <w:cols w:equalWidth="0" w:num="1">
            <w:col w:w="11240"/>
          </w:cols>
          <w:pgMar w:left="320" w:top="1440" w:right="339" w:bottom="1440" w:gutter="0" w:footer="0" w:header="0"/>
          <w:type w:val="continuous"/>
        </w:sectPr>
      </w:pPr>
    </w:p>
    <w:p>
      <w:pPr>
        <w:spacing w:after="0" w:line="11" w:lineRule="exact"/>
        <w:rPr>
          <w:sz w:val="20"/>
          <w:szCs w:val="20"/>
          <w:color w:val="auto"/>
        </w:rPr>
      </w:pPr>
    </w:p>
    <w:p>
      <w:pPr>
        <w:ind w:right="40" w:firstLine="8"/>
        <w:spacing w:after="0" w:line="283" w:lineRule="auto"/>
        <w:tabs>
          <w:tab w:leader="none" w:pos="28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pursuant to Rule 601(b)(10) of Regulation S-K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type w:val="continuous"/>
        </w:sectPr>
      </w:pPr>
    </w:p>
    <w:bookmarkStart w:id="78" w:name="page79"/>
    <w:bookmarkEnd w:id="78"/>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Registrant respectfully submits that it has filed a Confidential Treatment Request with the Commission with respect to this exhibit.</w:t>
      </w:r>
    </w:p>
    <w:p>
      <w:pPr>
        <w:spacing w:after="0" w:line="28" w:lineRule="exact"/>
        <w:rPr>
          <w:sz w:val="20"/>
          <w:szCs w:val="20"/>
          <w:color w:val="auto"/>
        </w:rPr>
      </w:pPr>
    </w:p>
    <w:p>
      <w:pPr>
        <w:ind w:firstLine="8"/>
        <w:spacing w:after="0" w:line="237" w:lineRule="auto"/>
        <w:tabs>
          <w:tab w:leader="none" w:pos="2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Certain schedules have been omitted pursuant to Item 601(a)(5) of Regulation S-K. Innventure, Inc. agrees to furnish a copy of any omitted schedule to the SEC upon request.</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435"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 Gregory W. Haskell</w:t>
      </w: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-71755</wp:posOffset>
            </wp:positionV>
            <wp:extent cx="2700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David Yablunosky</w:t>
            </w:r>
          </w:p>
        </w:tc>
        <w:tc>
          <w:tcPr>
            <w:tcW w:w="0" w:type="dxa"/>
            <w:vAlign w:val="bottom"/>
          </w:tcPr>
          <w:p>
            <w:pPr>
              <w:spacing w:after="0"/>
              <w:rPr>
                <w:sz w:val="1"/>
                <w:szCs w:val="1"/>
                <w:color w:val="auto"/>
              </w:rPr>
            </w:pPr>
          </w:p>
        </w:tc>
      </w:tr>
      <w:tr>
        <w:trPr>
          <w:trHeight w:val="88"/>
        </w:trPr>
        <w:tc>
          <w:tcPr>
            <w:tcW w:w="296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25"/>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107" Type="http://schemas.openxmlformats.org/officeDocument/2006/relationships/image" Target="media/image25.png"/><Relationship Id="rId108" Type="http://schemas.openxmlformats.org/officeDocument/2006/relationships/image" Target="media/image26.png"/><Relationship Id="rId32" Type="http://schemas.openxmlformats.org/officeDocument/2006/relationships/hyperlink" Target="https://www.sec.gov/Archives/edgar/data/2001557/000114036124040480/ny20012992x29_s4a.htm#tANNEXA" TargetMode="External"/><Relationship Id="rId33" Type="http://schemas.openxmlformats.org/officeDocument/2006/relationships/hyperlink" Target="https://www.sec.gov/Archives/edgar/data/2001557/000114036124043179/ef20036737_ex3-1.htm" TargetMode="External"/><Relationship Id="rId34" Type="http://schemas.openxmlformats.org/officeDocument/2006/relationships/hyperlink" Target="https://www.sec.gov/Archives/edgar/data/2001557/000114036124043179/ef20036737_ex3-2.htm" TargetMode="External"/><Relationship Id="rId35" Type="http://schemas.openxmlformats.org/officeDocument/2006/relationships/hyperlink" Target="https://www.sec.gov/Archives/edgar/data/2001557/000114036124043179/ef20036737_ex3-3.htm" TargetMode="External"/><Relationship Id="rId36" Type="http://schemas.openxmlformats.org/officeDocument/2006/relationships/hyperlink" Target="https://www.sec.gov/Archives/edgar/data/2001557/000114036124025505/ny20012992x12_ex4-3.htm" TargetMode="External"/><Relationship Id="rId37" Type="http://schemas.openxmlformats.org/officeDocument/2006/relationships/hyperlink" Target="https://www.sec.gov/Archives/edgar/data/2001557/000114036124025505/ny20012992x12_ex4-4.htm" TargetMode="External"/><Relationship Id="rId38" Type="http://schemas.openxmlformats.org/officeDocument/2006/relationships/hyperlink" Target="https://www.sec.gov/Archives/edgar/data/2001557/000114036124025505/ny20012992x12_ex4-5.htm" TargetMode="External"/><Relationship Id="rId39" Type="http://schemas.openxmlformats.org/officeDocument/2006/relationships/hyperlink" Target="https://www.sec.gov/Archives/edgar/data/2001557/000114036124025505/ny20012992x12_ex4-6.htm" TargetMode="External"/><Relationship Id="rId40" Type="http://schemas.openxmlformats.org/officeDocument/2006/relationships/hyperlink" Target="https://www.sec.gov/Archives/edgar/data/2001557/000114036124025505/ny20012992x12_ex4-7.htm" TargetMode="External"/><Relationship Id="rId41" Type="http://schemas.openxmlformats.org/officeDocument/2006/relationships/hyperlink" Target="https://www.sec.gov/Archives/edgar/data/2001557/000114036124025505/ny20012992x12_ex4-8.htm" TargetMode="External"/><Relationship Id="rId42" Type="http://schemas.openxmlformats.org/officeDocument/2006/relationships/hyperlink" Target="https://www.sec.gov/Archives/edgar/data/2001557/000114036124044030/ef20037576_ex4-1.htm" TargetMode="External"/><Relationship Id="rId43" Type="http://schemas.openxmlformats.org/officeDocument/2006/relationships/hyperlink" Target="https://www.sec.gov/Archives/edgar/data/2001557/000114036124044030/ef20037576_ex4-2.htm" TargetMode="External"/><Relationship Id="rId44" Type="http://schemas.openxmlformats.org/officeDocument/2006/relationships/hyperlink" Target="https://www.sec.gov/Archives/edgar/data/1847577/000114036121034554/nt10022269x10_ex10-3.htm" TargetMode="External"/><Relationship Id="rId45" Type="http://schemas.openxmlformats.org/officeDocument/2006/relationships/hyperlink" Target="https://www.sec.gov/Archives/edgar/data/1847577/000114036121034554/nt10022269x10_ex10-4.htm" TargetMode="External"/><Relationship Id="rId46" Type="http://schemas.openxmlformats.org/officeDocument/2006/relationships/hyperlink" Target="https://www.sec.gov/Archives/edgar/data/2001557/000114036124040480/ny20012992x29_s4a.htm#tANNEXH" TargetMode="External"/><Relationship Id="rId47" Type="http://schemas.openxmlformats.org/officeDocument/2006/relationships/hyperlink" Target="https://www.sec.gov/Archives/edgar/data/2001557/000114036124040480/ny20012992x29_s4a.htm#tANNEXC" TargetMode="External"/><Relationship Id="rId48" Type="http://schemas.openxmlformats.org/officeDocument/2006/relationships/hyperlink" Target="https://www.sec.gov/Archives/edgar/data/2001557/000114036124040480/ny20012992x29_s4a.htm#tANNEXD" TargetMode="External"/><Relationship Id="rId49" Type="http://schemas.openxmlformats.org/officeDocument/2006/relationships/hyperlink" Target="https://www.sec.gov/Archives/edgar/data/2001557/000114036124004075/ny20012992x3_ex10-6.htm" TargetMode="External"/><Relationship Id="rId50" Type="http://schemas.openxmlformats.org/officeDocument/2006/relationships/hyperlink" Target="https://www.sec.gov/Archives/edgar/data/2001557/000114036124004075/ny20012992x3_ex10-7.htm" TargetMode="External"/><Relationship Id="rId51" Type="http://schemas.openxmlformats.org/officeDocument/2006/relationships/hyperlink" Target="https://www.sec.gov/Archives/edgar/data/2001557/000114036124004075/ny20012992x3_ex10-8.htm" TargetMode="External"/><Relationship Id="rId52" Type="http://schemas.openxmlformats.org/officeDocument/2006/relationships/hyperlink" Target="https://www.sec.gov/Archives/edgar/data/2001557/000114036124004075/ny20012992x3_ex10-9.htm" TargetMode="External"/><Relationship Id="rId53" Type="http://schemas.openxmlformats.org/officeDocument/2006/relationships/hyperlink" Target="https://www.sec.gov/Archives/edgar/data/2001557/000114036124004075/ny20012992x3_ex10-10.htm" TargetMode="External"/><Relationship Id="rId54" Type="http://schemas.openxmlformats.org/officeDocument/2006/relationships/hyperlink" Target="https://www.sec.gov/Archives/edgar/data/2001557/000114036124004075/ny20012992x3_ex10-11.htm" TargetMode="External"/><Relationship Id="rId55" Type="http://schemas.openxmlformats.org/officeDocument/2006/relationships/hyperlink" Target="https://www.sec.gov/Archives/edgar/data/2001557/000114036124004075/ny20012992x3_ex10-12.htm" TargetMode="External"/><Relationship Id="rId56" Type="http://schemas.openxmlformats.org/officeDocument/2006/relationships/hyperlink" Target="https://www.sec.gov/Archives/edgar/data/2001557/000114036124004075/ny20012992x3_ex10-13.htm" TargetMode="External"/><Relationship Id="rId57" Type="http://schemas.openxmlformats.org/officeDocument/2006/relationships/hyperlink" Target="https://www.sec.gov/Archives/edgar/data/2001557/000114036124004075/ny20012992x3_ex10-14.htm" TargetMode="External"/><Relationship Id="rId58" Type="http://schemas.openxmlformats.org/officeDocument/2006/relationships/hyperlink" Target="https://www.sec.gov/Archives/edgar/data/2001557/000114036124004075/ny20012992x3_ex10-15.htm" TargetMode="External"/><Relationship Id="rId59" Type="http://schemas.openxmlformats.org/officeDocument/2006/relationships/hyperlink" Target="https://www.sec.gov/Archives/edgar/data/2001557/000114036124019672/ny20012992x7_ex10-16.htm" TargetMode="External"/><Relationship Id="rId60" Type="http://schemas.openxmlformats.org/officeDocument/2006/relationships/hyperlink" Target="https://www.sec.gov/Archives/edgar/data/2001557/000114036124004075/ny20012992x3_ex10-17.htm" TargetMode="External"/><Relationship Id="rId61" Type="http://schemas.openxmlformats.org/officeDocument/2006/relationships/hyperlink" Target="https://www.sec.gov/Archives/edgar/data/2001557/000114036124033924/ny20012992x19_ex10-18.htm" TargetMode="External"/><Relationship Id="rId62" Type="http://schemas.openxmlformats.org/officeDocument/2006/relationships/hyperlink" Target="https://www.sec.gov/Archives/edgar/data/2001557/000114036124004075/ny20012992x3_ex10-19.htm" TargetMode="External"/><Relationship Id="rId63" Type="http://schemas.openxmlformats.org/officeDocument/2006/relationships/hyperlink" Target="https://www.sec.gov/Archives/edgar/data/1847577/000114036121034554/nt10022269x10_ex10-1.htm" TargetMode="External"/><Relationship Id="rId64" Type="http://schemas.openxmlformats.org/officeDocument/2006/relationships/hyperlink" Target="https://www.sec.gov/Archives/edgar/data/1847577/000114036121031541/nt10022269x4_ex10-2.htm" TargetMode="External"/><Relationship Id="rId65" Type="http://schemas.openxmlformats.org/officeDocument/2006/relationships/hyperlink" Target="https://www.sec.gov/Archives/edgar/data/2001557/000114036124019672/ny20012992x7_ex10-23.htm" TargetMode="External"/><Relationship Id="rId66" Type="http://schemas.openxmlformats.org/officeDocument/2006/relationships/hyperlink" Target="https://www.sec.gov/Archives/edgar/data/2001557/000114036124019672/ny20012992x7_ex10-24.htm" TargetMode="External"/><Relationship Id="rId67" Type="http://schemas.openxmlformats.org/officeDocument/2006/relationships/hyperlink" Target="https://www.sec.gov/Archives/edgar/data/2001557/000114036124019672/ny20012992x7_ex10-25.htm" TargetMode="External"/><Relationship Id="rId68" Type="http://schemas.openxmlformats.org/officeDocument/2006/relationships/hyperlink" Target="https://www.sec.gov/Archives/edgar/data/2001557/000114036124019672/ny20012992x7_ex10-26.htm" TargetMode="External"/><Relationship Id="rId69" Type="http://schemas.openxmlformats.org/officeDocument/2006/relationships/hyperlink" Target="https://www.sec.gov/Archives/edgar/data/2001557/000114036124025505/ny20012992x12_ex10-27.htm" TargetMode="External"/><Relationship Id="rId70" Type="http://schemas.openxmlformats.org/officeDocument/2006/relationships/hyperlink" Target="https://www.sec.gov/Archives/edgar/data/2001557/000114036124019672/ny20012992x7_ex10-28.htm" TargetMode="External"/><Relationship Id="rId71" Type="http://schemas.openxmlformats.org/officeDocument/2006/relationships/hyperlink" Target="https://www.sec.gov/Archives/edgar/data/1847577/000114036124000451/ef20017927_ex10-1.htm" TargetMode="External"/><Relationship Id="rId72" Type="http://schemas.openxmlformats.org/officeDocument/2006/relationships/hyperlink" Target="https://www.sec.gov/Archives/edgar/data/1847577/000114036124015028/ef20025004_ex10-1.htm" TargetMode="External"/><Relationship Id="rId73" Type="http://schemas.openxmlformats.org/officeDocument/2006/relationships/hyperlink" Target="https://www.sec.gov/Archives/edgar/data/2001557/000114036124030557/ny20012992x17_ex10-31.htm" TargetMode="External"/><Relationship Id="rId74" Type="http://schemas.openxmlformats.org/officeDocument/2006/relationships/hyperlink" Target="https://www.sec.gov/Archives/edgar/data/2001557/000114036124033924/ny20012992x19_ex10-32.htm" TargetMode="External"/><Relationship Id="rId75" Type="http://schemas.openxmlformats.org/officeDocument/2006/relationships/hyperlink" Target="https://www.sec.gov/Archives/edgar/data/2001557/000114036124033924/ny20012992x19_ex10-33.htm" TargetMode="External"/><Relationship Id="rId76" Type="http://schemas.openxmlformats.org/officeDocument/2006/relationships/hyperlink" Target="https://www.sec.gov/Archives/edgar/data/2001557/000114036124030557/ny20012992x17_ex10-34.htm" TargetMode="External"/><Relationship Id="rId77" Type="http://schemas.openxmlformats.org/officeDocument/2006/relationships/hyperlink" Target="https://www.sec.gov/Archives/edgar/data/2001557/000114036124004075/ny20012992x3_ex10-28.htm" TargetMode="External"/><Relationship Id="rId78" Type="http://schemas.openxmlformats.org/officeDocument/2006/relationships/hyperlink" Target="https://www.sec.gov/Archives/edgar/data/1847577/000114036124023759/ny20012992x11_ex10-1.htm" TargetMode="External"/><Relationship Id="rId79" Type="http://schemas.openxmlformats.org/officeDocument/2006/relationships/hyperlink" Target="https://www.sec.gov/Archives/edgar/data/2001557/000114036124030557/ny20012992x17_ex10-37.htm" TargetMode="External"/><Relationship Id="rId80" Type="http://schemas.openxmlformats.org/officeDocument/2006/relationships/hyperlink" Target="https://www.sec.gov/Archives/edgar/data/2001557/000114036124030557/ny20012992x17_ex10-38.htm" TargetMode="External"/><Relationship Id="rId81" Type="http://schemas.openxmlformats.org/officeDocument/2006/relationships/hyperlink" Target="https://www.sec.gov/Archives/edgar/data/2001557/000114036124030557/ny20012992x17_ex10-39.htm" TargetMode="External"/><Relationship Id="rId82" Type="http://schemas.openxmlformats.org/officeDocument/2006/relationships/hyperlink" Target="https://www.sec.gov/Archives/edgar/data/2001557/000114036124033924/ny20012992x19_ex10-40.htm" TargetMode="External"/><Relationship Id="rId83" Type="http://schemas.openxmlformats.org/officeDocument/2006/relationships/hyperlink" Target="https://www.sec.gov/Archives/edgar/data/2001557/000114036124036468/ny20012992x21_ex10-41.htm" TargetMode="External"/><Relationship Id="rId84" Type="http://schemas.openxmlformats.org/officeDocument/2006/relationships/hyperlink" Target="https://www.sec.gov/Archives/edgar/data/2001557/000114036124036468/ny20012992x21_ex10-42.htm" TargetMode="External"/><Relationship Id="rId85" Type="http://schemas.openxmlformats.org/officeDocument/2006/relationships/hyperlink" Target="https://www.sec.gov/Archives/edgar/data/2001557/000114036124039013/ny20012992x24_ex10-43.htm" TargetMode="External"/><Relationship Id="rId86" Type="http://schemas.openxmlformats.org/officeDocument/2006/relationships/hyperlink" Target="https://www.sec.gov/Archives/edgar/data/2001557/000114036124039013/ny20012992x24_ex10-44.htm" TargetMode="External"/><Relationship Id="rId87" Type="http://schemas.openxmlformats.org/officeDocument/2006/relationships/hyperlink" Target="https://www.sec.gov/Archives/edgar/data/1847577/000114036124037848/ef20030484_ex10-1.htm" TargetMode="External"/><Relationship Id="rId88" Type="http://schemas.openxmlformats.org/officeDocument/2006/relationships/hyperlink" Target="https://www.sec.gov/Archives/edgar/data/2001557/000114036124039013/ny20012992x24_ex10-46.htm" TargetMode="External"/><Relationship Id="rId89" Type="http://schemas.openxmlformats.org/officeDocument/2006/relationships/hyperlink" Target="https://www.sec.gov/Archives/edgar/data/1847577/000114036121034554/nt10022269x10_ex4-1.htm" TargetMode="External"/><Relationship Id="rId90" Type="http://schemas.openxmlformats.org/officeDocument/2006/relationships/hyperlink" Target="https://www.sec.gov/Archives/edgar/data/2001557/000114036124043179/ef20036737_ex10-2.htm" TargetMode="External"/><Relationship Id="rId91" Type="http://schemas.openxmlformats.org/officeDocument/2006/relationships/hyperlink" Target="https://www.sec.gov/Archives/edgar/data/2001557/000114036124043179/ef20036737_ex10-3.htm" TargetMode="External"/><Relationship Id="rId92" Type="http://schemas.openxmlformats.org/officeDocument/2006/relationships/hyperlink" Target="https://www.sec.gov/Archives/edgar/data/2001557/000114036124043179/ef20036737_ex10-4.htm" TargetMode="External"/><Relationship Id="rId93" Type="http://schemas.openxmlformats.org/officeDocument/2006/relationships/hyperlink" Target="https://www.sec.gov/Archives/edgar/data/2001557/000114036124043179/ef20036737_ex10-7.htm" TargetMode="External"/><Relationship Id="rId94" Type="http://schemas.openxmlformats.org/officeDocument/2006/relationships/hyperlink" Target="https://www.sec.gov/Archives/edgar/data/2001557/000114036124040480/ny20012992x29_s4a.htm#tANNEXK" TargetMode="External"/><Relationship Id="rId95" Type="http://schemas.openxmlformats.org/officeDocument/2006/relationships/hyperlink" Target="https://www.sec.gov/Archives/edgar/data/2001557/000114036124043179/ef20036737_ex10-9.htm" TargetMode="External"/><Relationship Id="rId96" Type="http://schemas.openxmlformats.org/officeDocument/2006/relationships/hyperlink" Target="https://www.sec.gov/Archives/edgar/data/2001557/000114036124043179/ef20036737_ex10-10.htm" TargetMode="External"/><Relationship Id="rId97" Type="http://schemas.openxmlformats.org/officeDocument/2006/relationships/hyperlink" Target="https://www.sec.gov/Archives/edgar/data/2001557/000114036124043179/ef20036737_ex10-11.htm" TargetMode="External"/><Relationship Id="rId98" Type="http://schemas.openxmlformats.org/officeDocument/2006/relationships/hyperlink" Target="https://www.sec.gov/Archives/edgar/data/2001557/000114036124043179/ef20036737_ex10-12.htm" TargetMode="External"/><Relationship Id="rId99" Type="http://schemas.openxmlformats.org/officeDocument/2006/relationships/hyperlink" Target="https://www.sec.gov/Archives/edgar/data/2001557/000114036124044030/ef20037576_ex10-1.htm" TargetMode="External"/><Relationship Id="rId100" Type="http://schemas.openxmlformats.org/officeDocument/2006/relationships/hyperlink" Target="https://www.sec.gov/Archives/edgar/data/2001557/000114036124044030/ef20037576_ex10-2.htm" TargetMode="External"/><Relationship Id="rId101" Type="http://schemas.openxmlformats.org/officeDocument/2006/relationships/hyperlink" Target="https://www.sec.gov/Archives/edgar/data/2001557/000162828024044820/exhibit211-resalesx1.htm" TargetMode="External"/><Relationship Id="rId102" Type="http://schemas.openxmlformats.org/officeDocument/2006/relationships/hyperlink" Target="https://www.sec.gov/Archives/edgar/data/2001557/000162828024047822/exhibit311-q32024x10xqxgwh.htm" TargetMode="External"/><Relationship Id="rId103" Type="http://schemas.openxmlformats.org/officeDocument/2006/relationships/hyperlink" Target="https://www.sec.gov/Archives/edgar/data/2001557/000162828024047822/exhibit312-q32024x10xqxdy.htm" TargetMode="External"/><Relationship Id="rId104" Type="http://schemas.openxmlformats.org/officeDocument/2006/relationships/hyperlink" Target="https://www.sec.gov/Archives/edgar/data/2001557/000162828024047822/exhibit321-q32024x10xqxgwh.htm" TargetMode="External"/><Relationship Id="rId105" Type="http://schemas.openxmlformats.org/officeDocument/2006/relationships/hyperlink" Target="https://www.sec.gov/Archives/edgar/data/2001557/000162828024047822/exhibit322-q32024x10xqxdy.htm" TargetMode="External"/><Relationship Id="rId106" Type="http://schemas.openxmlformats.org/officeDocument/2006/relationships/hyperlink" Target="https://www.sec.gov/Archives/edgar/data/2001557/000162828024047822/lcwq32024exhi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2024-11-15T15:22:56Z</dcterms:created>
  <dcterms:modified xsi:type="dcterms:W3CDTF">2024-11-15T15:22:56Z</dcterms:modified>
</cp:coreProperties>
</file>