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22860"/>
                    </a:xfrm>
                    <a:prstGeom prst="rect">
                      <a:avLst/>
                    </a:prstGeom>
                    <a:noFill/>
                  </pic:spPr>
                </pic:pic>
              </a:graphicData>
            </a:graphic>
          </wp:anchor>
        </w:drawing>
        <w:t>Filed pursuant to Rule 424(b)(3)</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Registration No. 333-276714</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Prospectus Supplement No. 13</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(To Prospectus dated September 10, 2024)</w:t>
      </w:r>
    </w:p>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INNVENTURE, INC.</w:t>
      </w:r>
    </w:p>
    <w:p>
      <w:pPr>
        <w:spacing w:after="0" w:line="155"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This prospectus supplement updates, amends and supplements the prospectus dated September 10, 2024 (the “Prospectus”), which forms a part of our Registration Statement on Form S-4 (Registration No. 333-276714) and is being filed to update, amend and supplement the information included in the Prospectus with information contained in our Current Report on Form 8-K, which was filed with the Securities and Exchange Commission (the “SEC”) on March 7, 2025 (the “Current Report”). Accordingly, we have attached the Current Report to this prospectus supplement. Capitalized terms used in this prospectus supplement and not otherwise defined herein have the meanings specified in the Prospectus.</w:t>
      </w:r>
    </w:p>
    <w:p>
      <w:pPr>
        <w:spacing w:after="0" w:line="122" w:lineRule="exact"/>
        <w:rPr>
          <w:sz w:val="24"/>
          <w:szCs w:val="24"/>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Shares of our common stock, par value $0.0001 per share (our “Common Stock”), are listed on The Nasdaq Stock Market, LLC under the symbol “INV.” On March 6, 2025, the closing price of our Common Stock was $7.93 per share.</w:t>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Investing in our securities involves risks that are described in the “Risk Factors” section of the Prospectus.</w:t>
      </w:r>
    </w:p>
    <w:p>
      <w:pPr>
        <w:spacing w:after="0" w:line="150" w:lineRule="exact"/>
        <w:rPr>
          <w:sz w:val="24"/>
          <w:szCs w:val="24"/>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The date of this prospectus supplement is March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179070</wp:posOffset>
            </wp:positionV>
            <wp:extent cx="717804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96" w:right="29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128905</wp:posOffset>
            </wp:positionV>
            <wp:extent cx="7178040" cy="2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208915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133350</wp:posOffset>
            </wp:positionV>
            <wp:extent cx="21488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48840" cy="11430"/>
                    </a:xfrm>
                    <a:prstGeom prst="rect">
                      <a:avLst/>
                    </a:prstGeom>
                    <a:noFill/>
                  </pic:spPr>
                </pic:pic>
              </a:graphicData>
            </a:graphic>
          </wp:anchor>
        </w:drawing>
      </w: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139065</wp:posOffset>
            </wp:positionV>
            <wp:extent cx="214884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8840" cy="1143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Pursuant to Section 13 OR 15(d) of The Securities Exchange Act of 1934</w:t>
      </w:r>
    </w:p>
    <w:p>
      <w:pPr>
        <w:spacing w:after="0" w:line="1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March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144780</wp:posOffset>
            </wp:positionV>
            <wp:extent cx="214884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48840" cy="11430"/>
                    </a:xfrm>
                    <a:prstGeom prst="rect">
                      <a:avLst/>
                    </a:prstGeom>
                    <a:noFill/>
                  </pic:spPr>
                </pic:pic>
              </a:graphicData>
            </a:graphic>
          </wp:anchor>
        </w:drawing>
      </w: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134620</wp:posOffset>
            </wp:positionV>
            <wp:extent cx="21488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48840" cy="11430"/>
                    </a:xfrm>
                    <a:prstGeom prst="rect">
                      <a:avLst/>
                    </a:prstGeom>
                    <a:noFill/>
                  </pic:spPr>
                </pic:pic>
              </a:graphicData>
            </a:graphic>
          </wp:anchor>
        </w:drawing>
      </w:r>
    </w:p>
    <w:p>
      <w:pPr>
        <w:sectPr>
          <w:pgSz w:w="11900" w:h="16838" w:orient="portrait"/>
          <w:cols w:equalWidth="0" w:num="1">
            <w:col w:w="11300"/>
          </w:cols>
          <w:pgMar w:left="300" w:top="373" w:right="29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2"/>
          <w:szCs w:val="12"/>
          <w:b w:val="1"/>
          <w:bCs w:val="1"/>
          <w:color w:val="auto"/>
        </w:rPr>
        <w:t>DelawareDelaware</w:t>
      </w:r>
    </w:p>
    <w:p>
      <w:pPr>
        <w:spacing w:after="0" w:line="21"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2"/>
          <w:szCs w:val="12"/>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jc w:val="center"/>
        <w:ind w:right="1560"/>
        <w:spacing w:after="0"/>
        <w:rPr>
          <w:sz w:val="20"/>
          <w:szCs w:val="20"/>
          <w:color w:val="auto"/>
        </w:rPr>
      </w:pPr>
      <w:r>
        <w:rPr>
          <w:rFonts w:ascii="Times New Roman" w:cs="Times New Roman" w:eastAsia="Times New Roman" w:hAnsi="Times New Roman"/>
          <w:sz w:val="12"/>
          <w:szCs w:val="12"/>
          <w:b w:val="1"/>
          <w:bCs w:val="1"/>
          <w:color w:val="auto"/>
        </w:rPr>
        <w:t>001-42303</w:t>
      </w:r>
    </w:p>
    <w:p>
      <w:pPr>
        <w:spacing w:after="0" w:line="21" w:lineRule="exact"/>
        <w:rPr>
          <w:sz w:val="20"/>
          <w:szCs w:val="20"/>
          <w:color w:val="auto"/>
        </w:rPr>
      </w:pPr>
    </w:p>
    <w:p>
      <w:pPr>
        <w:jc w:val="center"/>
        <w:ind w:right="1560"/>
        <w:spacing w:after="0"/>
        <w:rPr>
          <w:sz w:val="20"/>
          <w:szCs w:val="20"/>
          <w:color w:val="auto"/>
        </w:rPr>
      </w:pPr>
      <w:r>
        <w:rPr>
          <w:rFonts w:ascii="Times New Roman" w:cs="Times New Roman" w:eastAsia="Times New Roman" w:hAnsi="Times New Roman"/>
          <w:sz w:val="12"/>
          <w:szCs w:val="12"/>
          <w:color w:val="auto"/>
        </w:rPr>
        <w:t>(Commission File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2"/>
          <w:szCs w:val="12"/>
          <w:b w:val="1"/>
          <w:bCs w:val="1"/>
          <w:color w:val="auto"/>
        </w:rPr>
        <w:t>93-4440048</w:t>
      </w:r>
    </w:p>
    <w:p>
      <w:pPr>
        <w:spacing w:after="0" w:line="21"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2"/>
          <w:szCs w:val="12"/>
          <w:color w:val="auto"/>
        </w:rPr>
        <w:t>(IRS Employer Identification No.)</w:t>
      </w:r>
    </w:p>
    <w:p>
      <w:pPr>
        <w:spacing w:after="0" w:line="135" w:lineRule="exact"/>
        <w:rPr>
          <w:sz w:val="20"/>
          <w:szCs w:val="20"/>
          <w:color w:val="auto"/>
        </w:rPr>
      </w:pPr>
    </w:p>
    <w:p>
      <w:pPr>
        <w:sectPr>
          <w:pgSz w:w="11900" w:h="16838" w:orient="portrait"/>
          <w:cols w:equalWidth="0" w:num="3">
            <w:col w:w="4260" w:space="720"/>
            <w:col w:w="2900" w:space="720"/>
            <w:col w:w="2700"/>
          </w:cols>
          <w:pgMar w:left="300" w:top="373" w:right="299" w:bottom="1440" w:gutter="0" w:footer="0" w:header="0"/>
          <w:type w:val="continuous"/>
        </w:sectPr>
      </w:pPr>
    </w:p>
    <w:p>
      <w:pPr>
        <w:jc w:val="center"/>
        <w:ind w:right="2000"/>
        <w:spacing w:after="0"/>
        <w:rPr>
          <w:sz w:val="20"/>
          <w:szCs w:val="20"/>
          <w:color w:val="auto"/>
        </w:rPr>
      </w:pPr>
      <w:r>
        <w:rPr>
          <w:rFonts w:ascii="Times New Roman" w:cs="Times New Roman" w:eastAsia="Times New Roman" w:hAnsi="Times New Roman"/>
          <w:sz w:val="11"/>
          <w:szCs w:val="11"/>
          <w:b w:val="1"/>
          <w:bCs w:val="1"/>
          <w:color w:val="auto"/>
        </w:rPr>
        <w:t>6900 Tavistock Lakes Blvd, Suite 400</w:t>
      </w:r>
    </w:p>
    <w:p>
      <w:pPr>
        <w:spacing w:after="0" w:line="32" w:lineRule="exact"/>
        <w:rPr>
          <w:sz w:val="20"/>
          <w:szCs w:val="20"/>
          <w:color w:val="auto"/>
        </w:rPr>
      </w:pPr>
    </w:p>
    <w:p>
      <w:pPr>
        <w:jc w:val="center"/>
        <w:ind w:right="2000"/>
        <w:spacing w:after="0"/>
        <w:rPr>
          <w:sz w:val="20"/>
          <w:szCs w:val="20"/>
          <w:color w:val="auto"/>
        </w:rPr>
      </w:pPr>
      <w:r>
        <w:rPr>
          <w:rFonts w:ascii="Times New Roman" w:cs="Times New Roman" w:eastAsia="Times New Roman" w:hAnsi="Times New Roman"/>
          <w:sz w:val="12"/>
          <w:szCs w:val="12"/>
          <w:b w:val="1"/>
          <w:bCs w:val="1"/>
          <w:color w:val="auto"/>
        </w:rPr>
        <w:t>Orlando, Florida</w:t>
      </w:r>
    </w:p>
    <w:p>
      <w:pPr>
        <w:spacing w:after="0" w:line="6" w:lineRule="exact"/>
        <w:rPr>
          <w:sz w:val="20"/>
          <w:szCs w:val="20"/>
          <w:color w:val="auto"/>
        </w:rPr>
      </w:pPr>
    </w:p>
    <w:p>
      <w:pPr>
        <w:jc w:val="center"/>
        <w:ind w:right="2000"/>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ind w:right="2500"/>
        <w:spacing w:after="0"/>
        <w:rPr>
          <w:sz w:val="20"/>
          <w:szCs w:val="20"/>
          <w:color w:val="auto"/>
        </w:rPr>
      </w:pPr>
      <w:r>
        <w:rPr>
          <w:rFonts w:ascii="Times New Roman" w:cs="Times New Roman" w:eastAsia="Times New Roman" w:hAnsi="Times New Roman"/>
          <w:sz w:val="12"/>
          <w:szCs w:val="12"/>
          <w:b w:val="1"/>
          <w:bCs w:val="1"/>
          <w:color w:val="auto"/>
        </w:rPr>
        <w:t>32827</w:t>
      </w:r>
    </w:p>
    <w:p>
      <w:pPr>
        <w:spacing w:after="0" w:line="21" w:lineRule="exact"/>
        <w:rPr>
          <w:sz w:val="20"/>
          <w:szCs w:val="20"/>
          <w:color w:val="auto"/>
        </w:rPr>
      </w:pPr>
    </w:p>
    <w:p>
      <w:pPr>
        <w:jc w:val="center"/>
        <w:ind w:right="2500"/>
        <w:spacing w:after="0"/>
        <w:rPr>
          <w:sz w:val="20"/>
          <w:szCs w:val="20"/>
          <w:color w:val="auto"/>
        </w:rPr>
      </w:pPr>
      <w:r>
        <w:rPr>
          <w:rFonts w:ascii="Times New Roman" w:cs="Times New Roman" w:eastAsia="Times New Roman" w:hAnsi="Times New Roman"/>
          <w:sz w:val="12"/>
          <w:szCs w:val="12"/>
          <w:color w:val="auto"/>
        </w:rPr>
        <w:t>(Zip Code)</w:t>
      </w:r>
    </w:p>
    <w:p>
      <w:pPr>
        <w:spacing w:after="0" w:line="135" w:lineRule="exact"/>
        <w:rPr>
          <w:sz w:val="20"/>
          <w:szCs w:val="20"/>
          <w:color w:val="auto"/>
        </w:rPr>
      </w:pPr>
    </w:p>
    <w:p>
      <w:pPr>
        <w:sectPr>
          <w:pgSz w:w="11900" w:h="16838" w:orient="portrait"/>
          <w:cols w:equalWidth="0" w:num="2">
            <w:col w:w="7540" w:space="720"/>
            <w:col w:w="3040"/>
          </w:cols>
          <w:pgMar w:left="300" w:top="373" w:right="299" w:bottom="1440" w:gutter="0" w:footer="0" w:header="0"/>
          <w:type w:val="continuous"/>
        </w:sectPr>
      </w:pPr>
    </w:p>
    <w:p>
      <w:pPr>
        <w:spacing w:after="0" w:line="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1"/>
          <w:szCs w:val="11"/>
          <w:color w:val="auto"/>
        </w:rPr>
        <w:t>Registrant’s telephone number, including area 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(321) 209-6787</w:t>
      </w:r>
    </w:p>
    <w:p>
      <w:pPr>
        <w:spacing w:after="0" w:line="150" w:lineRule="exact"/>
        <w:rPr>
          <w:sz w:val="20"/>
          <w:szCs w:val="20"/>
          <w:color w:val="auto"/>
        </w:rPr>
      </w:pPr>
    </w:p>
    <w:p>
      <w:pPr>
        <w:sectPr>
          <w:pgSz w:w="11900" w:h="16838" w:orient="portrait"/>
          <w:cols w:equalWidth="0" w:num="2">
            <w:col w:w="6480" w:space="60"/>
            <w:col w:w="4760"/>
          </w:cols>
          <w:pgMar w:left="300" w:top="373" w:right="29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137160</wp:posOffset>
            </wp:positionV>
            <wp:extent cx="21488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48840" cy="11430"/>
                    </a:xfrm>
                    <a:prstGeom prst="rect">
                      <a:avLst/>
                    </a:prstGeom>
                    <a:noFill/>
                  </pic:spPr>
                </pic:pic>
              </a:graphicData>
            </a:graphic>
          </wp:anchor>
        </w:drawing>
      </w:r>
    </w:p>
    <w:p>
      <w:pPr>
        <w:sectPr>
          <w:pgSz w:w="11900" w:h="16838" w:orient="portrait"/>
          <w:cols w:equalWidth="0" w:num="1">
            <w:col w:w="11300"/>
          </w:cols>
          <w:pgMar w:left="300" w:top="373" w:right="29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Check the appropriate box below if the Form 8-K filing is intended to simultaneously satisfy the filing obligation of the registrant under any of the following provisions:</w:t>
      </w:r>
    </w:p>
    <w:p>
      <w:pPr>
        <w:spacing w:after="0" w:line="162" w:lineRule="exact"/>
        <w:rPr>
          <w:sz w:val="20"/>
          <w:szCs w:val="20"/>
          <w:color w:val="auto"/>
        </w:rPr>
      </w:pPr>
    </w:p>
    <w:p>
      <w:pPr>
        <w:ind w:left="600" w:hanging="275"/>
        <w:spacing w:after="0"/>
        <w:tabs>
          <w:tab w:leader="none" w:pos="6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600" w:hanging="275"/>
        <w:spacing w:after="0"/>
        <w:tabs>
          <w:tab w:leader="none" w:pos="6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600" w:hanging="275"/>
        <w:spacing w:after="0"/>
        <w:tabs>
          <w:tab w:leader="none" w:pos="6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600" w:hanging="275"/>
        <w:spacing w:after="0"/>
        <w:tabs>
          <w:tab w:leader="none" w:pos="6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ectPr>
          <w:pgSz w:w="11900" w:h="16838" w:orient="portrait"/>
          <w:cols w:equalWidth="0" w:num="1">
            <w:col w:w="11300"/>
          </w:cols>
          <w:pgMar w:left="300" w:top="373" w:right="299" w:bottom="1440" w:gutter="0" w:footer="0" w:header="0"/>
          <w:type w:val="continuous"/>
        </w:sectPr>
      </w:pPr>
    </w:p>
    <w:p>
      <w:pPr>
        <w:spacing w:after="0" w:line="150"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2"/>
          <w:szCs w:val="12"/>
          <w:color w:val="auto"/>
        </w:rPr>
        <w:t>Title of each class</w:t>
      </w:r>
    </w:p>
    <w:p>
      <w:pPr>
        <w:spacing w:after="0" w:line="17"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1"/>
          <w:szCs w:val="11"/>
          <w:color w:val="auto"/>
        </w:rPr>
        <w:t>Common Stock, par value $0.0001 per share</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2"/>
          <w:szCs w:val="12"/>
          <w:color w:val="auto"/>
        </w:rPr>
        <w:t>Trading Symbol(s)</w:t>
      </w:r>
    </w:p>
    <w:p>
      <w:pPr>
        <w:spacing w:after="0" w:line="17"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2"/>
          <w:szCs w:val="12"/>
          <w:color w:val="auto"/>
        </w:rPr>
        <w:t>INV</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1"/>
          <w:szCs w:val="11"/>
          <w:color w:val="auto"/>
        </w:rPr>
        <w:t>Name of each exchange on which registered</w:t>
      </w:r>
    </w:p>
    <w:p>
      <w:pPr>
        <w:spacing w:after="0" w:line="28"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color w:val="auto"/>
        </w:rPr>
        <w:t>The Nasdaq Stock Market, LLC</w:t>
      </w:r>
    </w:p>
    <w:p>
      <w:pPr>
        <w:spacing w:after="0" w:line="139" w:lineRule="exact"/>
        <w:rPr>
          <w:sz w:val="20"/>
          <w:szCs w:val="20"/>
          <w:color w:val="auto"/>
        </w:rPr>
      </w:pPr>
    </w:p>
    <w:p>
      <w:pPr>
        <w:sectPr>
          <w:pgSz w:w="11900" w:h="16838" w:orient="portrait"/>
          <w:cols w:equalWidth="0" w:num="3">
            <w:col w:w="4720" w:space="720"/>
            <w:col w:w="1860" w:space="720"/>
            <w:col w:w="3280"/>
          </w:cols>
          <w:pgMar w:left="300" w:top="373" w:right="299" w:bottom="1440" w:gutter="0" w:footer="0" w:header="0"/>
          <w:type w:val="continuous"/>
        </w:sect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0"/>
          <w:szCs w:val="20"/>
          <w:color w:val="auto"/>
        </w:rPr>
      </w:pPr>
    </w:p>
    <w:p>
      <w:pPr>
        <w:ind w:left="9840"/>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190" w:lineRule="exact"/>
        <w:rPr>
          <w:sz w:val="20"/>
          <w:szCs w:val="20"/>
          <w:color w:val="auto"/>
        </w:rPr>
      </w:pPr>
    </w:p>
    <w:p>
      <w:pPr>
        <w:ind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183515</wp:posOffset>
            </wp:positionV>
            <wp:extent cx="7178040" cy="228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280670</wp:posOffset>
            </wp:positionV>
            <wp:extent cx="717804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73" w:right="29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ind w:right="540" w:firstLine="432"/>
        <w:spacing w:after="0" w:line="279" w:lineRule="auto"/>
        <w:rPr>
          <w:sz w:val="20"/>
          <w:szCs w:val="20"/>
          <w:color w:val="auto"/>
        </w:rPr>
      </w:pPr>
      <w:r>
        <w:rPr>
          <w:rFonts w:ascii="Times New Roman" w:cs="Times New Roman" w:eastAsia="Times New Roman" w:hAnsi="Times New Roman"/>
          <w:sz w:val="12"/>
          <w:szCs w:val="12"/>
          <w:color w:val="auto"/>
        </w:rPr>
        <w:t>On March 7, 2025, Innventure, Inc. (the “Company”) made available an updated corporate presentation that may be used by the Company in discussions with certain of its securityholders and other persons. The slide presentation is attached hereto as Exhibit 99.1 and is incorporated herein by reference.</w:t>
      </w:r>
    </w:p>
    <w:p>
      <w:pPr>
        <w:spacing w:after="0" w:line="111" w:lineRule="exact"/>
        <w:rPr>
          <w:sz w:val="20"/>
          <w:szCs w:val="20"/>
          <w:color w:val="auto"/>
        </w:rPr>
      </w:pPr>
    </w:p>
    <w:p>
      <w:pPr>
        <w:ind w:right="120" w:firstLine="432"/>
        <w:spacing w:after="0" w:line="265" w:lineRule="auto"/>
        <w:rPr>
          <w:sz w:val="20"/>
          <w:szCs w:val="20"/>
          <w:color w:val="auto"/>
        </w:rPr>
      </w:pPr>
      <w:r>
        <w:rPr>
          <w:rFonts w:ascii="Times New Roman" w:cs="Times New Roman" w:eastAsia="Times New Roman" w:hAnsi="Times New Roman"/>
          <w:sz w:val="12"/>
          <w:szCs w:val="12"/>
          <w:color w:val="auto"/>
        </w:rPr>
        <w:t>The information in this Item 7.01, including the exhibits attached hereto, shall not be deemed “filed” for purposes of Section 18 of the Securities Exchange Act of 1934, as amended (the “Exchange Act”), or otherwise subject to the liabilities of that section. This information shall not be deemed to be incorporated by reference in any filing under the Securities Act of 1933, as amended, or the Exchange Act, except as shall be expressly set forth by specific reference to such disclosure in this Form 8-K in such a filing.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240" w:type="dxa"/>
            <w:vAlign w:val="bottom"/>
            <w:gridSpan w:val="3"/>
          </w:tcPr>
          <w:p>
            <w:pPr>
              <w:ind w:left="940"/>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9060" w:type="dxa"/>
            <w:vAlign w:val="bottom"/>
          </w:tcPr>
          <w:p>
            <w:pPr>
              <w:ind w:left="4200"/>
              <w:spacing w:after="0"/>
              <w:rPr>
                <w:sz w:val="20"/>
                <w:szCs w:val="20"/>
                <w:color w:val="auto"/>
              </w:rPr>
            </w:pPr>
            <w:r>
              <w:rPr>
                <w:rFonts w:ascii="Times New Roman" w:cs="Times New Roman" w:eastAsia="Times New Roman" w:hAnsi="Times New Roman"/>
                <w:sz w:val="12"/>
                <w:szCs w:val="12"/>
                <w:b w:val="1"/>
                <w:bCs w:val="1"/>
                <w:color w:val="auto"/>
              </w:rPr>
              <w:t>Description of Exhibit</w:t>
            </w:r>
          </w:p>
        </w:tc>
      </w:tr>
      <w:tr>
        <w:trPr>
          <w:trHeight w:val="128"/>
        </w:trPr>
        <w:tc>
          <w:tcPr>
            <w:tcW w:w="1240" w:type="dxa"/>
            <w:vAlign w:val="bottom"/>
          </w:tcPr>
          <w:p>
            <w:pPr>
              <w:spacing w:after="0"/>
              <w:rPr>
                <w:sz w:val="11"/>
                <w:szCs w:val="11"/>
                <w:color w:val="auto"/>
              </w:rPr>
            </w:pPr>
          </w:p>
        </w:tc>
        <w:tc>
          <w:tcPr>
            <w:tcW w:w="220" w:type="dxa"/>
            <w:vAlign w:val="bottom"/>
            <w:tcBorders>
              <w:bottom w:val="single" w:sz="8" w:color="0000EE"/>
            </w:tcBorders>
          </w:tcPr>
          <w:p>
            <w:pPr>
              <w:jc w:val="center"/>
              <w:spacing w:after="0" w:line="128" w:lineRule="exact"/>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1</w:t>
            </w:r>
          </w:p>
        </w:tc>
        <w:tc>
          <w:tcPr>
            <w:tcW w:w="780" w:type="dxa"/>
            <w:vAlign w:val="bottom"/>
          </w:tcPr>
          <w:p>
            <w:pPr>
              <w:spacing w:after="0"/>
              <w:rPr>
                <w:sz w:val="11"/>
                <w:szCs w:val="11"/>
                <w:color w:val="auto"/>
              </w:rPr>
            </w:pPr>
          </w:p>
        </w:tc>
        <w:tc>
          <w:tcPr>
            <w:tcW w:w="9060" w:type="dxa"/>
            <w:vAlign w:val="bottom"/>
          </w:tcPr>
          <w:p>
            <w:pPr>
              <w:ind w:left="480"/>
              <w:spacing w:after="0" w:line="128" w:lineRule="exact"/>
              <w:rPr>
                <w:sz w:val="20"/>
                <w:szCs w:val="20"/>
                <w:color w:val="auto"/>
              </w:rPr>
            </w:pPr>
            <w:r>
              <w:rPr>
                <w:rFonts w:ascii="Times New Roman" w:cs="Times New Roman" w:eastAsia="Times New Roman" w:hAnsi="Times New Roman"/>
                <w:sz w:val="12"/>
                <w:szCs w:val="12"/>
                <w:color w:val="auto"/>
              </w:rPr>
              <w:t>Innventure, Inc. presentation to investors</w:t>
            </w:r>
          </w:p>
        </w:tc>
      </w:tr>
      <w:tr>
        <w:trPr>
          <w:trHeight w:val="151"/>
        </w:trPr>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780" w:type="dxa"/>
            <w:vAlign w:val="bottom"/>
          </w:tcPr>
          <w:p>
            <w:pPr>
              <w:spacing w:after="0"/>
              <w:rPr>
                <w:sz w:val="13"/>
                <w:szCs w:val="13"/>
                <w:color w:val="auto"/>
              </w:rPr>
            </w:pPr>
          </w:p>
        </w:tc>
        <w:tc>
          <w:tcPr>
            <w:tcW w:w="90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261"/>
        </w:trPr>
        <w:tc>
          <w:tcPr>
            <w:tcW w:w="1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9060" w:type="dxa"/>
            <w:vAlign w:val="bottom"/>
            <w:tcBorders>
              <w:bottom w:val="single" w:sz="8" w:color="auto"/>
            </w:tcBorders>
          </w:tcPr>
          <w:p>
            <w:pPr>
              <w:spacing w:after="0"/>
              <w:rPr>
                <w:sz w:val="22"/>
                <w:szCs w:val="22"/>
                <w:color w:val="auto"/>
              </w:rPr>
            </w:pPr>
          </w:p>
        </w:tc>
      </w:tr>
    </w:tbl>
    <w:p>
      <w:pPr>
        <w:sectPr>
          <w:pgSz w:w="11900" w:h="16838" w:orient="portrait"/>
          <w:cols w:equalWidth="0" w:num="1">
            <w:col w:w="11300"/>
          </w:cols>
          <w:pgMar w:left="300" w:top="125" w:right="299" w:bottom="1440" w:gutter="0" w:footer="0" w:header="0"/>
        </w:sectPr>
      </w:pPr>
    </w:p>
    <w:bookmarkStart w:id="3" w:name="page4"/>
    <w:bookmarkEnd w:id="3"/>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INNVENTURE, INC.</w:t>
      </w:r>
    </w:p>
    <w:p>
      <w:pPr>
        <w:spacing w:after="0" w:line="154" w:lineRule="exact"/>
        <w:rPr>
          <w:sz w:val="20"/>
          <w:szCs w:val="20"/>
          <w:color w:val="auto"/>
        </w:rPr>
      </w:pPr>
    </w:p>
    <w:p>
      <w:pPr>
        <w:spacing w:after="0"/>
        <w:tabs>
          <w:tab w:leader="none" w:pos="5640" w:val="left"/>
          <w:tab w:leader="none" w:pos="5960" w:val="left"/>
        </w:tabs>
        <w:rPr>
          <w:sz w:val="20"/>
          <w:szCs w:val="20"/>
          <w:color w:val="auto"/>
        </w:rPr>
      </w:pPr>
      <w:r>
        <w:rPr>
          <w:rFonts w:ascii="Times New Roman" w:cs="Times New Roman" w:eastAsia="Times New Roman" w:hAnsi="Times New Roman"/>
          <w:sz w:val="12"/>
          <w:szCs w:val="12"/>
          <w:color w:val="auto"/>
        </w:rPr>
        <w:t>Date: March 7, 2025</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David Yablunosky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16510</wp:posOffset>
            </wp:positionV>
            <wp:extent cx="337185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71850" cy="11430"/>
                    </a:xfrm>
                    <a:prstGeom prst="rect">
                      <a:avLst/>
                    </a:prstGeom>
                    <a:noFill/>
                  </pic:spPr>
                </pic:pic>
              </a:graphicData>
            </a:graphic>
          </wp:anchor>
        </w:drawing>
      </w:r>
    </w:p>
    <w:p>
      <w:pPr>
        <w:spacing w:after="0" w:line="1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Name: David Yablunosky</w:t>
      </w:r>
    </w:p>
    <w:p>
      <w:pPr>
        <w:spacing w:after="0" w:line="1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352425</wp:posOffset>
            </wp:positionV>
            <wp:extent cx="717804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4" w:name="page5"/>
    <w:bookmarkEnd w:id="4"/>
    <w:p>
      <w:pPr>
        <w:ind w:left="9540"/>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185420</wp:posOffset>
            </wp:positionH>
            <wp:positionV relativeFrom="page">
              <wp:posOffset>128905</wp:posOffset>
            </wp:positionV>
            <wp:extent cx="7178040" cy="22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111760</wp:posOffset>
            </wp:positionV>
            <wp:extent cx="7218680" cy="4303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4303395"/>
                    </a:xfrm>
                    <a:prstGeom prst="rect">
                      <a:avLst/>
                    </a:prstGeom>
                    <a:noFill/>
                  </pic:spPr>
                </pic:pic>
              </a:graphicData>
            </a:graphic>
          </wp:anchor>
        </w:drawing>
      </w:r>
    </w:p>
    <w:p>
      <w:pPr>
        <w:sectPr>
          <w:pgSz w:w="11900" w:h="16838" w:orient="portrait"/>
          <w:cols w:equalWidth="0" w:num="1">
            <w:col w:w="10160"/>
          </w:cols>
          <w:pgMar w:left="1440" w:top="278" w:right="29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3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3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3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3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19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633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8680" cy="42633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2025-03-10T05:28:45Z</dcterms:created>
  <dcterms:modified xsi:type="dcterms:W3CDTF">2025-03-10T05:28:45Z</dcterms:modified>
</cp:coreProperties>
</file>