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our Current Report on Form 8-K which was filed with the Securities and Exchange Commission (the “SEC”) on September 16,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September 15, 2025, the closing price of our Common Stock was $6.74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16,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15,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1.01 </w:t>
      </w:r>
      <w:r>
        <w:rPr>
          <w:rFonts w:ascii="Times New Roman" w:cs="Times New Roman" w:eastAsia="Times New Roman" w:hAnsi="Times New Roman"/>
          <w:sz w:val="21"/>
          <w:szCs w:val="21"/>
          <w:b w:val="1"/>
          <w:bCs w:val="1"/>
          <w:color w:val="auto"/>
        </w:rPr>
        <w:t>Entry into a Material Definitive Agreement.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Convertible Debentures</w:t>
      </w:r>
    </w:p>
    <w:p>
      <w:pPr>
        <w:spacing w:after="0" w:line="24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On September 15, 2025 (the “Agreement Date”), Innventure, Inc., a Delaware corporation (the “Company”), entered into a securities purchase agreement (the “Purchase Agreement”) with YA II PN, Ltd. (“Yorkville”), in connection with the issuance and sale by the Company of convertible debentures issuable in an aggregate principal amount of up to $15,000,000 (the “Convertible Debentures”), which Convertible Debentures will be convertible into shares of the Company’s common stock, par value $0.0001 per share (the “Common Stock”) (as converted, the “Conversion Shares”). Pursuant to the Purchase Agreement, Yorkville purchased, and the Company issued, $10,000,000 in aggregate principal amount of Convertible Debentures (the “Third Convertible Debenture”) on the Agreement Date, upon satisfaction of certain closing conditions in the Purchase Agreement (the “First Closing”). The Third Convertible Debenture resulted in gross proceeds to the Company of approximately $7,000,000, representing an original issue discount of 10% and including the $2,000,000 September Payment (as defined below). Yorkville will purchase and the Company will issue an additional $5,000,000 in aggregate principal amount of Convertible Debentures on the first business day after the date the registration statement filed with the Securities and Exchange Commission (the “SEC”) registering the resale of the Conversion Shares is declared effective by the SEC (the “Second Closing”), and will also be issued at an original issue discount of 10%.</w:t>
      </w:r>
    </w:p>
    <w:p>
      <w:pPr>
        <w:spacing w:after="0" w:line="218"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Convertible Debentures bear interest at an annual rate of 5.0%, unless an event of default occurs and remains uncured, upon which the Convertible Debentures will bear interest at an annual rate of 18.0%. The Convertible Debentures will mature on September 15, 2026, the date that is 12 months from the date of the First Closing (the “Maturity Date”) and, upon completion of the Second Closing, will result in gross proceeds to the Company of approximately $11,500,000 (including the original issue discount of 10% and the $2,000,000 September Payment).</w:t>
      </w: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Convertible Debentures are convertible at the option of the holder into Common Stock equal to the applicable Conversion Amount (as defined below) divided by the Conversion Price (as defined below). The conversion price for the Convertible Debentures will be the lower of (i) $7.00 per share of Common Stock (the “Fixed Price”), or (ii) 95% of the lowest daily VWAP (as defined below) of the Common Stock during the five consecutive trading days immediately preceding conversion date or other date of determination (the “Variable Price” and the applicable purchase price, the “Conversion Price”), but which Variable Price shall not be lower than the Floor Price (as defined below) then in effect. The Floor Price is $1.16, the price equal to 20% of the Minimum Price of the Common Stock (as calculated pursuant to the rules of the Nasdaq Stock Market). Any portion of the Convertible Debentures may be converted at any time and from time to time, subject to the Exchange Cap (as defined below). The Conversion Amount with respect to any requested conversion will equal the principal amount requested to be converted plus all accrued and unpaid interest on the Convertible Debentures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218"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the Nasdaq Stock Market (the “Exchange Cap”). The Exchange Cap will not apply if the Company obtains the approval of its stockholders as required by the applicable rules of the Nasdaq Stock Market for issuances of Common Stock in excess of such amount.</w:t>
      </w:r>
    </w:p>
    <w:p>
      <w:pPr>
        <w:spacing w:after="0" w:line="21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Company will not be required to make monthly cash payments pursuant to the Convertible Debentures unless an Amortization Event (as defined below) has occurred and then the Company will make monthly cash payments each month until the earlier of (i) the entire outstanding amount under the Convertible Debentures have been repaid or (ii) the Amortization Event ceases, as provided in the Convertible Debentures. An “Amortization Event” means (i) the daily volume-weighted average price (“VWAP”) of the Company’s Common Stock is lower than the Floor Price for any five of seven consecutive trading days, (ii) the Company has issued in excess of 99% of the Common Stock available under the Exchange Cap or (iii) Yorkville is unable to use the Registration Statement (as defined below) for a period of 20 consecutive trading days. The monthly cash payments will be in an amount equal to 10% of the original principal amount (or the outstanding principal amount of the Convertible Debentures if lower than such amount), plus a payment premium of 5% and all accrued and unpaid interest as of the date of such payment. Such Amortization Event payments will commence 15 days following the Amortization Event.</w:t>
      </w:r>
    </w:p>
    <w:p>
      <w:pPr>
        <w:spacing w:after="0" w:line="212"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If the VWAP of the Common Stock is less than the Fixed Price, then the Convertible Debentures provide the Company, subject to certain conditions, with an optional redemption right pursuant to which the Company, upon 10 trading</w:t>
      </w:r>
    </w:p>
    <w:p>
      <w:pPr>
        <w:sectPr>
          <w:pgSz w:w="11900" w:h="16838" w:orient="portrait"/>
          <w:cols w:equalWidth="0" w:num="1">
            <w:col w:w="11240"/>
          </w:cols>
          <w:pgMar w:left="320" w:top="1080" w:right="339" w:bottom="1440" w:gutter="0" w:footer="0" w:header="0"/>
        </w:sectPr>
      </w:pPr>
    </w:p>
    <w:bookmarkStart w:id="3" w:name="page4"/>
    <w:bookmarkEnd w:id="3"/>
    <w:p>
      <w:pPr>
        <w:ind w:right="120"/>
        <w:spacing w:after="0" w:line="250" w:lineRule="auto"/>
        <w:rPr>
          <w:sz w:val="20"/>
          <w:szCs w:val="20"/>
          <w:color w:val="auto"/>
        </w:rPr>
      </w:pPr>
      <w:r>
        <w:rPr>
          <w:rFonts w:ascii="Times New Roman" w:cs="Times New Roman" w:eastAsia="Times New Roman" w:hAnsi="Times New Roman"/>
          <w:sz w:val="18"/>
          <w:szCs w:val="18"/>
          <w:color w:val="auto"/>
        </w:rPr>
        <w:t>days’ prior written notice to Yorkville, may redeem in cash, in whole or in part, all amounts outstanding under the Convertible Debentures prior to the Maturity Date. The redemption amount shall be equal to the outstanding principal balance being redeemed by the Company, plus the redemption premium of 10% of the principal amount being redeemed, plus all accrued and unpaid interest as of the date of such redemption.</w:t>
      </w:r>
    </w:p>
    <w:p>
      <w:pPr>
        <w:spacing w:after="0" w:line="2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Pursuant to the terms of the Purchase Agreement, prior to the Company loaning, investing, transferring or downstreaming any cash proceeds, or assets or property acquired with cash proceeds from the issuance and sale of the Convertible Debentures to Innventure LLC (“Innventure LLC”), a wholly-owned subsidiary of the Company, Innventure LLC was obligated to enter into a global guaranty agreement (the “Guaranty”) in favor of Yorkville with respect to the Company’s obligations under the Purchase Agreement and the Convertible Debentures. Innventure LLC entered into the Guaranty on the date of the First Closing.</w:t>
      </w:r>
    </w:p>
    <w:p>
      <w:pPr>
        <w:spacing w:after="0" w:line="19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foregoing descriptions of the Purchase Agreement, the Guaranty, and the Third Convertible Debenture do not purport to be complete and are qualified in their entirety by reference to the full text of such documents, which are filed herewith as Exhibits 10.1, 10.2 and 4.1, respectively, and are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4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the Purchase Agreement, on the date of the First Closing, the Company entered into a registration rights agreement (the “Registration Rights Agreement”) with Yorkville pursuant to which Yorkville is entitled to certain registration rights under the Securities Act of 1933, as amended (the “Securities Act”). Pursuant to the Registration Rights Agreement, the Company is required to, on the 45th calendar day following the date of the First Closing, file with the SEC (at its sole cost and expense) a registration statement (the “Registration Statement”) registering the resale by Yorkville of at least 12 million Conversion Shares. Under the Registration Rights Agreement, Yorkville was also granted demand registration rights and piggyback registration rights under certain conditions as described in the Registration Rights Agreement.</w:t>
      </w:r>
    </w:p>
    <w:p>
      <w:pPr>
        <w:spacing w:after="0" w:line="21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Company agreed to use its best reasonable efforts to ensure that the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 The Company also agreed that, with respect to any additional registration statements filed pursuant to the Registration Rights Agreement, it will use its reasonable best efforts to ensure that such registration statement is declared effective by the earlier of the date that is 75 calendar days following the date on which the Company was required to file such registration statement and the fifth business day after the date the Company is notified by the SEC that such registration statement will not be reviewed or will not be subject to further review.</w:t>
      </w:r>
    </w:p>
    <w:p>
      <w:pPr>
        <w:spacing w:after="0" w:line="21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such document, which is filed herewith as Exhibit 10.3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Existing Convertible Debentures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previously disclosed, on March 25, 2025, the Company entered into a securities purchase agreement (the “Previous Purchase Agreement”) with Yorkville, for the issuance and sale by the Company of convertible debentures (the “Existing Convertible Debentures”) issuable in an aggregate principal amount of up to $30,000,000, which Existing Convertible Debentures are convertible into shares of the Company’s Common Stock. On April 14, 2025, the Company issued an Existing Convertible Debenture to Yorkville with an original principal amount of $20,000,000 (the “First Convertible Debenture”). On May 15, 2025, the Company issued an Existing Convertible Debenture to Yorkville with an original principal amount of $10,000,000 (the “Second Convertible Debenture” and, together with the First Convertible Debenture, the “Existing Debentures”). On June 4, 2025, Yorkville and the Company entered into an amendment to the Existing Debentures (the “Previous Amendment”), pursuant to which the parties agreed to amend the definition of “Conversion Price.”</w:t>
      </w:r>
    </w:p>
    <w:p>
      <w:pPr>
        <w:spacing w:after="0" w:line="21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On the Agreement Date, Yorkville and the Company entered into an additional amendment to the Existing Debentures (the “Second Amendment”), pursuant to which the parties agreed to (i) remove the monthly cash payments set forth in the Existing Debentures in Section 1(c) and Exhibit I, following the repayment of the approximately $2,000,000 due on September 14, 2025 pursuant to the Existing Debentures (the “September Payment”), which September Payment will not include any premium and will be deducted from the gross proceeds received by the Company from the issuance of the Third Convertible Debenture on the First Closing; (ii) introduce cash payments only in connection with an amortization event, along the lines set forth above with respect to the newly issued Convertible Debentures; (iii) amend the definition of “Conversion Price” as set forth in Section 12(n) of the Existing Debentures to track the definition of Conversion Price set forth above with respect to the newly issued Convertible Debentures, with a Floor Price of $1.59, the price equal to 20% of</w:t>
      </w:r>
    </w:p>
    <w:p>
      <w:pPr>
        <w:sectPr>
          <w:pgSz w:w="11900" w:h="16838" w:orient="portrait"/>
          <w:cols w:equalWidth="0" w:num="1">
            <w:col w:w="11240"/>
          </w:cols>
          <w:pgMar w:left="320" w:top="1080" w:right="339" w:bottom="1440" w:gutter="0" w:footer="0" w:header="0"/>
        </w:sectPr>
      </w:pPr>
    </w:p>
    <w:bookmarkStart w:id="4" w:name="page5"/>
    <w:bookmarkEnd w:id="4"/>
    <w:p>
      <w:pPr>
        <w:ind w:right="40"/>
        <w:spacing w:after="0" w:line="239" w:lineRule="auto"/>
        <w:rPr>
          <w:sz w:val="20"/>
          <w:szCs w:val="20"/>
          <w:color w:val="auto"/>
        </w:rPr>
      </w:pPr>
      <w:r>
        <w:rPr>
          <w:rFonts w:ascii="Times New Roman" w:cs="Times New Roman" w:eastAsia="Times New Roman" w:hAnsi="Times New Roman"/>
          <w:sz w:val="18"/>
          <w:szCs w:val="18"/>
          <w:color w:val="auto"/>
        </w:rPr>
        <w:t>the Minimum Price of the Common Stock as of March 25, 2025, the date of the Previous Purchase Agreement (as calculated pursuant to the rules of the Nasdaq Stock Market); and (iv) institute a cap on the number of shares of Common Stock issuable upon conversion of the Existing Debentures if the issuance of such Common Stock would exceed the aggregate number of Common Stock that the Company may issue in compliance with the Company’s obligations under the rules or regulations of the Nasdaq Stock Market. The cap will not apply if the Company obtains the approval of its stockholders as required by the applicable rules of the Nasdaq Stock Market for issuances of Common Stock in excess of such amount, or if the Company obtains a written opinion from outside counsel to the Company that such stockholder approval is not required. The Company also agreed to take all steps necessary to allow Yorkville to continue to utilize a registration statement that the Company previously filed, and is currently effective, to register the resale of the shares issued upon conversion of the Existing Debentures.</w:t>
      </w:r>
    </w:p>
    <w:p>
      <w:pPr>
        <w:spacing w:after="0" w:line="20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Amendment does not purport to be complete and is qualified in its entirety by the terms of the Second Amendment, which is attached hereto as Exhibit 10.4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Convertible Debentures and the Conversion Shares will be exempt from registration pursuant to Section 4(a)(2) of the Securities Act. Yorkville represented to the Company that it is an “accredited investor” as defined in Rule 501 of the Securities Act and that each of the Convertible Debentures and the Conversion Shares will be acquired for investment purposes and not with a view to, or for sale in connection with, any distribution thereof.</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40" w:type="dxa"/>
            <w:vAlign w:val="bottom"/>
          </w:tcPr>
          <w:p>
            <w:pPr>
              <w:spacing w:after="0"/>
              <w:rPr>
                <w:sz w:val="20"/>
                <w:szCs w:val="20"/>
                <w:color w:val="auto"/>
              </w:rPr>
            </w:pPr>
          </w:p>
        </w:tc>
      </w:tr>
      <w:tr>
        <w:trPr>
          <w:trHeight w:val="499"/>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4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r>
              <w:rPr>
                <w:rFonts w:ascii="Cambria" w:cs="Cambria" w:eastAsia="Cambria" w:hAnsi="Cambria"/>
                <w:sz w:val="14"/>
                <w:szCs w:val="14"/>
                <w:b w:val="1"/>
                <w:bCs w:val="1"/>
                <w:color w:val="auto"/>
              </w:rPr>
              <w:t>^</w:t>
            </w:r>
          </w:p>
        </w:tc>
        <w:tc>
          <w:tcPr>
            <w:tcW w:w="9140" w:type="dxa"/>
            <w:vAlign w:val="bottom"/>
          </w:tcPr>
          <w:p>
            <w:pPr>
              <w:ind w:left="80"/>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Third Convertible Debenture, issued to YA II PN, Ltd., dated September 15, 2025.</w:t>
              </w:r>
            </w:hyperlink>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r>
              <w:rPr>
                <w:rFonts w:ascii="Cambria" w:cs="Cambria" w:eastAsia="Cambria" w:hAnsi="Cambria"/>
                <w:sz w:val="14"/>
                <w:szCs w:val="14"/>
                <w:b w:val="1"/>
                <w:bCs w:val="1"/>
                <w:color w:val="auto"/>
              </w:rPr>
              <w:t>^</w:t>
            </w:r>
          </w:p>
        </w:tc>
        <w:tc>
          <w:tcPr>
            <w:tcW w:w="9140" w:type="dxa"/>
            <w:vAlign w:val="bottom"/>
          </w:tcPr>
          <w:p>
            <w:pPr>
              <w:ind w:left="8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Securities Purchase Agreement, by and between Innventure, Inc. and YA II PN, Ltd., dated September 15, 2025.</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140" w:type="dxa"/>
            <w:vAlign w:val="bottom"/>
          </w:tcPr>
          <w:p>
            <w:pPr>
              <w:ind w:left="80"/>
              <w:spacing w:after="0"/>
              <w:rPr>
                <w:rFonts w:ascii="Times New Roman" w:cs="Times New Roman" w:eastAsia="Times New Roman" w:hAnsi="Times New Roman"/>
                <w:sz w:val="18"/>
                <w:szCs w:val="18"/>
                <w:color w:val="auto"/>
              </w:rPr>
            </w:pPr>
            <w:hyperlink r:id="rId10">
              <w:r>
                <w:rPr>
                  <w:rFonts w:ascii="Times New Roman" w:cs="Times New Roman" w:eastAsia="Times New Roman" w:hAnsi="Times New Roman"/>
                  <w:sz w:val="18"/>
                  <w:szCs w:val="18"/>
                  <w:color w:val="auto"/>
                </w:rPr>
                <w:t>Global Guaranty Agreement by Innventure LLC, dated September 15, 2025.</w:t>
              </w:r>
            </w:hyperlink>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140" w:type="dxa"/>
            <w:vAlign w:val="bottom"/>
          </w:tcPr>
          <w:p>
            <w:pPr>
              <w:ind w:left="80"/>
              <w:spacing w:after="0"/>
              <w:rPr>
                <w:rFonts w:ascii="Times New Roman" w:cs="Times New Roman" w:eastAsia="Times New Roman" w:hAnsi="Times New Roman"/>
                <w:sz w:val="18"/>
                <w:szCs w:val="18"/>
                <w:color w:val="auto"/>
              </w:rPr>
            </w:pPr>
            <w:hyperlink r:id="rId11">
              <w:r>
                <w:rPr>
                  <w:rFonts w:ascii="Times New Roman" w:cs="Times New Roman" w:eastAsia="Times New Roman" w:hAnsi="Times New Roman"/>
                  <w:sz w:val="18"/>
                  <w:szCs w:val="18"/>
                  <w:color w:val="auto"/>
                </w:rPr>
                <w:t>Registration Rights Agreement, dated September 15, 2025, between Innventure, Inc. and YA II PN, Ltd.</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tcPr>
          <w:p>
            <w:pPr>
              <w:ind w:left="80"/>
              <w:spacing w:after="0"/>
              <w:rPr>
                <w:rFonts w:ascii="Times New Roman" w:cs="Times New Roman" w:eastAsia="Times New Roman" w:hAnsi="Times New Roman"/>
                <w:sz w:val="18"/>
                <w:szCs w:val="18"/>
                <w:color w:val="auto"/>
                <w:w w:val="99"/>
              </w:rPr>
            </w:pPr>
            <w:hyperlink r:id="rId12">
              <w:r>
                <w:rPr>
                  <w:rFonts w:ascii="Times New Roman" w:cs="Times New Roman" w:eastAsia="Times New Roman" w:hAnsi="Times New Roman"/>
                  <w:sz w:val="18"/>
                  <w:szCs w:val="18"/>
                  <w:color w:val="auto"/>
                  <w:w w:val="99"/>
                </w:rPr>
                <w:t>Amendment to Convertible Debentures, by and between Innventure, Inc. and YA II PN, Ltd., dated as of September 15, 2025.</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w:t>
      </w:r>
    </w:p>
    <w:p>
      <w:pPr>
        <w:spacing w:after="0" w:line="2" w:lineRule="exact"/>
        <w:rPr>
          <w:sz w:val="20"/>
          <w:szCs w:val="20"/>
          <w:color w:val="auto"/>
        </w:rPr>
      </w:pPr>
    </w:p>
    <w:p>
      <w:pPr>
        <w:ind w:left="220" w:hanging="212"/>
        <w:spacing w:after="0"/>
        <w:tabs>
          <w:tab w:leader="none" w:pos="220" w:val="left"/>
        </w:tabs>
        <w:numPr>
          <w:ilvl w:val="0"/>
          <w:numId w:val="2"/>
        </w:numPr>
        <w:rPr>
          <w:rFonts w:ascii="Cambria" w:cs="Cambria" w:eastAsia="Cambria" w:hAnsi="Cambria"/>
          <w:sz w:val="14"/>
          <w:szCs w:val="14"/>
          <w:b w:val="1"/>
          <w:bCs w:val="1"/>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w:t>
      </w:r>
    </w:p>
    <w:p>
      <w:pPr>
        <w:sectPr>
          <w:pgSz w:w="11900" w:h="16838" w:orient="portrait"/>
          <w:cols w:equalWidth="0" w:num="1">
            <w:col w:w="11220"/>
          </w:cols>
          <w:pgMar w:left="320" w:top="1080" w:right="359" w:bottom="1440" w:gutter="0" w:footer="0" w:header="0"/>
        </w:sectPr>
      </w:pPr>
    </w:p>
    <w:bookmarkStart w:id="5" w:name="page6"/>
    <w:bookmarkEnd w:id="5"/>
    <w:p>
      <w:pPr>
        <w:spacing w:after="0" w:line="242" w:lineRule="auto"/>
        <w:rPr>
          <w:sz w:val="20"/>
          <w:szCs w:val="20"/>
          <w:color w:val="auto"/>
        </w:rPr>
      </w:pPr>
      <w:r>
        <w:rPr>
          <w:rFonts w:ascii="Times New Roman" w:cs="Times New Roman" w:eastAsia="Times New Roman" w:hAnsi="Times New Roman"/>
          <w:sz w:val="18"/>
          <w:szCs w:val="18"/>
          <w:color w:val="auto"/>
        </w:rPr>
        <w:t>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ectPr>
          <w:pgSz w:w="11900" w:h="16838" w:orient="portrait"/>
          <w:cols w:equalWidth="0" w:num="1">
            <w:col w:w="11080"/>
          </w:cols>
          <w:pgMar w:left="320" w:top="1080"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28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4"/>
                <w:szCs w:val="24"/>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200155725000007/exhibit41-thirdconvertible.htm" TargetMode="External"/><Relationship Id="rId9" Type="http://schemas.openxmlformats.org/officeDocument/2006/relationships/hyperlink" Target="https://www.sec.gov/Archives/edgar/data/2001557/000200155725000007/exhibit101-securitiespurch.htm" TargetMode="External"/><Relationship Id="rId10" Type="http://schemas.openxmlformats.org/officeDocument/2006/relationships/hyperlink" Target="https://www.sec.gov/Archives/edgar/data/2001557/000200155725000007/exhibit102-globalguarantya.htm" TargetMode="External"/><Relationship Id="rId11" Type="http://schemas.openxmlformats.org/officeDocument/2006/relationships/hyperlink" Target="https://www.sec.gov/Archives/edgar/data/2001557/000200155725000007/exhibit103-registrationrig.htm" TargetMode="External"/><Relationship Id="rId12" Type="http://schemas.openxmlformats.org/officeDocument/2006/relationships/hyperlink" Target="https://www.sec.gov/Archives/edgar/data/2001557/000200155725000007/exhibit104-amendmenttocon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2025-09-16T12:53:20Z</dcterms:created>
  <dcterms:modified xsi:type="dcterms:W3CDTF">2025-09-16T12:53:20Z</dcterms:modified>
</cp:coreProperties>
</file>