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23">
                <wp:simplePos x="0" y="0"/>
                <wp:positionH relativeFrom="page">
                  <wp:posOffset>1657350</wp:posOffset>
                </wp:positionH>
                <wp:positionV relativeFrom="page">
                  <wp:posOffset>0</wp:posOffset>
                </wp:positionV>
                <wp:extent cx="5372100" cy="2131060"/>
                <wp:effectExtent l="0" t="0" r="0" b="0"/>
                <wp:wrapNone/>
                <wp:docPr id="1" name="Frame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67.8pt;mso-wrap-distance-left:0pt;mso-wrap-distance-right:0pt;mso-wrap-distance-top:0pt;mso-wrap-distance-bottom:0pt;margin-top:0pt;mso-position-vertical-relative:page;margin-left:130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6">
                <wp:simplePos x="0" y="0"/>
                <wp:positionH relativeFrom="page">
                  <wp:posOffset>5126990</wp:posOffset>
                </wp:positionH>
                <wp:positionV relativeFrom="page">
                  <wp:posOffset>-31115</wp:posOffset>
                </wp:positionV>
                <wp:extent cx="64135" cy="190500"/>
                <wp:effectExtent l="0" t="0" r="0" b="0"/>
                <wp:wrapNone/>
                <wp:docPr id="2" name="Frame2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5" cy="190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3"/>
                                <w:u w:val="none"/>
                                <w:effect w:val="none"/>
                              </w:rPr>
                              <w:t>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05pt;height:15pt;mso-wrap-distance-left:0pt;mso-wrap-distance-right:0pt;mso-wrap-distance-top:0pt;mso-wrap-distance-bottom:0pt;margin-top:-2.45pt;mso-position-vertical-relative:page;margin-left:403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3"/>
                          <w:u w:val="none"/>
                          <w:effect w:val="none"/>
                        </w:rPr>
                        <w:t>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6">
                <wp:simplePos x="0" y="0"/>
                <wp:positionH relativeFrom="page">
                  <wp:posOffset>1200150</wp:posOffset>
                </wp:positionH>
                <wp:positionV relativeFrom="page">
                  <wp:posOffset>0</wp:posOffset>
                </wp:positionV>
                <wp:extent cx="5372100" cy="2375535"/>
                <wp:effectExtent l="0" t="0" r="0" b="0"/>
                <wp:wrapNone/>
                <wp:docPr id="3" name="Frame2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3755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87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187.05pt;mso-wrap-distance-left:0pt;mso-wrap-distance-right:0pt;mso-wrap-distance-top:0pt;mso-wrap-distance-bottom:0pt;margin-top:0pt;mso-position-vertical-relative:page;margin-left:94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87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7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403985"/>
                <wp:effectExtent l="0" t="0" r="0" b="0"/>
                <wp:wrapNone/>
                <wp:docPr id="4" name="Frame2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039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4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4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4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0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4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4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4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143760"/>
                <wp:effectExtent l="0" t="0" r="0" b="0"/>
                <wp:wrapNone/>
                <wp:docPr id="5" name="Frame2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1437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91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68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91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4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877185"/>
                <wp:effectExtent l="0" t="0" r="0" b="0"/>
                <wp:wrapNone/>
                <wp:docPr id="6" name="Frame2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771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26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5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877185"/>
                <wp:effectExtent l="0" t="0" r="0" b="0"/>
                <wp:wrapNone/>
                <wp:docPr id="7" name="Frame2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8771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26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4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8" name="Frame2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3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9" name="Frame2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50085"/>
                <wp:effectExtent l="0" t="0" r="0" b="0"/>
                <wp:wrapNone/>
                <wp:docPr id="10" name="Frame2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500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doub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3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doub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11985"/>
                <wp:effectExtent l="0" t="0" r="0" b="0"/>
                <wp:wrapNone/>
                <wp:docPr id="11" name="Frame1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119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72" w:type="dxa"/>
                                  <w:gridSpan w:val="3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0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72" w:type="dxa"/>
                            <w:gridSpan w:val="3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131060"/>
                <wp:effectExtent l="0" t="0" r="0" b="0"/>
                <wp:wrapNone/>
                <wp:docPr id="12" name="Frame1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67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2131060"/>
                <wp:effectExtent l="0" t="0" r="0" b="0"/>
                <wp:wrapNone/>
                <wp:docPr id="13" name="Frame1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67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67450" cy="2131060"/>
                <wp:effectExtent l="0" t="0" r="0" b="0"/>
                <wp:wrapNone/>
                <wp:docPr id="14" name="Frame1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450" cy="2131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3.5pt;height:167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899285"/>
                <wp:effectExtent l="0" t="0" r="0" b="0"/>
                <wp:wrapNone/>
                <wp:docPr id="15" name="Frame1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8992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02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2" w:type="dxa"/>
                                  <w:gridSpan w:val="18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shd w:fill="FFFFFF" w:val="clear"/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FFFF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49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02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2" w:type="dxa"/>
                            <w:gridSpan w:val="18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shd w:fill="FFFFFF" w:val="clear"/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FFFF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7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410335"/>
                <wp:effectExtent l="0" t="0" r="0" b="0"/>
                <wp:wrapNone/>
                <wp:docPr id="16" name="Frame3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1.0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">
                <wp:simplePos x="0" y="0"/>
                <wp:positionH relativeFrom="page">
                  <wp:posOffset>1657350</wp:posOffset>
                </wp:positionH>
                <wp:positionV relativeFrom="page">
                  <wp:posOffset>0</wp:posOffset>
                </wp:positionV>
                <wp:extent cx="5372100" cy="2620010"/>
                <wp:effectExtent l="0" t="0" r="0" b="0"/>
                <wp:wrapNone/>
                <wp:docPr id="17" name="Frame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26200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3pt;height:206.3pt;mso-wrap-distance-left:0pt;mso-wrap-distance-right:0pt;mso-wrap-distance-top:0pt;mso-wrap-distance-bottom:0pt;margin-top:0pt;mso-position-vertical-relative:page;margin-left:130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8731885"/>
                <wp:effectExtent l="0" t="0" r="0" b="0"/>
                <wp:wrapNone/>
                <wp:docPr id="18" name="Frame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7318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87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0692130"/>
                <wp:effectExtent l="0" t="0" r="0" b="0"/>
                <wp:wrapNone/>
                <wp:docPr id="19" name="Frame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06921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841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4171950</wp:posOffset>
                </wp:positionH>
                <wp:positionV relativeFrom="page">
                  <wp:posOffset>2714625</wp:posOffset>
                </wp:positionV>
                <wp:extent cx="1171575" cy="381635"/>
                <wp:effectExtent l="0" t="0" r="0" b="0"/>
                <wp:wrapNone/>
                <wp:docPr id="20" name="Frame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3816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171575" cy="381635"/>
                                  <wp:effectExtent l="0" t="0" r="0" b="0"/>
                                  <wp:docPr id="21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1575" cy="381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2.25pt;height:30.05pt;mso-wrap-distance-left:0pt;mso-wrap-distance-right:0pt;mso-wrap-distance-top:0pt;mso-wrap-distance-bottom:0pt;margin-top:213.75pt;mso-position-vertical-relative:page;margin-left:32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171575" cy="381635"/>
                            <wp:effectExtent l="0" t="0" r="0" b="0"/>
                            <wp:docPr id="22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381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153160"/>
                <wp:effectExtent l="0" t="0" r="0" b="0"/>
                <wp:wrapNone/>
                <wp:docPr id="23" name="Frame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53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0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908685"/>
                <wp:effectExtent l="0" t="0" r="0" b="0"/>
                <wp:wrapNone/>
                <wp:docPr id="24" name="Frame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908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71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81200"/>
                <wp:effectExtent l="0" t="0" r="0" b="0"/>
                <wp:wrapNone/>
                <wp:docPr id="25" name="Frame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812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6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4143375</wp:posOffset>
                </wp:positionH>
                <wp:positionV relativeFrom="page">
                  <wp:posOffset>5537200</wp:posOffset>
                </wp:positionV>
                <wp:extent cx="990600" cy="306070"/>
                <wp:effectExtent l="0" t="0" r="0" b="0"/>
                <wp:wrapNone/>
                <wp:docPr id="26" name="Frame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600" cy="3060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990600" cy="306070"/>
                                  <wp:effectExtent l="0" t="0" r="0" b="0"/>
                                  <wp:docPr id="27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90600" cy="3060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pt;height:24.1pt;mso-wrap-distance-left:0pt;mso-wrap-distance-right:0pt;mso-wrap-distance-top:0pt;mso-wrap-distance-bottom:0pt;margin-top:436pt;mso-position-vertical-relative:page;margin-left:326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990600" cy="306070"/>
                            <wp:effectExtent l="0" t="0" r="0" b="0"/>
                            <wp:docPr id="28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90600" cy="3060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153160"/>
                <wp:effectExtent l="0" t="0" r="0" b="0"/>
                <wp:wrapNone/>
                <wp:docPr id="29" name="Frame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53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0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84530"/>
                <wp:effectExtent l="0" t="0" r="0" b="0"/>
                <wp:wrapNone/>
                <wp:docPr id="3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doub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3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doub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397635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3976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0.0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886585"/>
                <wp:effectExtent l="0" t="0" r="0" b="0"/>
                <wp:wrapNone/>
                <wp:docPr id="32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78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78" w:type="dxa"/>
                                  <w:gridSpan w:val="2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48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78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78" w:type="dxa"/>
                            <w:gridSpan w:val="2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64210"/>
                <wp:effectExtent l="0" t="0" r="0" b="0"/>
                <wp:wrapNone/>
                <wp:docPr id="33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642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96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FFFF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2.3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496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FFFF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684530"/>
                <wp:effectExtent l="0" t="0" r="0" b="0"/>
                <wp:wrapNone/>
                <wp:docPr id="34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bottom w:val="doub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53.9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bottom w:val="doub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2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5077460"/>
                <wp:effectExtent l="0" t="0" r="0" b="0"/>
                <wp:wrapNone/>
                <wp:docPr id="35" name="Frame3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50774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605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399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605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742950</wp:posOffset>
                </wp:positionH>
                <wp:positionV relativeFrom="page">
                  <wp:posOffset>850900</wp:posOffset>
                </wp:positionV>
                <wp:extent cx="6286500" cy="8105140"/>
                <wp:effectExtent l="0" t="0" r="0" b="0"/>
                <wp:wrapNone/>
                <wp:docPr id="36" name="Frame3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1051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6286500" cy="8105140"/>
                                  <wp:effectExtent l="0" t="0" r="0" b="0"/>
                                  <wp:docPr id="37" name="Image4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7" name="Image4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0" cy="8105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38.2pt;mso-wrap-distance-left:0pt;mso-wrap-distance-right:0pt;mso-wrap-distance-top:0pt;mso-wrap-distance-bottom:0pt;margin-top:6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6286500" cy="8105140"/>
                            <wp:effectExtent l="0" t="0" r="0" b="0"/>
                            <wp:docPr id="38" name="Image4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Image4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0" cy="81051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4200525</wp:posOffset>
                </wp:positionH>
                <wp:positionV relativeFrom="page">
                  <wp:posOffset>6108700</wp:posOffset>
                </wp:positionV>
                <wp:extent cx="1095375" cy="356870"/>
                <wp:effectExtent l="0" t="0" r="0" b="0"/>
                <wp:wrapNone/>
                <wp:docPr id="39" name="Frame3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3568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1095375" cy="356870"/>
                                  <wp:effectExtent l="0" t="0" r="0" b="0"/>
                                  <wp:docPr id="40" name="Image3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0" name="Image3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5375" cy="3568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25pt;height:28.1pt;mso-wrap-distance-left:0pt;mso-wrap-distance-right:0pt;mso-wrap-distance-top:0pt;mso-wrap-distance-bottom:0pt;margin-top:481pt;mso-position-vertical-relative:page;margin-left:330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1095375" cy="356870"/>
                            <wp:effectExtent l="0" t="0" r="0" b="0"/>
                            <wp:docPr id="41" name="Image3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1" name="Image3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5375" cy="3568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153160"/>
                <wp:effectExtent l="0" t="0" r="0" b="0"/>
                <wp:wrapNone/>
                <wp:docPr id="42" name="Frame3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1531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387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90.8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387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2">
                <wp:simplePos x="0" y="0"/>
                <wp:positionH relativeFrom="page">
                  <wp:posOffset>742950</wp:posOffset>
                </wp:positionH>
                <wp:positionV relativeFrom="page">
                  <wp:posOffset>-21590</wp:posOffset>
                </wp:positionV>
                <wp:extent cx="67310" cy="133350"/>
                <wp:effectExtent l="0" t="0" r="0" b="0"/>
                <wp:wrapNone/>
                <wp:docPr id="43" name="Frame3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3pt;height:10.5pt;mso-wrap-distance-left:0pt;mso-wrap-distance-right:0pt;mso-wrap-distance-top:0pt;mso-wrap-distance-bottom:0pt;margin-top:-1.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1">
                <wp:simplePos x="0" y="0"/>
                <wp:positionH relativeFrom="page">
                  <wp:posOffset>742950</wp:posOffset>
                </wp:positionH>
                <wp:positionV relativeFrom="page">
                  <wp:posOffset>-21590</wp:posOffset>
                </wp:positionV>
                <wp:extent cx="67310" cy="133350"/>
                <wp:effectExtent l="0" t="0" r="0" b="0"/>
                <wp:wrapNone/>
                <wp:docPr id="44" name="Frame3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3pt;height:10.5pt;mso-wrap-distance-left:0pt;mso-wrap-distance-right:0pt;mso-wrap-distance-top:0pt;mso-wrap-distance-bottom:0pt;margin-top:-1.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0">
                <wp:simplePos x="0" y="0"/>
                <wp:positionH relativeFrom="page">
                  <wp:posOffset>742950</wp:posOffset>
                </wp:positionH>
                <wp:positionV relativeFrom="page">
                  <wp:posOffset>-21590</wp:posOffset>
                </wp:positionV>
                <wp:extent cx="67310" cy="133350"/>
                <wp:effectExtent l="0" t="0" r="0" b="0"/>
                <wp:wrapNone/>
                <wp:docPr id="45" name="Frame3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" cy="1333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9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3pt;height:10.5pt;mso-wrap-distance-left:0pt;mso-wrap-distance-right:0pt;mso-wrap-distance-top:0pt;mso-wrap-distance-bottom:0pt;margin-top:-1.7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9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3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410335"/>
                <wp:effectExtent l="0" t="0" r="0" b="0"/>
                <wp:wrapNone/>
                <wp:docPr id="46" name="Frame3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103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823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1.0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823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2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47" name="Frame3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1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48" name="Frame3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(6)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(6)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30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49" name="Frame3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(5)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(5)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9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0" name="Frame3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(4)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(4)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8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1" name="Frame3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7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2" name="Frame3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26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3" name="Frame3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742950</wp:posOffset>
                </wp:positionH>
                <wp:positionV relativeFrom="page">
                  <wp:posOffset>571500</wp:posOffset>
                </wp:positionV>
                <wp:extent cx="6286500" cy="8135620"/>
                <wp:effectExtent l="0" t="0" r="0" b="0"/>
                <wp:wrapNone/>
                <wp:docPr id="54" name="Frame3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81356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6286500" cy="8135620"/>
                                  <wp:effectExtent l="0" t="0" r="0" b="0"/>
                                  <wp:docPr id="55" name="Image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5" name="Image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0" cy="8135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640.6pt;mso-wrap-distance-left:0pt;mso-wrap-distance-right:0pt;mso-wrap-distance-top:0pt;mso-wrap-distance-bottom:0pt;margin-top:4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6286500" cy="8135620"/>
                            <wp:effectExtent l="0" t="0" r="0" b="0"/>
                            <wp:docPr id="56" name="Image5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6" name="Image5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0" cy="8135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1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7" name="Frame3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70">
                <wp:simplePos x="0" y="0"/>
                <wp:positionH relativeFrom="page">
                  <wp:posOffset>742950</wp:posOffset>
                </wp:positionH>
                <wp:positionV relativeFrom="page">
                  <wp:posOffset>-27940</wp:posOffset>
                </wp:positionV>
                <wp:extent cx="86360" cy="171450"/>
                <wp:effectExtent l="0" t="0" r="0" b="0"/>
                <wp:wrapNone/>
                <wp:docPr id="58" name="Frame3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360" cy="17145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2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8pt;height:13.5pt;mso-wrap-distance-left:0pt;mso-wrap-distance-right:0pt;mso-wrap-distance-top:0pt;mso-wrap-distance-bottom:0pt;margin-top:-2.2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2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9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899285"/>
                <wp:effectExtent l="0" t="0" r="0" b="0"/>
                <wp:wrapNone/>
                <wp:docPr id="59" name="Frame3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8992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04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49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04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8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0" name="Frame3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(8)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(8)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7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1" name="Frame3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6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2" name="Frame3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(6)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(6)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5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3" name="Frame3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(5)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(5)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4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4" name="Frame3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(4)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(4)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3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5" name="Frame3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2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6" name="Frame3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31">
                <wp:simplePos x="0" y="0"/>
                <wp:positionH relativeFrom="page">
                  <wp:posOffset>742950</wp:posOffset>
                </wp:positionH>
                <wp:positionV relativeFrom="page">
                  <wp:posOffset>-24765</wp:posOffset>
                </wp:positionV>
                <wp:extent cx="76835" cy="152400"/>
                <wp:effectExtent l="0" t="0" r="0" b="0"/>
                <wp:wrapNone/>
                <wp:docPr id="67" name="Frame3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5" cy="1524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0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.05pt;height:12pt;mso-wrap-distance-left:0pt;mso-wrap-distance-right:0pt;mso-wrap-distance-top:0pt;mso-wrap-distance-bottom:0pt;margin-top:-1.95pt;mso-position-vertical-relative:page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0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5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3867785"/>
                <wp:effectExtent l="0" t="0" r="0" b="0"/>
                <wp:wrapNone/>
                <wp:docPr id="68" name="Frame3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8677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2022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872" w:type="dxa"/>
                                  <w:gridSpan w:val="8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gridSpan w:val="5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8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63" w:type="dxa"/>
                                  <w:gridSpan w:val="2"/>
                                  <w:tcBorders>
                                    <w:top w:val="single" w:sz="8" w:space="0" w:color="000000"/>
                                    <w:bottom w:val="single" w:sz="8" w:space="0" w:color="000000"/>
                                  </w:tcBorders>
                                  <w:tcMar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304.5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2022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872" w:type="dxa"/>
                            <w:gridSpan w:val="8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90" w:type="dxa"/>
                            <w:gridSpan w:val="5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8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63" w:type="dxa"/>
                            <w:gridSpan w:val="2"/>
                            <w:tcBorders>
                              <w:top w:val="single" w:sz="8" w:space="0" w:color="000000"/>
                              <w:bottom w:val="single" w:sz="8" w:space="0" w:color="000000"/>
                            </w:tcBorders>
                            <w:tcMar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0">
                <wp:simplePos x="0" y="0"/>
                <wp:positionH relativeFrom="page">
                  <wp:posOffset>742950</wp:posOffset>
                </wp:positionH>
                <wp:positionV relativeFrom="page">
                  <wp:posOffset>0</wp:posOffset>
                </wp:positionV>
                <wp:extent cx="6286500" cy="1906905"/>
                <wp:effectExtent l="0" t="0" r="0" b="0"/>
                <wp:wrapNone/>
                <wp:docPr id="69" name="Frame3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90690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25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24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09"/>
                              <w:gridCol w:w="154"/>
                            </w:tblGrid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bottom w:val="single" w:sz="8" w:space="0" w:color="000000"/>
                                  </w:tcBorders>
                                  <w:tcMar>
                                    <w:top w:w="0" w:type="dxa"/>
                                    <w:left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>
                                    <w:top w:val="single" w:sz="8" w:space="0" w:color="000000"/>
                                  </w:tcBorders>
                                  <w:shd w:fill="CCEEFF" w:val="clear"/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2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4" w:type="dxa"/>
                                  <w:tcBorders/>
                                  <w:shd w:fill="CCEEFF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50.15pt;mso-wrap-distance-left:0pt;mso-wrap-distance-right:0pt;mso-wrap-distance-top:0pt;mso-wrap-distance-bottom:0pt;margin-top:0pt;mso-position-vertical-relative:page;margin-left:58.5pt;mso-position-horizontal-relative:page">
                <v:textbox>
                  <w:txbxContent>
                    <w:tbl>
                      <w:tblPr>
                        <w:tblW w:w="125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24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09"/>
                        <w:gridCol w:w="154"/>
                      </w:tblGrid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bottom w:val="single" w:sz="8" w:space="0" w:color="000000"/>
                            </w:tcBorders>
                            <w:tcMar>
                              <w:top w:w="0" w:type="dxa"/>
                              <w:left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>
                              <w:top w:val="single" w:sz="8" w:space="0" w:color="000000"/>
                            </w:tcBorders>
                            <w:shd w:fill="CCEEFF" w:val="clear"/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2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4" w:type="dxa"/>
                            <w:tcBorders/>
                            <w:shd w:fill="CCEEFF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Filed pursuant to Rule 424(b)(3)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Registration No. 333-286558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 xml:space="preserve">Prospectus Supplement No. 1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 xml:space="preserve">(To Prospectus dated April 23, 2025) 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36"/>
          <w:shd w:fill="E4E4E4" w:val="clear"/>
        </w:rPr>
        <w:t>INNVENTURE,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The date of this prospectus supplement is May 9, 2025.</w:t>
      </w:r>
      <w:r>
        <mc:AlternateContent>
          <mc:Choice Requires="wps">
            <w:drawing>
              <wp:anchor behindDoc="0" distT="0" distB="0" distL="0" distR="0" simplePos="0" locked="0" layoutInCell="1" allowOverlap="1" relativeHeight="78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99720" cy="293370"/>
                <wp:effectExtent l="0" t="0" r="0" b="0"/>
                <wp:wrapNone/>
                <wp:docPr id="70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71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reference thereto, except to the extent that the information in this prospectus supplement updates or supersedes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reference thereto, except to the extent that the information in this prospectus supplement updates or supersedes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6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73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information contained in the Prospectus. Please keep this prospectus supplement with your Prospectus for future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information contained in the Prospectus. Please keep this prospectus supplement with your Prospectus for future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8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3555" cy="293370"/>
                <wp:effectExtent l="0" t="0" r="0" b="0"/>
                <wp:wrapNone/>
                <wp:docPr id="75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reference.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6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reference.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695" cy="146685"/>
                <wp:effectExtent l="0" t="0" r="0" b="0"/>
                <wp:wrapNone/>
                <wp:docPr id="76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6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our common stock, par value $0.0001 per share (our “Common Stock”), are listed on The Nasdaq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our common stock, par value $0.0001 per share (our “Common Stock”), are listed on The Nasdaq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1">
                <wp:simplePos x="0" y="0"/>
                <wp:positionH relativeFrom="page">
                  <wp:posOffset>6856095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1060" cy="146685"/>
                <wp:effectExtent l="0" t="0" r="0" b="0"/>
                <wp:wrapNone/>
                <wp:docPr id="78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0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Market, LLC under the symbol “INV.” On May 8, 2025, the closing price of our Common Stock was $4.14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Market, LLC under the symbol “INV.” On May 8, 2025, the closing price of our Common Stock was $4.14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3">
                <wp:simplePos x="0" y="0"/>
                <wp:positionH relativeFrom="page">
                  <wp:posOffset>6855460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4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431290" cy="146685"/>
                <wp:effectExtent l="0" t="0" r="0" b="0"/>
                <wp:wrapNone/>
                <wp:docPr id="81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2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Investing in our securities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7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Investing in our securities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6">
                <wp:simplePos x="0" y="0"/>
                <wp:positionH relativeFrom="page">
                  <wp:posOffset>2345690</wp:posOffset>
                </wp:positionH>
                <wp:positionV relativeFrom="line">
                  <wp:posOffset>635</wp:posOffset>
                </wp:positionV>
                <wp:extent cx="2301875" cy="293370"/>
                <wp:effectExtent l="0" t="0" r="0" b="0"/>
                <wp:wrapNone/>
                <wp:docPr id="82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8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involves risks that are described in the “Ri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1.25pt;height:23.1pt;mso-wrap-distance-left:0pt;mso-wrap-distance-right:0pt;mso-wrap-distance-top:0pt;mso-wrap-distance-bottom:0pt;margin-top:0pt;mso-position-vertical:top;mso-position-vertical-relative:text;margin-left:184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involves risks that are described in the “Ri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7">
                <wp:simplePos x="0" y="0"/>
                <wp:positionH relativeFrom="page">
                  <wp:posOffset>4646930</wp:posOffset>
                </wp:positionH>
                <wp:positionV relativeFrom="line">
                  <wp:posOffset>635</wp:posOffset>
                </wp:positionV>
                <wp:extent cx="2023110" cy="293370"/>
                <wp:effectExtent l="0" t="0" r="0" b="0"/>
                <wp:wrapNone/>
                <wp:docPr id="83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31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sk Factors” section of the Prospectus.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3pt;height:23.1pt;mso-wrap-distance-left:0pt;mso-wrap-distance-right:0pt;mso-wrap-distance-top:0pt;mso-wrap-distance-bottom:0pt;margin-top:0pt;mso-position-vertical:top;mso-position-vertical-relative:text;margin-left:36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sk Factors” section of the Prospectus.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84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Neither the SEC nor any state securities commission has approved or disapproved of the securities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Neither the SEC nor any state securities commission has approved or disapproved of the securities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89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86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issued under the Prospectus or this prospectus supplement or determined if the Prospectus or this prospectus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issued under the Prospectus or this prospectus supplement or determined if the Prospectus or this prospectus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1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4973320" cy="293370"/>
                <wp:effectExtent l="0" t="0" r="0" b="0"/>
                <wp:wrapNone/>
                <wp:docPr id="88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3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supplement is truthful or complete. Any representation to the contrary is a criminal offense.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1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</w:rPr>
                        <w:t>supplement is truthful or complete. Any representation to the contrary is a criminal offense.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46685"/>
                <wp:effectExtent l="0" t="0" r="0" b="0"/>
                <wp:wrapNone/>
                <wp:docPr id="89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(the “SEC”) on May 9, 2025 (the “Definitive Proxy Statement”). Accordingly, we have attached the Definitive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(the “SEC”) on May 9, 2025 (the “Definitive Proxy Statement”). Accordingly, we have attached the Definitive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7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3600" cy="175260"/>
                <wp:effectExtent l="0" t="0" r="0" b="0"/>
                <wp:wrapNone/>
                <wp:docPr id="91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36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Prospectus”), which forms a part of our Registration Statement on Form S-1 (Registration No. 333-286558) and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Prospectus”), which forms a part of our Registration Statement on Form S-1 (Registration No. 333-286558) and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9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86740" cy="146685"/>
                <wp:effectExtent l="0" t="0" r="0" b="0"/>
                <wp:wrapNone/>
                <wp:docPr id="93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 xml:space="preserve">being filed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2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 xml:space="preserve">being filed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1">
                <wp:simplePos x="0" y="0"/>
                <wp:positionH relativeFrom="page">
                  <wp:posOffset>1501140</wp:posOffset>
                </wp:positionH>
                <wp:positionV relativeFrom="line">
                  <wp:posOffset>635</wp:posOffset>
                </wp:positionV>
                <wp:extent cx="5356225" cy="146685"/>
                <wp:effectExtent l="0" t="0" r="0" b="0"/>
                <wp:wrapNone/>
                <wp:docPr id="94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62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update, amend and supplement the information included in the Prospectus with information contained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1.75pt;height:11.55pt;mso-wrap-distance-left:0pt;mso-wrap-distance-right:0pt;mso-wrap-distance-top:0pt;mso-wrap-distance-bottom:0pt;margin-top:0pt;mso-position-vertical:top;mso-position-vertical-relative:text;margin-left:11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update, amend and supplement the information included in the Prospectus with information contained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2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96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our Definitive Proxy Statement on Schedule 14A which was filed with the Securities and Exchange Commission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our Definitive Proxy Statement on Schedule 14A which was filed with the Securities and Exchange Commission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4">
                <wp:simplePos x="0" y="0"/>
                <wp:positionH relativeFrom="page">
                  <wp:posOffset>6856730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5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98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prospectus supplement updates, amends and supplements the prospectus dated April 23, 2025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prospectus supplement updates, amends and supplements the prospectus dated April 23, 2025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6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553335" cy="146685"/>
                <wp:effectExtent l="0" t="0" r="0" b="0"/>
                <wp:wrapNone/>
                <wp:docPr id="100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Proxy Statement to this prospectus supplement.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1.0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Proxy Statement to this prospectus supplement.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8">
                <wp:simplePos x="0" y="0"/>
                <wp:positionH relativeFrom="page">
                  <wp:posOffset>3467735</wp:posOffset>
                </wp:positionH>
                <wp:positionV relativeFrom="line">
                  <wp:posOffset>635</wp:posOffset>
                </wp:positionV>
                <wp:extent cx="3389630" cy="146685"/>
                <wp:effectExtent l="0" t="0" r="0" b="0"/>
                <wp:wrapNone/>
                <wp:docPr id="10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96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Capitalized terms used in this prospectus supplement and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6.9pt;height:11.55pt;mso-wrap-distance-left:0pt;mso-wrap-distance-right:0pt;mso-wrap-distance-top:0pt;mso-wrap-distance-bottom:0pt;margin-top:0pt;mso-position-vertical:top;mso-position-vertical-relative:text;margin-left:27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Capitalized terms used in this prospectus supplement and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69">
                <wp:simplePos x="0" y="0"/>
                <wp:positionH relativeFrom="page">
                  <wp:posOffset>6858000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40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650615" cy="293370"/>
                <wp:effectExtent l="0" t="0" r="0" b="0"/>
                <wp:wrapNone/>
                <wp:docPr id="10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06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otherwise defined herein have the meanings specified in the Prospectus.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7.45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otherwise defined herein have the meanings specified in the Prospectus.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965" cy="146685"/>
                <wp:effectExtent l="0" t="0" r="0" b="0"/>
                <wp:wrapNone/>
                <wp:docPr id="10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9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This prospectus supplement is not complete without the Prospectus. This prospectus supplement should be read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This prospectus supplement is not complete without the Prospectus. This prospectus supplement should be read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2">
                <wp:simplePos x="0" y="0"/>
                <wp:positionH relativeFrom="page">
                  <wp:posOffset>6857365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39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7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942330" cy="146685"/>
                <wp:effectExtent l="0" t="0" r="0" b="0"/>
                <wp:wrapNone/>
                <wp:docPr id="10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23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conjunction with the Prospectus, which is to be delivered with this prospectus supplement, and is qualified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7.9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conjunction with the Prospectus, which is to be delivered with this prospectus supplement, and is qualified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17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  <w:t>UNITED STATES</w:t>
      </w:r>
    </w:p>
    <w:p>
      <w:pPr>
        <w:pStyle w:val="TextBody"/>
        <w:bidi w:val="0"/>
        <w:spacing w:lineRule="atLeast" w:line="217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  <w:t>SECURITIES AND EXCHANGE COMMISSION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pStyle w:val="TextBody"/>
        <w:bidi w:val="0"/>
        <w:spacing w:lineRule="atLeast" w:line="217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32"/>
          <w:u w:val="none"/>
          <w:effect w:val="none"/>
          <w:shd w:fill="E4E4E4" w:val="clear"/>
        </w:rPr>
        <w:t>SCHEDULE 14A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(Rule 14a-101)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INFORMATION REQUIRED IN PROXY STATEMENT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SCHEDULE 14A INFORMATION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Proxy Statement Pursuant to Section 14(a) of the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Securities Exchange Act of 1934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pStyle w:val="TextBody"/>
        <w:bidi w:val="0"/>
        <w:spacing w:lineRule="atLeast" w:line="298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4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44"/>
          <w:u w:val="none"/>
          <w:effect w:val="none"/>
          <w:shd w:fill="E4E4E4" w:val="clear"/>
        </w:rPr>
        <w:t>INNVENTURE,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(Name of Registrant as Specified In Its Charter)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  <w:shd w:fill="E4E4E4" w:val="clear"/>
        </w:rPr>
        <w:t>(Name of Person(s) Filing Proxy Statement, if other than the Registrant)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______________________________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MESSAGE FROM THE CHIEF 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NOTICE OF 2025 ANNUAL GENERAL MEETING</w:t>
      </w:r>
      <w:r>
        <mc:AlternateContent>
          <mc:Choice Requires="wps">
            <w:drawing>
              <wp:anchor behindDoc="0" distT="0" distB="0" distL="0" distR="0" simplePos="0" locked="0" layoutInCell="1" allowOverlap="1" relativeHeight="82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7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5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2730" cy="146685"/>
                <wp:effectExtent l="0" t="0" r="0" b="0"/>
                <wp:wrapNone/>
                <wp:docPr id="108" name="Frame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27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ratification of the appointment of BDO USA, P.C. as our independent registered public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9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ratification of the appointment of BDO USA, P.C. as our independent registered public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583180" cy="293370"/>
                <wp:effectExtent l="0" t="0" r="0" b="0"/>
                <wp:wrapNone/>
                <wp:docPr id="110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firm for the fiscal year ending December 31, 2025;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4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firm for the fiscal year ending December 31, 2025;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11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12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0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1460" cy="146685"/>
                <wp:effectExtent l="0" t="0" r="0" b="0"/>
                <wp:wrapNone/>
                <wp:docPr id="113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14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of 20% or more of the Company’s issued and outstanding Common Stock (as defined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of 20% or more of the Company’s issued and outstanding Common Stock (as defined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115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below) as of October 2, 2024, pursuant to the Standby Equity Purchase Agreement (“SEPA”) with YA II PN,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below) as of October 2, 2024, pursuant to the Standby Equity Purchase Agreement (“SEPA”) with YA II PN,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243965" cy="293370"/>
                <wp:effectExtent l="0" t="0" r="0" b="0"/>
                <wp:wrapNone/>
                <wp:docPr id="117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9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LTD. (“Yorkville”);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LTD. (“Yorkville”);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18" name="Frame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19" name="Frame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7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1460" cy="146685"/>
                <wp:effectExtent l="0" t="0" r="0" b="0"/>
                <wp:wrapNone/>
                <wp:docPr id="120" name="Frame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14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of 20% or more of the Company’s issued and outstanding Common Stock as of March 25,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of 20% or more of the Company’s issued and outstanding Common Stock as of March 25,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" name="Frame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2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944745" cy="293370"/>
                <wp:effectExtent l="0" t="0" r="0" b="0"/>
                <wp:wrapNone/>
                <wp:docPr id="122" name="Frame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47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2025, pursuant to the Convertible Debentures (as defined in the Proxy Statement) with Yorkville.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9.3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2025, pursuant to the Convertible Debentures (as defined in the Proxy Statement) with Yorkville.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23" name="Frame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Please refer to the accompanying Proxy Statement for detailed information on each of the proposals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Please refer to the accompanying Proxy Statement for detailed information on each of the proposals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" name="Frame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5" name="Frame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Meeting. On behalf of the Board of Directors, executives and all Innventure team members, we appreciate your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Meeting. On behalf of the Board of Directors, executives and all Innventure team members, we appreciate your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" name="Frame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63700" cy="293370"/>
                <wp:effectExtent l="0" t="0" r="0" b="0"/>
                <wp:wrapNone/>
                <wp:docPr id="127" name="Frame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37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continued support of Innventure.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continued support of Innventure.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" name="Frame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29" name="Frame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pleased to invite you to join us at the 2025 Annual Meeting of stockholders (the “Annual Meeting”)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pleased to invite you to join us at the 2025 Annual Meeting of stockholders (the “Annual Meeting”)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" name="Frame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1" name="Frame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Inc. (the “Company”, “we”, “our”, or “Innventure”) to be held on Wednesday, June 25th at 9:00 a.m. Eastern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Inc. (the “Company”, “we”, “our”, or “Innventure”) to be held on Wednesday, June 25th at 9:00 a.m. Eastern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" name="Frame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33" name="Frame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Time by means of a virtual conference.  We value your voice and believe it is important that your shares are represented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Time by means of a virtual conference.  We value your voice and believe it is important that your shares are represented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" name="Frame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48020" cy="293370"/>
                <wp:effectExtent l="0" t="0" r="0" b="0"/>
                <wp:wrapNone/>
                <wp:docPr id="135" name="Frame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8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Annual Meeting.  We urge you to cast your vote as soon as possible by telephone, via the Internet or by mail.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2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Annual Meeting.  We urge you to cast your vote as soon as possible by telephone, via the Internet or by mail.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6" name="Frame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notice of the Annual Meeting (the “Notice of Availability” or “Notice”) and proxy statement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notice of the Annual Meeting (the “Notice of Availability” or “Notice”) and proxy statement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" name="Frame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138" name="Frame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Proxy Statement” or “Proxy”) describe the various matters that will be voted on.  During the meeting, we will also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Proxy Statement” or “Proxy”) describe the various matters that will be voted on.  During the meeting, we will also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7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38655" cy="293370"/>
                <wp:effectExtent l="0" t="0" r="0" b="0"/>
                <wp:wrapNone/>
                <wp:docPr id="139" name="Frame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Dear Fellow Innventure Stockholders,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Dear Fellow Innventure Stockholders,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91560" cy="293370"/>
                <wp:effectExtent l="0" t="0" r="0" b="0"/>
                <wp:wrapNone/>
                <wp:docPr id="140" name="Frame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15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provide a corporate update and open the floor for you to ask questions.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2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provide a corporate update and open the floor for you to ask questions.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067300" cy="293370"/>
                <wp:effectExtent l="0" t="0" r="0" b="0"/>
                <wp:wrapNone/>
                <wp:docPr id="141" name="Frame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Company’s board of directors (the “Board of Directors” or “Board”) recommend that you vote: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Company’s board of directors (the “Board of Directors” or “Board”) recommend that you vote: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42" name="Frame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43" name="Frame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09">
                <wp:simplePos x="0" y="0"/>
                <wp:positionH relativeFrom="page">
                  <wp:posOffset>1696720</wp:posOffset>
                </wp:positionH>
                <wp:positionV relativeFrom="line">
                  <wp:posOffset>635</wp:posOffset>
                </wp:positionV>
                <wp:extent cx="5331460" cy="146685"/>
                <wp:effectExtent l="0" t="0" r="0" b="0"/>
                <wp:wrapNone/>
                <wp:docPr id="144" name="Frame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14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election of the three nominees to serve as Class I directors on our Board of Directors, each for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pt;height:11.55pt;mso-wrap-distance-left:0pt;mso-wrap-distance-right:0pt;mso-wrap-distance-top:0pt;mso-wrap-distance-bottom:0pt;margin-top:0pt;mso-position-vertical:top;mso-position-vertical-relative:text;margin-left:13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election of the three nominees to serve as Class I directors on our Board of Directors, each for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" name="Frame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474085" cy="293370"/>
                <wp:effectExtent l="0" t="0" r="0" b="0"/>
                <wp:wrapNone/>
                <wp:docPr id="146" name="Frame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three year term expiring at the 2028 annual meeting of stockholders;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3.5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three year term expiring at the 2028 annual meeting of stockholders;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2">
                <wp:simplePos x="0" y="0"/>
                <wp:positionH relativeFrom="page">
                  <wp:posOffset>4902835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" name="Frame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8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1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48" name="Frame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At our Annual Meeting, our stockholders will be asked to:</w:t>
      </w:r>
      <w:r>
        <mc:AlternateContent>
          <mc:Choice Requires="wps">
            <w:drawing>
              <wp:anchor behindDoc="0" distT="0" distB="0" distL="0" distR="0" simplePos="0" locked="0" layoutInCell="1" allowOverlap="1" relativeHeight="8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69870" cy="293370"/>
                <wp:effectExtent l="0" t="0" r="0" b="0"/>
                <wp:wrapNone/>
                <wp:docPr id="149" name="Frame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 Annual General Meeting of Stockholders Details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8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 Annual General Meeting of Stockholders Details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50" name="Frame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additional Annual Meeting details, please see “General Information About the Annual Meeting and Voting”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additional Annual Meeting details, please see “General Information About the Annual Meeting and Voting”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" name="Frame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89025" cy="293370"/>
                <wp:effectExtent l="0" t="0" r="0" b="0"/>
                <wp:wrapNone/>
                <wp:docPr id="152" name="Frame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this Proxy Statement.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this Proxy Statement.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3230" cy="146685"/>
                <wp:effectExtent l="0" t="0" r="0" b="0"/>
                <wp:wrapNone/>
                <wp:docPr id="153" name="Frame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Voting: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Voting: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0">
                <wp:simplePos x="0" y="0"/>
                <wp:positionH relativeFrom="page">
                  <wp:posOffset>1643380</wp:posOffset>
                </wp:positionH>
                <wp:positionV relativeFrom="line">
                  <wp:posOffset>635</wp:posOffset>
                </wp:positionV>
                <wp:extent cx="5386070" cy="146685"/>
                <wp:effectExtent l="0" t="0" r="0" b="0"/>
                <wp:wrapNone/>
                <wp:docPr id="154" name="Frame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60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are invited to attend the live virtual meeting.  Even if you plan to attend, we encourage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4.1pt;height:11.55pt;mso-wrap-distance-left:0pt;mso-wrap-distance-right:0pt;mso-wrap-distance-top:0pt;mso-wrap-distance-bottom:0pt;margin-top:0pt;mso-position-vertical:top;mso-position-vertical-relative:text;margin-left:129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are invited to attend the live virtual meeting.  Even if you plan to attend, we encourage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" name="Frame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20720" cy="293370"/>
                <wp:effectExtent l="0" t="0" r="0" b="0"/>
                <wp:wrapNone/>
                <wp:docPr id="156" name="Frame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0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vote in advance of the meeting.  You may cast your vote via: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3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vote in advance of the meeting.  You may cast your vote via: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307330" cy="293370"/>
                <wp:effectExtent l="0" t="0" r="0" b="0"/>
                <wp:wrapNone/>
                <wp:docPr id="157" name="Frame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73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Please see “How to Vote” below for specific instructions on how to vote through each of these channels.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7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Please see “How to Vote” below for specific instructions on how to vote through each of these channels.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Investor Relations</w:t>
      </w:r>
      <w:r>
        <mc:AlternateContent>
          <mc:Choice Requires="wps">
            <w:drawing>
              <wp:anchor behindDoc="0" distT="0" distB="0" distL="0" distR="0" simplePos="0" locked="0" layoutInCell="1" allowOverlap="1" relativeHeight="8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" name="Frame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59" name="Frame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4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472440" cy="293370"/>
                <wp:effectExtent l="0" t="0" r="0" b="0"/>
                <wp:wrapNone/>
                <wp:docPr id="160" name="Frame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5">
                <wp:simplePos x="0" y="0"/>
                <wp:positionH relativeFrom="page">
                  <wp:posOffset>2129790</wp:posOffset>
                </wp:positionH>
                <wp:positionV relativeFrom="line">
                  <wp:posOffset>635</wp:posOffset>
                </wp:positionV>
                <wp:extent cx="4899025" cy="146685"/>
                <wp:effectExtent l="0" t="0" r="0" b="0"/>
                <wp:wrapNone/>
                <wp:docPr id="161" name="Frame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0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of 20% or more of the Company’s issued and outstanding common stock as of March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75pt;height:11.55pt;mso-wrap-distance-left:0pt;mso-wrap-distance-right:0pt;mso-wrap-distance-top:0pt;mso-wrap-distance-bottom:0pt;margin-top:0pt;mso-position-vertical:top;mso-position-vertical-relative:text;margin-left:16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of 20% or more of the Company’s issued and outstanding common stock as of March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" name="Frame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28060" cy="293370"/>
                <wp:effectExtent l="0" t="0" r="0" b="0"/>
                <wp:wrapNone/>
                <wp:docPr id="163" name="Frame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0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25, 2025, pursuant to the Convertible Debentures with Yorkville;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7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25, 2025, pursuant to the Convertible Debentures with Yorkville;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64" name="Frame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9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525145" cy="146685"/>
                <wp:effectExtent l="0" t="0" r="0" b="0"/>
                <wp:wrapNone/>
                <wp:docPr id="165" name="Frame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1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Transact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.35pt;height:11.55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Transact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0">
                <wp:simplePos x="0" y="0"/>
                <wp:positionH relativeFrom="page">
                  <wp:posOffset>2182495</wp:posOffset>
                </wp:positionH>
                <wp:positionV relativeFrom="line">
                  <wp:posOffset>635</wp:posOffset>
                </wp:positionV>
                <wp:extent cx="4845050" cy="146685"/>
                <wp:effectExtent l="0" t="0" r="0" b="0"/>
                <wp:wrapNone/>
                <wp:docPr id="166" name="Frame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0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other business that may properly come before the Annual Meeting or any adjournment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5pt;height:11.55pt;mso-wrap-distance-left:0pt;mso-wrap-distance-right:0pt;mso-wrap-distance-top:0pt;mso-wrap-distance-bottom:0pt;margin-top:0pt;mso-position-vertical:top;mso-position-vertical-relative:text;margin-left:17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other business that may properly come before the Annual Meeting or any adjournment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2">
                <wp:simplePos x="0" y="0"/>
                <wp:positionH relativeFrom="page">
                  <wp:posOffset>3535045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" name="Frame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8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34745" cy="293370"/>
                <wp:effectExtent l="0" t="0" r="0" b="0"/>
                <wp:wrapNone/>
                <wp:docPr id="168" name="Frame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7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postponement thereof.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9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postponement thereof.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69" name="Frame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Important Notice Regarding the Availability of Proxy Materials for the Annual Meeting to be Held on June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Important Notice Regarding the Availability of Proxy Materials for the Annual Meeting to be Held on June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" name="Frame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2760" cy="146685"/>
                <wp:effectExtent l="0" t="0" r="0" b="0"/>
                <wp:wrapNone/>
                <wp:docPr id="171" name="Frame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25, 2025: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25, 2025: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6">
                <wp:simplePos x="0" y="0"/>
                <wp:positionH relativeFrom="page">
                  <wp:posOffset>1235710</wp:posOffset>
                </wp:positionH>
                <wp:positionV relativeFrom="line">
                  <wp:posOffset>635</wp:posOffset>
                </wp:positionV>
                <wp:extent cx="5792470" cy="175260"/>
                <wp:effectExtent l="0" t="0" r="0" b="0"/>
                <wp:wrapNone/>
                <wp:docPr id="172" name="Frame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24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Annual Report on Form 10-K for the year ended December 31, 2024 (the “2024 Annual Report”),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6.1pt;height:13.8pt;mso-wrap-distance-left:0pt;mso-wrap-distance-right:0pt;mso-wrap-distance-top:0pt;mso-wrap-distance-bottom:0pt;margin-top:0pt;mso-position-vertical:top;mso-position-vertical-relative:text;margin-left:97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Annual Report on Form 10-K for the year ended December 31, 2024 (the “2024 Annual Report”),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" name="Frame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98570" cy="293370"/>
                <wp:effectExtent l="0" t="0" r="0" b="0"/>
                <wp:wrapNone/>
                <wp:docPr id="174" name="Frame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5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 Proxy Statement are available free of charge at 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9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 Proxy Statement are available free of charge at 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9">
                <wp:simplePos x="0" y="0"/>
                <wp:positionH relativeFrom="page">
                  <wp:posOffset>4541520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" name="Frame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57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3">
                <wp:simplePos x="0" y="0"/>
                <wp:positionH relativeFrom="page">
                  <wp:posOffset>1995805</wp:posOffset>
                </wp:positionH>
                <wp:positionV relativeFrom="line">
                  <wp:posOffset>635</wp:posOffset>
                </wp:positionV>
                <wp:extent cx="5033010" cy="146685"/>
                <wp:effectExtent l="0" t="0" r="0" b="0"/>
                <wp:wrapNone/>
                <wp:docPr id="176" name="Frame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0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appointment of BDO USA, P.C. as our independent registered public accounting firm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.3pt;height:11.55pt;mso-wrap-distance-left:0pt;mso-wrap-distance-right:0pt;mso-wrap-distance-top:0pt;mso-wrap-distance-bottom:0pt;margin-top:0pt;mso-position-vertical:top;mso-position-vertical-relative:text;margin-left:15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appointment of BDO USA, P.C. as our independent registered public accounting firm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5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274320" cy="293370"/>
                <wp:effectExtent l="0" t="0" r="0" b="0"/>
                <wp:wrapNone/>
                <wp:docPr id="177" name="Frame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6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6">
                <wp:simplePos x="0" y="0"/>
                <wp:positionH relativeFrom="page">
                  <wp:posOffset>1931670</wp:posOffset>
                </wp:positionH>
                <wp:positionV relativeFrom="line">
                  <wp:posOffset>635</wp:posOffset>
                </wp:positionV>
                <wp:extent cx="5097145" cy="146685"/>
                <wp:effectExtent l="0" t="0" r="0" b="0"/>
                <wp:wrapNone/>
                <wp:docPr id="178" name="Frame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71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three Class I directors, Gregory W. Haskell, Daniel J. Hennessy and Michael Amalfitano,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1.35pt;height:11.55pt;mso-wrap-distance-left:0pt;mso-wrap-distance-right:0pt;mso-wrap-distance-top:0pt;mso-wrap-distance-bottom:0pt;margin-top:0pt;mso-position-vertical:top;mso-position-vertical-relative:text;margin-left:15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three Class I directors, Gregory W. Haskell, Daniel J. Hennessy and Michael Amalfitano,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" name="Frame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0" name="Frame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recommended by the Nominating and Corporate Governance Committee (“N&amp;CG Committee”), each being nominated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recommended by the Nominating and Corporate Governance Committee (“N&amp;CG Committee”), each being nominated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" name="Frame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051935" cy="293370"/>
                <wp:effectExtent l="0" t="0" r="0" b="0"/>
                <wp:wrapNone/>
                <wp:docPr id="182" name="Frame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19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serve for a three-year term expiring at the 2028 annual meeting of stockholders;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9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serve for a three-year term expiring at the 2028 annual meeting of stockholders;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83" name="Frame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2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338455" cy="293370"/>
                <wp:effectExtent l="0" t="0" r="0" b="0"/>
                <wp:wrapNone/>
                <wp:docPr id="184" name="Frame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Ratify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65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Ratify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4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85" name="Frame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" name="Frame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65960" cy="293370"/>
                <wp:effectExtent l="0" t="0" r="0" b="0"/>
                <wp:wrapNone/>
                <wp:docPr id="187" name="Frame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5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fiscal year ending December 31, 2025;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fiscal year ending December 31, 2025;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6">
                <wp:simplePos x="0" y="0"/>
                <wp:positionH relativeFrom="page">
                  <wp:posOffset>2708910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" name="Frame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1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5250" cy="146685"/>
                <wp:effectExtent l="0" t="0" r="0" b="0"/>
                <wp:wrapNone/>
                <wp:docPr id="189" name="Frame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8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472440" cy="293370"/>
                <wp:effectExtent l="0" t="0" r="0" b="0"/>
                <wp:wrapNone/>
                <wp:docPr id="190" name="Frame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2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9">
                <wp:simplePos x="0" y="0"/>
                <wp:positionH relativeFrom="page">
                  <wp:posOffset>2129790</wp:posOffset>
                </wp:positionH>
                <wp:positionV relativeFrom="line">
                  <wp:posOffset>635</wp:posOffset>
                </wp:positionV>
                <wp:extent cx="4899660" cy="146685"/>
                <wp:effectExtent l="0" t="0" r="0" b="0"/>
                <wp:wrapNone/>
                <wp:docPr id="191" name="Frame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96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of 20% or more of the Company’s issued and outstanding common stock as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5.8pt;height:11.55pt;mso-wrap-distance-left:0pt;mso-wrap-distance-right:0pt;mso-wrap-distance-top:0pt;mso-wrap-distance-bottom:0pt;margin-top:0pt;mso-position-vertical:top;mso-position-vertical-relative:text;margin-left:16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of 20% or more of the Company’s issued and outstanding common stock as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" name="Frame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92095" cy="293370"/>
                <wp:effectExtent l="0" t="0" r="0" b="0"/>
                <wp:wrapNone/>
                <wp:docPr id="193" name="Frame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0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October 2, 2024, pursuant to the SEPA with Yorkville;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9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October 2, 2024, pursuant to the SEPA with Yorkville;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Innventure, Inc.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6900 Tavistock Lakes Boulevard, Suite 400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Orlando, Florida 32827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investorrelations@innventure.com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  <w:t>-i-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TABLE OF CONTENTS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  <w:t>-ii-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z w:val="20"/>
          <w:shd w:fill="E4E4E4" w:val="clear"/>
        </w:rPr>
        <w:t>TABLE OF CONTENTS</w:t>
      </w:r>
    </w:p>
    <w:p>
      <w:pPr>
        <w:pStyle w:val="TextBody"/>
        <w:bidi w:val="0"/>
        <w:spacing w:lineRule="atLeast" w:line="166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z w:val="24"/>
          <w:shd w:fill="E4E4E4" w:val="clear"/>
        </w:rPr>
        <w:t>(continued)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</w:t>
      </w:r>
      <w:r>
        <mc:AlternateContent>
          <mc:Choice Requires="wps">
            <w:drawing>
              <wp:anchor behindDoc="0" distT="0" distB="0" distL="0" distR="0" simplePos="0" locked="0" layoutInCell="1" allowOverlap="1" relativeHeight="8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4" name="Frame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Exchange Commission (the “SEC”), including the “Risk Factors” section of our Annual Report on Form 10-K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Exchange Commission (the “SEC”), including the “Risk Factors” section of our Annual Report on Form 10-K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156585" cy="293370"/>
                <wp:effectExtent l="0" t="0" r="0" b="0"/>
                <wp:wrapNone/>
                <wp:docPr id="195" name="Frame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65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occurrence of unanticipated events, except as required by law.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8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occurrence of unanticipated events, except as required by law.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" name="Frame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7" name="Frame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Form 10-K for the fiscal year ended December 31, 2024, to reflect new events or circumstances, new information 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Form 10-K for the fiscal year ended December 31, 2024, to reflect new events or circumstances, new information 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" name="Frame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99" name="Frame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undertake no obligation to update any forward-looking statements made in this Proxy Statement or in our Annual Report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undertake no obligation to update any forward-looking statements made in this Proxy Statement or in our Annual Report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" name="Frame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1" name="Frame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intentions or plans discussed in our forward-looking statements without notice at any time and for any reason and 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intentions or plans discussed in our forward-looking statements without notice at any time and for any reason and 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2" name="Frame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3" name="Frame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due to several factors, including those disclosed in our other filings with the SEC. We may change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due to several factors, including those disclosed in our other filings with the SEC. We may change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" name="Frame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5" name="Frame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fiscal year ended December 31, 2024. Actual events and results may differ materially from those anticipated by us in those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fiscal year ended December 31, 2024. Actual events and results may differ materially from those anticipated by us in those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" name="Frame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555750" cy="146685"/>
                <wp:effectExtent l="0" t="0" r="0" b="0"/>
                <wp:wrapNone/>
                <wp:docPr id="207" name="Frame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Forward-looking statements.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Forward-looking statements.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" name="Frame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9" name="Frame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These risks and uncertainties include, but are not limited to, the risks detailed in the Company’s filings with the Securities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These risks and uncertainties include, but are not limited to, the risks detailed in the Company’s filings with the Securities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" name="Frame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1" name="Frame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are not guarantees of future results and are based on current expectations only and are subject to uncertainties.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are not guarantees of future results and are based on current expectations only and are subject to uncertainties.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" name="Frame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3" name="Frame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amended (the “Exchange Act”), and are subject to the “safe harbor” protection thereunder. These forward-looking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amended (the “Exchange Act”), and are subject to the “safe harbor” protection thereunder. These forward-looking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" name="Frame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5" name="Frame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under the Securities Act of 1933, as amended (the “Securities Act”), and the Securities Exchange Act of 1934,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under the Securities Act of 1933, as amended (the “Securities Act”), and the Securities Exchange Act of 1934,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" name="Frame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7" name="Frame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this Proxy Statement identified by words such as “expects,” “believes,” “will” and similar expressions are forward-looking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this Proxy Statement identified by words such as “expects,” “believes,” “will” and similar expressions are forward-looking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" name="Frame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1">
                <wp:simplePos x="0" y="0"/>
                <wp:positionH relativeFrom="page">
                  <wp:posOffset>2755900</wp:posOffset>
                </wp:positionH>
                <wp:positionV relativeFrom="line">
                  <wp:posOffset>635</wp:posOffset>
                </wp:positionV>
                <wp:extent cx="4273550" cy="146685"/>
                <wp:effectExtent l="0" t="0" r="0" b="0"/>
                <wp:wrapNone/>
                <wp:docPr id="219" name="Frame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35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Except for historical and factual information contained herein, matters set forth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.5pt;height:11.55pt;mso-wrap-distance-left:0pt;mso-wrap-distance-right:0pt;mso-wrap-distance-top:0pt;mso-wrap-distance-bottom:0pt;margin-top:0pt;mso-position-vertical:top;mso-position-vertical-relative:text;margin-left:21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Except for historical and factual information contained herein, matters set forth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GENERAL INFORMATION ABOUT THE ANNUAL MEETING AND VOTING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</w:t>
      </w:r>
      <w:r>
        <mc:AlternateContent>
          <mc:Choice Requires="wps">
            <w:drawing>
              <wp:anchor behindDoc="0" distT="0" distB="0" distL="0" distR="0" simplePos="0" locked="0" layoutInCell="1" allowOverlap="1" relativeHeight="9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31315" cy="293370"/>
                <wp:effectExtent l="0" t="0" r="0" b="0"/>
                <wp:wrapNone/>
                <wp:docPr id="220" name="Frame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13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 and entitled to vote.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8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 and entitled to vote.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1" name="Frame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(the “Record Date”) will be entitled to vote at the Annual Meeting. On this Record Date, there were (i) 53,487,294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(the “Record Date”) will be entitled to vote at the Annual Meeting. On this Record Date, there were (i) 53,487,294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" name="Frame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3" name="Frame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common stock, par value $0.0001 per share (“Common Stock”), outstanding and entitled to vote; (ii) 239,159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common stock, par value $0.0001 per share (“Common Stock”), outstanding and entitled to vote; (ii) 239,159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" name="Frame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5" name="Frame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B Preferred Stock, par value of $0.0001 per share (the “Series B Preferred Stock”), outstanding and entitled to vote;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B Preferred Stock, par value of $0.0001 per share (the “Series B Preferred Stock”), outstanding and entitled to vote;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" name="Frame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7" name="Frame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(iii) 575,000 shares of Series C Preferred Stock, par value of $0.0001 per share (the “Series C Preferred Stock”),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(iii) 575,000 shares of Series C Preferred Stock, par value of $0.0001 per share (the “Series C Preferred Stock”),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" name="Frame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" name="Frame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3">
                <wp:simplePos x="0" y="0"/>
                <wp:positionH relativeFrom="page">
                  <wp:posOffset>2374265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" name="Frame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8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231" name="Frame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share of Common Stock is entitled to one vote on each matter to be voted on at the Annual Meeting.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share of Common Stock is entitled to one vote on each matter to be voted on at the Annual Meeting.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5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" name="Frame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33" name="Frame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 of our Series B Preferred Stock is entitled to 0.97 votes on each matter to be voted on at the Annual Meeting and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 of our Series B Preferred Stock is entitled to 0.97 votes on each matter to be voted on at the Annual Meeting and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" name="Frame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5" name="Frame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 of our Series C Preferred Stock is entitled to 1.3 votes on each matter to be voted on at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 of our Series C Preferred Stock is entitled to 1.3 votes on each matter to be voted on at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" name="Frame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652905" cy="293370"/>
                <wp:effectExtent l="0" t="0" r="0" b="0"/>
                <wp:wrapNone/>
                <wp:docPr id="237" name="Frame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29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of Proxy Materials.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1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of Proxy Materials.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7">
                <wp:simplePos x="0" y="0"/>
                <wp:positionH relativeFrom="page">
                  <wp:posOffset>3061335</wp:posOffset>
                </wp:positionH>
                <wp:positionV relativeFrom="line">
                  <wp:posOffset>635</wp:posOffset>
                </wp:positionV>
                <wp:extent cx="3967480" cy="146685"/>
                <wp:effectExtent l="0" t="0" r="0" b="0"/>
                <wp:wrapNone/>
                <wp:docPr id="238" name="Frame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74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At the Annual Meeting, our stockholders will consider and vote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4pt;height:11.55pt;mso-wrap-distance-left:0pt;mso-wrap-distance-right:0pt;mso-wrap-distance-top:0pt;mso-wrap-distance-bottom:0pt;margin-top:0pt;mso-position-vertical:top;mso-position-vertical-relative:text;margin-left:241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At the Annual Meeting, our stockholders will consider and vote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" name="Frame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33450" cy="293370"/>
                <wp:effectExtent l="0" t="0" r="0" b="0"/>
                <wp:wrapNone/>
                <wp:docPr id="240" name="Frame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matters: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matters: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293370"/>
                <wp:effectExtent l="0" t="0" r="0" b="0"/>
                <wp:wrapNone/>
                <wp:docPr id="241" name="Frame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of the date of this Proxy Statement, we are not aware of any business to come before the meeting other than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of the date of this Proxy Statement, we are not aware of any business to come before the meeting other than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" name="Frame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34465" cy="293370"/>
                <wp:effectExtent l="0" t="0" r="0" b="0"/>
                <wp:wrapNone/>
                <wp:docPr id="243" name="Frame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44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first four items noted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first four items noted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991360" cy="146685"/>
                <wp:effectExtent l="0" t="0" r="0" b="0"/>
                <wp:wrapNone/>
                <wp:docPr id="244" name="Frame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13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Board of Directors Recommendation.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6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Board of Directors Recommendation.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4">
                <wp:simplePos x="0" y="0"/>
                <wp:positionH relativeFrom="page">
                  <wp:posOffset>3191510</wp:posOffset>
                </wp:positionH>
                <wp:positionV relativeFrom="line">
                  <wp:posOffset>635</wp:posOffset>
                </wp:positionV>
                <wp:extent cx="3309620" cy="146685"/>
                <wp:effectExtent l="0" t="0" r="0" b="0"/>
                <wp:wrapNone/>
                <wp:docPr id="245" name="Frame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962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of Directors unanimously recommends that you vote: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6pt;height:11.55pt;mso-wrap-distance-left:0pt;mso-wrap-distance-right:0pt;mso-wrap-distance-top:0pt;mso-wrap-distance-bottom:0pt;margin-top:0pt;mso-position-vertical:top;mso-position-vertical-relative:text;margin-left:251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of Directors unanimously recommends that you vote: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861185" cy="146685"/>
                <wp:effectExtent l="0" t="0" r="0" b="0"/>
                <wp:wrapNone/>
                <wp:docPr id="246" name="Frame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1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Purpose of the Annual Meeting.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6.5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Purpose of the Annual Meeting.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6">
                <wp:simplePos x="0" y="0"/>
                <wp:positionH relativeFrom="page">
                  <wp:posOffset>2853055</wp:posOffset>
                </wp:positionH>
                <wp:positionV relativeFrom="line">
                  <wp:posOffset>635</wp:posOffset>
                </wp:positionV>
                <wp:extent cx="4175125" cy="175260"/>
                <wp:effectExtent l="0" t="0" r="0" b="0"/>
                <wp:wrapNone/>
                <wp:docPr id="247" name="Frame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5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Proxy materials, including this Proxy Statement, a proxy card and our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8.75pt;height:13.8pt;mso-wrap-distance-left:0pt;mso-wrap-distance-right:0pt;mso-wrap-distance-top:0pt;mso-wrap-distance-bottom:0pt;margin-top:0pt;mso-position-vertical:top;mso-position-vertical-relative:text;margin-left:22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Proxy materials, including this Proxy Statement, a proxy card and our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" name="Frame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9" name="Frame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Report, which we filed with the SEC on April 14, 2025, are available for viewing, printing and downloading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Report, which we filed with the SEC on April 14, 2025, are available for viewing, printing and downloading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0" name="Frame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03630" cy="293370"/>
                <wp:effectExtent l="0" t="0" r="0" b="0"/>
                <wp:wrapNone/>
                <wp:docPr id="251" name="Frame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106930" cy="146685"/>
                <wp:effectExtent l="0" t="0" r="0" b="0"/>
                <wp:wrapNone/>
                <wp:docPr id="252" name="Frame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6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Who Can Vote at the Annual Meeting?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Who Can Vote at the Annual Meeting?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2">
                <wp:simplePos x="0" y="0"/>
                <wp:positionH relativeFrom="page">
                  <wp:posOffset>3307080</wp:posOffset>
                </wp:positionH>
                <wp:positionV relativeFrom="line">
                  <wp:posOffset>635</wp:posOffset>
                </wp:positionV>
                <wp:extent cx="3722370" cy="146685"/>
                <wp:effectExtent l="0" t="0" r="0" b="0"/>
                <wp:wrapNone/>
                <wp:docPr id="253" name="Frame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23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Only stockholders of record at the close of business on April 28, 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1pt;height:11.55pt;mso-wrap-distance-left:0pt;mso-wrap-distance-right:0pt;mso-wrap-distance-top:0pt;mso-wrap-distance-bottom:0pt;margin-top:0pt;mso-position-vertical:top;mso-position-vertical-relative:text;margin-left:260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Only stockholders of record at the close of business on April 28, 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Difference Between a “Shareholder of Record” and a Beneficial Owner of Shares Held in “Street Name”.</w:t>
      </w:r>
      <w:r>
        <mc:AlternateContent>
          <mc:Choice Requires="wps">
            <w:drawing>
              <wp:anchor behindDoc="0" distT="0" distB="0" distL="0" distR="0" simplePos="0" locked="0" layoutInCell="1" allowOverlap="1" relativeHeight="9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4" name="Frame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Furthermore, each holder of Common Stock shall vote together with the holders of the Series B Preferred Stock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Furthermore, each holder of Common Stock shall vote together with the holders of the Series B Preferred Stock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" name="Frame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20900" cy="293370"/>
                <wp:effectExtent l="0" t="0" r="0" b="0"/>
                <wp:wrapNone/>
                <wp:docPr id="256" name="Frame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C Preferred Stock as a single class.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C Preferred Stock as a single class.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</w:t>
      </w:r>
      <w:r>
        <mc:AlternateContent>
          <mc:Choice Requires="wps">
            <w:drawing>
              <wp:anchor behindDoc="0" distT="0" distB="0" distL="0" distR="0" simplePos="0" locked="0" layoutInCell="1" allowOverlap="1" relativeHeight="9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7" name="Frame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8" name="Frame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Statement, our proxy card, and our 2024 Annual Report.  We will send the Notice of Availability on or about May 9,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Statement, our proxy card, and our 2024 Annual Report.  We will send the Notice of Availability on or about May 9,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" name="Frame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0" name="Frame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beneficial owners of our Common Stock a copy of the Notice of Availability instead of paper copies of this Proxy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beneficial owners of our Common Stock a copy of the Notice of Availability instead of paper copies of this Proxy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" name="Frame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2" name="Frame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materials over the Internet under the “notice and access” approach.  As a result, we are sending our stockholders of record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materials over the Internet under the “notice and access” approach.  As a result, we are sending our stockholders of record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" name="Frame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4">
                <wp:simplePos x="0" y="0"/>
                <wp:positionH relativeFrom="page">
                  <wp:posOffset>1981835</wp:posOffset>
                </wp:positionH>
                <wp:positionV relativeFrom="line">
                  <wp:posOffset>635</wp:posOffset>
                </wp:positionV>
                <wp:extent cx="5047615" cy="321945"/>
                <wp:effectExtent l="0" t="0" r="0" b="0"/>
                <wp:wrapNone/>
                <wp:docPr id="264" name="Frame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61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pleased to comply with the rules of the SEC that allow companies to distribute their proxy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7.45pt;height:25.35pt;mso-wrap-distance-left:0pt;mso-wrap-distance-right:0pt;mso-wrap-distance-top:0pt;mso-wrap-distance-bottom:0pt;margin-top:0pt;mso-position-vertical:top;mso-position-vertical-relative:text;margin-left:156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pleased to comply with the rules of the SEC that allow companies to distribute their proxy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38885" cy="293370"/>
                <wp:effectExtent l="0" t="0" r="0" b="0"/>
                <wp:wrapNone/>
                <wp:docPr id="265" name="Frame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8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Set of Proxy Materials?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Set of Proxy Materials?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" name="Frame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93370"/>
                <wp:effectExtent l="0" t="0" r="0" b="0"/>
                <wp:wrapNone/>
                <wp:docPr id="267" name="Frame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Why Did I Receive a Notice in the Mail Regarding the Internet Availability of Proxy Materials instead of a Full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Why Did I Receive a Notice in the Mail Regarding the Internet Availability of Proxy Materials instead of a Full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51275" cy="293370"/>
                <wp:effectExtent l="0" t="0" r="0" b="0"/>
                <wp:wrapNone/>
                <wp:docPr id="268" name="Frame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1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entitled to 1.3 votes on each matter to be voted on at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entitled to 1.3 votes on each matter to be voted on at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269" name="Frame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70" name="Frame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set forth in the Series C Certificate of Designation. Following this calculation, each share of our Series C Preferred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set forth in the Series C Certificate of Designation. Following this calculation, each share of our Series C Preferred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" name="Frame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72" name="Frame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as-converted basis, except as provided by law or applicable Nasdaq Listing Rules and subject to certain other limitations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as-converted basis, except as provided by law or applicable Nasdaq Listing Rules and subject to certain other limitations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3" name="Frame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4" name="Frame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Stock, and will vote with the holders of the Common Stock and Series B Preferred Stock as a single class and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Stock, and will vote with the holders of the Common Stock and Series B Preferred Stock as a single class and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5" name="Frame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6" name="Frame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Price (which shall have the meaning assigned in Nasdaq Listing Rule 5635(d)) as of the initial issue date of the Series 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Price (which shall have the meaning assigned in Nasdaq Listing Rule 5635(d)) as of the initial issue date of the Series 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" name="Frame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78" name="Frame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number of votes equal to (i) the Original Issue Price, which is $10.00, divided by (ii) $7.72, which is the Minimum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number of votes equal to (i) the Original Issue Price, which is $10.00, divided by (ii) $7.72, which is the Minimum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" name="Frame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0" name="Frame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starting at 8:45 a.m., Eastern Time, on June 25, 2025. You may attend the Annual Meeting online by following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starting at 8:45 a.m., Eastern Time, on June 25, 2025. You may attend the Annual Meeting online by following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54115" cy="293370"/>
                <wp:effectExtent l="0" t="0" r="0" b="0"/>
                <wp:wrapNone/>
                <wp:docPr id="281" name="Frame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technical difficulties you may have accessing the virtual meeting starting at 8:45 a.m., Eastern Time, on June 25,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2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technical difficulties you may have accessing the virtual meeting starting at 8:45 a.m., Eastern Time, on June 25,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" name="Frame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83" name="Frame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virtual meeting starting one hour before it begins.  We will have technicians standing by and ready to assist you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virtual meeting starting one hour before it begins.  We will have technicians standing by and ready to assist you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" name="Frame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5" name="Frame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into the Annual Meeting.  The Annual Meeting will start at 9:00 a.m., Eastern Time, on June 25, 2025.  You may log on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into the Annual Meeting.  The Annual Meeting will start at 9:00 a.m., Eastern Time, on June 25, 2025.  You may log on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" name="Frame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7" name="Frame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online registration.  Upon completing your registration, you will receive a verification email confirming your registration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online registration.  Upon completing your registration, you will receive a verification email confirming your registration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" name="Frame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89" name="Frame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Online registration for the Annual Meeting will begin on May 9, 2025 and you should allow ample time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Online registration for the Annual Meeting will begin on May 9, 2025 and you should allow ample time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40635" cy="293370"/>
                <wp:effectExtent l="0" t="0" r="0" b="0"/>
                <wp:wrapNone/>
                <wp:docPr id="290" name="Frame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6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instructions that you will receive once you log 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instructions that you will receive once you log 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1" name="Frame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92" name="Frame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held by the holder as of the Record Date, the holders of the Series C Preferred Stock will be entitled to cast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held by the holder as of the Record Date, the holders of the Series C Preferred Stock will be entitled to cast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3" name="Frame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4" name="Frame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attend in person.  In order to attend the meeting online, you must visit www.virtualshareholdermeeting.com/INV2025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attend in person.  In order to attend the meeting online, you must visit www.virtualshareholdermeeting.com/INV2025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" name="Frame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8">
                <wp:simplePos x="0" y="0"/>
                <wp:positionH relativeFrom="page">
                  <wp:posOffset>3666490</wp:posOffset>
                </wp:positionH>
                <wp:positionV relativeFrom="line">
                  <wp:posOffset>635</wp:posOffset>
                </wp:positionV>
                <wp:extent cx="3361055" cy="146685"/>
                <wp:effectExtent l="0" t="0" r="0" b="0"/>
                <wp:wrapNone/>
                <wp:docPr id="296" name="Frame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10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 will be a virtual meeting and you may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4.65pt;height:11.55pt;mso-wrap-distance-left:0pt;mso-wrap-distance-right:0pt;mso-wrap-distance-top:0pt;mso-wrap-distance-bottom:0pt;margin-top:0pt;mso-position-vertical:top;mso-position-vertical-relative:text;margin-left:288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 will be a virtual meeting and you may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466340" cy="146685"/>
                <wp:effectExtent l="0" t="0" r="0" b="0"/>
                <wp:wrapNone/>
                <wp:docPr id="297" name="Frame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How to Virtually Attend the Annual Meeting.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How to Virtually Attend the Annual Meeting.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03630" cy="293370"/>
                <wp:effectExtent l="0" t="0" r="0" b="0"/>
                <wp:wrapNone/>
                <wp:docPr id="298" name="Frame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9" name="Frame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00" name="Frame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Proxy Statement and our 2024 Annual Report are available for viewing, printing and downloading on the Internet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Proxy Statement and our 2024 Annual Report are available for viewing, printing and downloading on the Internet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1" name="Frame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2" name="Frame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Detailed instructions on how to access these materials via the Internet may be found in the Notice of Availability. 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Detailed instructions on how to access these materials via the Internet may be found in the Notice of Availability. 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03" name="Frame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are considered the beneficial owner of those shares, which are held in “street name.” In this case, your Notice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are considered the beneficial owner of those shares, which are held in “street name.” In this case, your Notice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4" name="Frame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4">
                <wp:simplePos x="0" y="0"/>
                <wp:positionH relativeFrom="page">
                  <wp:posOffset>4831715</wp:posOffset>
                </wp:positionH>
                <wp:positionV relativeFrom="line">
                  <wp:posOffset>635</wp:posOffset>
                </wp:positionV>
                <wp:extent cx="2197100" cy="146685"/>
                <wp:effectExtent l="0" t="0" r="0" b="0"/>
                <wp:wrapNone/>
                <wp:docPr id="305" name="Frame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Yes. As described in the certificate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pt;height:11.55pt;mso-wrap-distance-left:0pt;mso-wrap-distance-right:0pt;mso-wrap-distance-top:0pt;mso-wrap-distance-bottom:0pt;margin-top:0pt;mso-position-vertical:top;mso-position-vertical-relative:text;margin-left:380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Yes. As described in the certificate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631565" cy="146685"/>
                <wp:effectExtent l="0" t="0" r="0" b="0"/>
                <wp:wrapNone/>
                <wp:docPr id="306" name="Frame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15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Do the Series B Preferred Stock Holders Have Voting Rights?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5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Do the Series B Preferred Stock Holders Have Voting Rights?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06370" cy="293370"/>
                <wp:effectExtent l="0" t="0" r="0" b="0"/>
                <wp:wrapNone/>
                <wp:docPr id="307" name="Frame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6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instruction card provided to you by that organization.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instruction card provided to you by that organization.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8" name="Frame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9" name="Frame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organization as to how to vote the shares held in your account by following the instructions contained on the voting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organization as to how to vote the shares held in your account by following the instructions contained on the voting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" name="Frame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311" name="Frame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record for purposes of voting at the Annual Meeting.  As the beneficial owner, you have the right to instruct that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record for purposes of voting at the Annual Meeting.  As the beneficial owner, you have the right to instruct that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2" name="Frame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13" name="Frame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will be sent to you by that organization.  The organization holding your shares is considered the shareholder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will be sent to you by that organization.  The organization holding your shares is considered the shareholder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5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4" name="Frame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15" name="Frame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designation for the Series B Preferred Stock (the “Series B Certificate of Designation”), for each whole share of Series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designation for the Series B Preferred Stock (the “Series B Certificate of Designation”), for each whole share of Series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6" name="Frame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2">
                <wp:simplePos x="0" y="0"/>
                <wp:positionH relativeFrom="page">
                  <wp:posOffset>3706495</wp:posOffset>
                </wp:positionH>
                <wp:positionV relativeFrom="line">
                  <wp:posOffset>635</wp:posOffset>
                </wp:positionV>
                <wp:extent cx="3322320" cy="175260"/>
                <wp:effectExtent l="0" t="0" r="0" b="0"/>
                <wp:wrapNone/>
                <wp:docPr id="317" name="Frame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232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held by a bank, broker or other nominee, then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1.6pt;height:13.8pt;mso-wrap-distance-left:0pt;mso-wrap-distance-right:0pt;mso-wrap-distance-top:0pt;mso-wrap-distance-bottom:0pt;margin-top:0pt;mso-position-vertical:top;mso-position-vertical-relative:text;margin-left:29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held by a bank, broker or other nominee, then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506345" cy="293370"/>
                <wp:effectExtent l="0" t="0" r="0" b="0"/>
                <wp:wrapNone/>
                <wp:docPr id="318" name="Frame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 of Shares Held in Street Name.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3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 of Shares Held in Street Name.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80075" cy="293370"/>
                <wp:effectExtent l="0" t="0" r="0" b="0"/>
                <wp:wrapNone/>
                <wp:docPr id="319" name="Frame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00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the instructions contained in the Notice of Availability and in the section titled “How to Vote”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7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the instructions contained in the Notice of Availability and in the section titled “How to Vote”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0" name="Frame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21" name="Frame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has been sent to you directly by us.  You may vote your shares by proxy prior to the Annual Meeting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has been sent to you directly by us.  You may vote your shares by proxy prior to the Annual Meeting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2" name="Frame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23" name="Frame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Company, LLC, then you are considered the “shareholder of record” of those shares.  In this case, your Notice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Company, LLC, then you are considered the “shareholder of record” of those shares.  In this case, your Notice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4" name="Frame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4">
                <wp:simplePos x="0" y="0"/>
                <wp:positionH relativeFrom="page">
                  <wp:posOffset>2433955</wp:posOffset>
                </wp:positionH>
                <wp:positionV relativeFrom="line">
                  <wp:posOffset>635</wp:posOffset>
                </wp:positionV>
                <wp:extent cx="4594860" cy="146685"/>
                <wp:effectExtent l="0" t="0" r="0" b="0"/>
                <wp:wrapNone/>
                <wp:docPr id="325" name="Frame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48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registered directly in your name with our transfer agent, Equiniti Trust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1.8pt;height:11.55pt;mso-wrap-distance-left:0pt;mso-wrap-distance-right:0pt;mso-wrap-distance-top:0pt;mso-wrap-distance-bottom:0pt;margin-top:0pt;mso-position-vertical:top;mso-position-vertical-relative:text;margin-left:191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registered directly in your name with our transfer agent, Equiniti Trust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6" name="Frame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7" name="Frame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28" name="Frame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designation for the Series C Preferred Stock (the “Series C Certificate of Designation”), for each whole share of Series 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designation for the Series C Preferred Stock (the “Series C Certificate of Designation”), for each whole share of Series 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29" name="Frame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4">
                <wp:simplePos x="0" y="0"/>
                <wp:positionH relativeFrom="page">
                  <wp:posOffset>4793615</wp:posOffset>
                </wp:positionH>
                <wp:positionV relativeFrom="line">
                  <wp:posOffset>635</wp:posOffset>
                </wp:positionV>
                <wp:extent cx="2234565" cy="175260"/>
                <wp:effectExtent l="0" t="0" r="0" b="0"/>
                <wp:wrapNone/>
                <wp:docPr id="330" name="Frame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45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Yes. As described in the certificate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5.95pt;height:13.8pt;mso-wrap-distance-left:0pt;mso-wrap-distance-right:0pt;mso-wrap-distance-top:0pt;mso-wrap-distance-bottom:0pt;margin-top:0pt;mso-position-vertical:top;mso-position-vertical-relative:text;margin-left:377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Yes. As described in the certificate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593465" cy="146685"/>
                <wp:effectExtent l="0" t="0" r="0" b="0"/>
                <wp:wrapNone/>
                <wp:docPr id="331" name="Frame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4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Do the Series C Preferred Stock Holders Have Voting Rights?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2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Do the Series C Preferred Stock Holders Have Voting Rights?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4660" cy="293370"/>
                <wp:effectExtent l="0" t="0" r="0" b="0"/>
                <wp:wrapNone/>
                <wp:docPr id="332" name="Frame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3" name="Frame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34" name="Frame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calculation, each share of our Series B Preferred Stock is entitled to 0.97 votes on each matter to be voted on at the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calculation, each share of our Series B Preferred Stock is entitled to 0.97 votes on each matter to be voted on at the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5" name="Frame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36" name="Frame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(“Nasdaq”) and subject to certain other limitations as set forth in the Series B Certificate of Designation.  Following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(“Nasdaq”) and subject to certain other limitations as set forth in the Series B Certificate of Designation.  Following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233805" cy="146685"/>
                <wp:effectExtent l="0" t="0" r="0" b="0"/>
                <wp:wrapNone/>
                <wp:docPr id="337" name="Frame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8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Shareholder of Record.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Shareholder of Record.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38" name="Frame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as-converted basis, except as provided by law or applicable “Nasdaq Listing Rules” of the Nasdaq Global Market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as-converted basis, except as provided by law or applicable “Nasdaq Listing Rules” of the Nasdaq Global Market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39" name="Frame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40" name="Frame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Stock, and will vote with the holders of the Common Stock and Series C Preferred Stock as a single class and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Stock, and will vote with the holders of the Common Stock and Series C Preferred Stock as a single class and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1" name="Frame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42" name="Frame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Price (which shall have the meaning assigned in Nasdaq Listing Rule 5635(d)) as of the initial issue date of the Series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Price (which shall have the meaning assigned in Nasdaq Listing Rule 5635(d)) as of the initial issue date of the Series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3" name="Frame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344" name="Frame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number of votes equal to (i) the Original Issue Price, which is $10.00, divided by (ii) $10.35, which is the Minimum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number of votes equal to (i) the Original Issue Price, which is $10.00, divided by (ii) $10.35, which is the Minimum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5" name="Frame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46" name="Frame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held by the holder as of the Record Date, the holders of the Series B Preferred Stock will be entitled to cast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held by the holder as of the Record Date, the holders of the Series B Preferred Stock will be entitled to cast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7" name="Frame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 Serif" w:hAnsi="Arial;Sans Serif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May I See a List of Stockholders Entitled to Vote as of the Record Date?</w:t>
      </w:r>
      <w:r>
        <w:rPr>
          <w:rFonts w:ascii="Arial;Sans Serif" w:hAnsi="Arial;Sans 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A list of stockholders as of the close of business </w:t>
      </w:r>
      <w:r>
        <mc:AlternateContent>
          <mc:Choice Requires="wps">
            <w:drawing>
              <wp:anchor behindDoc="0" distT="0" distB="0" distL="0" distR="0" simplePos="0" locked="0" layoutInCell="1" allowOverlap="1" relativeHeight="108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48" name="Frame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560195" cy="146685"/>
                <wp:effectExtent l="0" t="0" r="0" b="0"/>
                <wp:wrapNone/>
                <wp:docPr id="349" name="Frame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Many Votes do I Have?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Many Votes do I Have?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15365" cy="293370"/>
                <wp:effectExtent l="0" t="0" r="0" b="0"/>
                <wp:wrapNone/>
                <wp:docPr id="350" name="Frame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5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as directed by you.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9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as directed by you.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1" name="Frame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52" name="Frame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of the Annual Meeting so that if you should become unable to attend the Annual Meeting your shares will be voted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of the Annual Meeting so that if you should become unable to attend the Annual Meeting your shares will be voted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3" name="Frame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54" name="Frame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Even if you plan to attend the Annual Meeting online, we urge you to vote your shares by proxy in advance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Even if you plan to attend the Annual Meeting online, we urge you to vote your shares by proxy in advance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11600" cy="293370"/>
                <wp:effectExtent l="0" t="0" r="0" b="0"/>
                <wp:wrapNone/>
                <wp:docPr id="355" name="Frame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16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able to vote your shares online while virtually attending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able to vote your shares online while virtually attending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56" name="Frame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57" name="Frame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addition, you will need your control number included on your Notice, proxy card or voting instruction form in order to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addition, you will need your control number included on your Notice, proxy card or voting instruction form in order to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4">
                <wp:simplePos x="0" y="0"/>
                <wp:positionH relativeFrom="page">
                  <wp:posOffset>2760345</wp:posOffset>
                </wp:positionH>
                <wp:positionV relativeFrom="line">
                  <wp:posOffset>635</wp:posOffset>
                </wp:positionV>
                <wp:extent cx="4268470" cy="175260"/>
                <wp:effectExtent l="0" t="0" r="0" b="0"/>
                <wp:wrapNone/>
                <wp:docPr id="358" name="Frame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847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own shares of our Common Stock, then on each matter to be voted upon,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6.1pt;height:13.8pt;mso-wrap-distance-left:0pt;mso-wrap-distance-right:0pt;mso-wrap-distance-top:0pt;mso-wrap-distance-bottom:0pt;margin-top:0pt;mso-position-vertical:top;mso-position-vertical-relative:text;margin-left:217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own shares of our Common Stock, then on each matter to be voted upon,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75260"/>
                <wp:effectExtent l="0" t="0" r="0" b="0"/>
                <wp:wrapNone/>
                <wp:docPr id="359" name="Frame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street name”, you must obtain a legal proxy from your bank, broker or other nominee to vote at the Annual Meeting. 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street name”, you must obtain a legal proxy from your bank, broker or other nominee to vote at the Annual Meeting. 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0" name="Frame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61" name="Frame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 the voting instruction card and any other materials that you receive from that organization. If your shares are held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 the voting instruction card and any other materials that you receive from that organization. If your shares are held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2" name="Frame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63" name="Frame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processes of the bank, broker or other nominee that holds your shares. Therefore, we urge you to carefully review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processes of the bank, broker or other nominee that holds your shares. Therefore, we urge you to carefully review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4" name="Frame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65" name="Frame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availability of telephone and Internet voting for beneficial owners of shares held in “street name” will depend on the voting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availability of telephone and Internet voting for beneficial owners of shares held in “street name” will depend on the voting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6" name="Frame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67" name="Frame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need to follow the instructions that your bank, broker or other nominee provides you. The voting deadlines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need to follow the instructions that your bank, broker or other nominee provides you. The voting deadlines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4">
                <wp:simplePos x="0" y="0"/>
                <wp:positionH relativeFrom="page">
                  <wp:posOffset>7061200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68" name="Frame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08425" cy="293370"/>
                <wp:effectExtent l="0" t="0" r="0" b="0"/>
                <wp:wrapNone/>
                <wp:docPr id="369" name="Frame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84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may submit questions until the Annual Meeting’s adjournment.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7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may submit questions until the Annual Meeting’s adjournment.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0" name="Frame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71" name="Frame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www.virtualshareholdermeeting.com/INV2025 to virtually attend, vote and submit questions during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www.virtualshareholdermeeting.com/INV2025 to virtually attend, vote and submit questions during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2" name="Frame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9">
                <wp:simplePos x="0" y="0"/>
                <wp:positionH relativeFrom="page">
                  <wp:posOffset>5163185</wp:posOffset>
                </wp:positionH>
                <wp:positionV relativeFrom="line">
                  <wp:posOffset>635</wp:posOffset>
                </wp:positionV>
                <wp:extent cx="1865630" cy="175260"/>
                <wp:effectExtent l="0" t="0" r="0" b="0"/>
                <wp:wrapNone/>
                <wp:docPr id="373" name="Frame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56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should visit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6.9pt;height:13.8pt;mso-wrap-distance-left:0pt;mso-wrap-distance-right:0pt;mso-wrap-distance-top:0pt;mso-wrap-distance-bottom:0pt;margin-top:0pt;mso-position-vertical:top;mso-position-vertical-relative:text;margin-left:40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should visit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963035" cy="146685"/>
                <wp:effectExtent l="0" t="0" r="0" b="0"/>
                <wp:wrapNone/>
                <wp:docPr id="374" name="Frame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30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Do I Submit a Question at the Annual Meeting?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0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Do I Submit a Question at the Annual Meeting?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68975" cy="293370"/>
                <wp:effectExtent l="0" t="0" r="0" b="0"/>
                <wp:wrapNone/>
                <wp:docPr id="375" name="Frame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89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requesting and returning a paper proxy card, or by voting online while virtually attending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4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requesting and returning a paper proxy card, or by voting online while virtually attending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6" name="Frame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77" name="Frame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No. The Notice of Availability and proxy card contain instructions on how to vote by proxy via the Internet, by telephone,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No. The Notice of Availability and proxy card contain instructions on how to vote by proxy via the Internet, by telephone,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78" name="Frame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61050" cy="146685"/>
                <wp:effectExtent l="0" t="0" r="0" b="0"/>
                <wp:wrapNone/>
                <wp:docPr id="379" name="Frame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10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Can I Vote My Shares by Filling Out and Returning the Notice of Internet Availability of Proxy Materials?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1.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Can I Vote My Shares by Filling Out and Returning the Notice of Internet Availability of Proxy Materials?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068570" cy="293370"/>
                <wp:effectExtent l="0" t="0" r="0" b="0"/>
                <wp:wrapNone/>
                <wp:docPr id="380" name="Frame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85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upon, you have 1.3 votes for each share of Series C Preferred Stock you own as of the Record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9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upon, you have 1.3 votes for each share of Series C Preferred Stock you own as of the Record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1" name="Frame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82" name="Frame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you own as of the Record Date.  If you own shares of Series C Preferred Stock, then on each matter to be voted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you own as of the Record Date.  If you own shares of Series C Preferred Stock, then on each matter to be voted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3" name="Frame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84" name="Frame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B Preferred Stock, then on each matter to be voted upon, you have 0.97 votes for each share of Series B Preferred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B Preferred Stock, then on each matter to be voted upon, you have 0.97 votes for each share of Series B Preferred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5" name="Frame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86" name="Frame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have one vote for each share of Common Stock you own as of April 28, 2025, the Record Date. If you own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have one vote for each share of Common Stock you own as of April 28, 2025, the Record Date. If you own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87" name="Frame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88" name="Frame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103630" cy="293370"/>
                <wp:effectExtent l="0" t="0" r="0" b="0"/>
                <wp:wrapNone/>
                <wp:docPr id="389" name="Frame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3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www.proxyvote.com.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6.9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www.proxyvote.com.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0" name="Frame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391" name="Frame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Availability or proxy card in hand when you access the website.  The website for voting is available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Availability or proxy card in hand when you access the website.  The website for voting is available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2" name="Frame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393" name="Frame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instructions provided in the Notice of Availability and on the proxy card.  You will need to have your Notice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instructions provided in the Notice of Availability and on the proxy card.  You will need to have your Notice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94" name="Frame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395" name="Frame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Via the Internet Prior to the Annual Meeting.  You may transmit your proxy via the Internet by following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Via the Internet Prior to the Annual Meeting.  You may transmit your proxy via the Internet by following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96" name="Frame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429760" cy="293370"/>
                <wp:effectExtent l="0" t="0" r="0" b="0"/>
                <wp:wrapNone/>
                <wp:docPr id="397" name="Frame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7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will need to have your Notice of Availability or proxy card in hand when you call.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8.8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will need to have your Notice of Availability or proxy card in hand when you call.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98" name="Frame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399" name="Frame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1-800-690-6903 and following the instructions provided in the Notice of Availability and on the proxy card.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1-800-690-6903 and following the instructions provided in the Notice of Availability and on the proxy card.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0" name="Frame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401" name="Frame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Telephone Prior to the Annual Meeting.  You may transmit your proxy over the phone by calling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Telephone Prior to the Annual Meeting.  You may transmit your proxy over the phone by calling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4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02" name="Frame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89425" cy="293370"/>
                <wp:effectExtent l="0" t="0" r="0" b="0"/>
                <wp:wrapNone/>
                <wp:docPr id="403" name="Frame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94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Meeting, you may do so by telephone, via the Internet or by mail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7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Meeting, you may do so by telephone, via the Internet or by mail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4" name="Frame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405" name="Frame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proxy prior to the Annual Meeting or online during the Annual Meeting.  If you choose to vote by proxy prior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proxy prior to the Annual Meeting or online during the Annual Meeting.  If you choose to vote by proxy prior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06" name="Frame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5">
                <wp:simplePos x="0" y="0"/>
                <wp:positionH relativeFrom="page">
                  <wp:posOffset>1887220</wp:posOffset>
                </wp:positionH>
                <wp:positionV relativeFrom="line">
                  <wp:posOffset>635</wp:posOffset>
                </wp:positionV>
                <wp:extent cx="5139690" cy="175260"/>
                <wp:effectExtent l="0" t="0" r="0" b="0"/>
                <wp:wrapNone/>
                <wp:docPr id="407" name="Frame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69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are the shareholder of record of your shares as of the Record Date, you can vote your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4.7pt;height:13.8pt;mso-wrap-distance-left:0pt;mso-wrap-distance-right:0pt;mso-wrap-distance-top:0pt;mso-wrap-distance-bottom:0pt;margin-top:0pt;mso-position-vertical:top;mso-position-vertical-relative:text;margin-left:148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are the shareholder of record of your shares as of the Record Date, you can vote your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08" name="Frame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Telephone and Internet voting for stockholders of record will be available until 11:59 p.m. Eastern Time on June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Telephone and Internet voting for stockholders of record will be available until 11:59 p.m. Eastern Time on June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409" name="Frame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have been forwarded to you by the bank, broker or other nominee that holds your shares.  In order to vote your shares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have been forwarded to you by the bank, broker or other nominee that holds your shares.  In order to vote your shares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0" name="Frame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11" name="Frame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your behalf according to your instructions. The proxy materials, as well as voting and revocation instructions, should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your behalf according to your instructions. The proxy materials, as well as voting and revocation instructions, should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7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2" name="Frame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413" name="Frame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held in “street name”, your bank, broker or other nominee is required to vote the shares it holds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held in “street name”, your bank, broker or other nominee is required to vote the shares it holds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46480" cy="293370"/>
                <wp:effectExtent l="0" t="0" r="0" b="0"/>
                <wp:wrapNone/>
                <wp:docPr id="414" name="Frame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4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5" name="Frame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16" name="Frame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24, 2025, and mailed proxy cards must be received by 11:59 p.m. Eastern Time on June 24, 2025 in order to be counted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24, 2025, and mailed proxy cards must be received by 11:59 p.m. Eastern Time on June 24, 2025 in order to be counted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17" name="Frame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3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687070" cy="293370"/>
                <wp:effectExtent l="0" t="0" r="0" b="0"/>
                <wp:wrapNone/>
                <wp:docPr id="418" name="Frame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to Vote.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1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to Vote.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65140" cy="293370"/>
                <wp:effectExtent l="0" t="0" r="0" b="0"/>
                <wp:wrapNone/>
                <wp:docPr id="419" name="Frame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51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visiting www.virtualshareholdermeeting.com/INV2025 starting at 8:45 a.m., Eastern Time, on June 25,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8.2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visiting www.virtualshareholdermeeting.com/INV2025 starting at 8:45 a.m., Eastern Time, on June 25,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0" name="Frame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421" name="Frame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 by following the instructions found on your Notice, proxy card and/or voting instruction form and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 by following the instructions found on your Notice, proxy card and/or voting instruction form and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2" name="Frame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423" name="Frame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Online during the Annual Meeting. You may vote your shares online while virtually attending the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Online during the Annual Meeting. You may vote your shares online while virtually attending the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424" name="Frame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058795" cy="293370"/>
                <wp:effectExtent l="0" t="0" r="0" b="0"/>
                <wp:wrapNone/>
                <wp:docPr id="425" name="Frame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7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mailing your proxy card as described in the proxy materials.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0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mailing your proxy card as described in the proxy materials.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6" name="Frame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5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427" name="Frame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Mail Prior to the Annual Meeting.  If you requested printed copies of proxy materials, you may vote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Mail Prior to the Annual Meeting.  If you requested printed copies of proxy materials, you may vote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on the Record Date will be available for examination by stockholders during the Annual Meeting and for a period of 10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days prior to the Annual Meeting. If you would like to view the stockholder list in advance of the Annual Meeting, please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contact us at investorrelations@innventure.com to schedule an appointment and make arrangements.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5</w:t>
      </w:r>
      <w:r>
        <mc:AlternateContent>
          <mc:Choice Requires="wps">
            <w:drawing>
              <wp:anchor behindDoc="0" distT="0" distB="0" distL="0" distR="0" simplePos="0" locked="0" layoutInCell="1" allowOverlap="1" relativeHeight="1169">
                <wp:simplePos x="0" y="0"/>
                <wp:positionH relativeFrom="page">
                  <wp:posOffset>2042160</wp:posOffset>
                </wp:positionH>
                <wp:positionV relativeFrom="line">
                  <wp:posOffset>635</wp:posOffset>
                </wp:positionV>
                <wp:extent cx="4985385" cy="175260"/>
                <wp:effectExtent l="0" t="0" r="0" b="0"/>
                <wp:wrapNone/>
                <wp:docPr id="428" name="Frame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53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Proposal 1, directors shall be elected by a plurality of the votes cast (meaning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55pt;height:13.8pt;mso-wrap-distance-left:0pt;mso-wrap-distance-right:0pt;mso-wrap-distance-top:0pt;mso-wrap-distance-bottom:0pt;margin-top:0pt;mso-position-vertical:top;mso-position-vertical-relative:text;margin-left:16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Proposal 1, directors shall be elected by a plurality of the votes cast (meaning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29" name="Frame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30" name="Frame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number of shares voted “for” a proposal must exceed the number of shares voted “against” such proposal). Abstentions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number of shares voted “for” a proposal must exceed the number of shares voted “against” such proposal). Abstentions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1" name="Frame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32" name="Frame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Adoption of each of Proposals 2, 3 and 4 requires the affirmative vote of the majority of the votes cast (meaning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Adoption of each of Proposals 2, 3 and 4 requires the affirmative vote of the majority of the votes cast (meaning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8160" cy="293370"/>
                <wp:effectExtent l="0" t="0" r="0" b="0"/>
                <wp:wrapNone/>
                <wp:docPr id="433" name="Frame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4" name="Frame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35" name="Frame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broker non-votes are not considered votes cast for the foregoing purpose, and will have no effect on the election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broker non-votes are not considered votes cast for the foregoing purpose, and will have no effect on the election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6" name="Frame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37" name="Frame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the directors who receive the highest number of shares voted “for” their election are elected). “Withhold” votes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the directors who receive the highest number of shares voted “for” their election are elected). “Withhold” votes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7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38" name="Frame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439" name="Frame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broker non-votes, as applicable, are not considered votes cast for the foregoing purpose, and will have no effect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broker non-votes, as applicable, are not considered votes cast for the foregoing purpose, and will have no effect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42010" cy="293370"/>
                <wp:effectExtent l="0" t="0" r="0" b="0"/>
                <wp:wrapNone/>
                <wp:docPr id="440" name="Frame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0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Votes Required.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3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Votes Required.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648200" cy="293370"/>
                <wp:effectExtent l="0" t="0" r="0" b="0"/>
                <wp:wrapNone/>
                <wp:docPr id="441" name="Frame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82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Please instruct your bank, broker or other nominee to ensure that your vote will be counted.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6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Please instruct your bank, broker or other nominee to ensure that your vote will be counted.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77210" cy="293370"/>
                <wp:effectExtent l="0" t="0" r="0" b="0"/>
                <wp:wrapNone/>
                <wp:docPr id="442" name="Frame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on Proposal 2 even in the absence of your instruction.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2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on Proposal 2 even in the absence of your instruction.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3" name="Frame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444" name="Frame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accounting firm for the fiscal year ending December 31, 2025, is a routine matter so your broker or nominee may vote your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accounting firm for the fiscal year ending December 31, 2025, is a routine matter so your broker or nominee may vote your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5" name="Frame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446" name="Frame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 or 4 without your instructions. Proposal 2, the ratification of BDO USA, P.C. as our independent registered public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 or 4 without your instructions. Proposal 2, the ratification of BDO USA, P.C. as our independent registered public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47" name="Frame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448" name="Frame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Proposals 1, 3 and 4 are non-routine matters, so your broker or nominee may not vote your shares on Proposals 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Proposals 1, 3 and 4 are non-routine matters, so your broker or nominee may not vote your shares on Proposals 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29180" cy="293370"/>
                <wp:effectExtent l="0" t="0" r="0" b="0"/>
                <wp:wrapNone/>
                <wp:docPr id="449" name="Frame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present at the meeting are marked ABSTAIN.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3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present at the meeting are marked ABSTAIN.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0" name="Frame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1">
                <wp:simplePos x="0" y="0"/>
                <wp:positionH relativeFrom="page">
                  <wp:posOffset>3820160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1" name="Frame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0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77210" cy="293370"/>
                <wp:effectExtent l="0" t="0" r="0" b="0"/>
                <wp:wrapNone/>
                <wp:docPr id="452" name="Frame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Otherwise, your broker will vote Proposal 2 in its discretion.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2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Otherwise, your broker will vote Proposal 2 in its discretion.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3" name="Frame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54" name="Frame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wish to vote “for,” “against” or “abstain” from Proposal 2, you will have to provide your broker with such an instruction.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wish to vote “for,” “against” or “abstain” from Proposal 2, you will have to provide your broker with such an instruction.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5" name="Frame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56" name="Frame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 should a beneficial holder not provide voting instructions. For that reason, if you are a beneficial holder and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 should a beneficial holder not provide voting instructions. For that reason, if you are a beneficial holder and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57" name="Frame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458" name="Frame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 2 is considered a routine matter on which the broker will have discretionary authority to vote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 2 is considered a routine matter on which the broker will have discretionary authority to vote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71290" cy="293370"/>
                <wp:effectExtent l="0" t="0" r="0" b="0"/>
                <wp:wrapNone/>
                <wp:docPr id="459" name="Frame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2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votes, as applicable, will have no effect on the vote for any of these proposals.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2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votes, as applicable, will have no effect on the vote for any of these proposals.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75260"/>
                <wp:effectExtent l="0" t="0" r="0" b="0"/>
                <wp:wrapNone/>
                <wp:docPr id="460" name="Frame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abstain” from voting with respect to any of these proposals, your vote will have no effect for that proposal. Broker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abstain” from voting with respect to any of these proposals, your vote will have no effect for that proposal. Broker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1" name="Frame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62" name="Frame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each of Proposals 2, 3 and 4, you may vote “for,” “against” or “abstain” from voting. If you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each of Proposals 2, 3 and 4, you may vote “for,” “against” or “abstain” from voting. If you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96940" cy="293370"/>
                <wp:effectExtent l="0" t="0" r="0" b="0"/>
                <wp:wrapNone/>
                <wp:docPr id="463" name="Frame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69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have no effect on the election of such nominees. Broker non-votes will have no effect on the election of the 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have no effect on the election of such nominees. Broker non-votes will have no effect on the election of the 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4" name="Frame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465" name="Frame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director nominees. If you “withhold” authority to vote with respect to one or more director nominees, your vote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director nominees. If you “withhold” authority to vote with respect to one or more director nominees, your vote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6" name="Frame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5">
                <wp:simplePos x="0" y="0"/>
                <wp:positionH relativeFrom="page">
                  <wp:posOffset>2281555</wp:posOffset>
                </wp:positionH>
                <wp:positionV relativeFrom="line">
                  <wp:posOffset>635</wp:posOffset>
                </wp:positionV>
                <wp:extent cx="4745355" cy="146685"/>
                <wp:effectExtent l="0" t="0" r="0" b="0"/>
                <wp:wrapNone/>
                <wp:docPr id="467" name="Frame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53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Proposal 1, you may vote “for” or “withhold” authority to vote for each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3.65pt;height:11.55pt;mso-wrap-distance-left:0pt;mso-wrap-distance-right:0pt;mso-wrap-distance-top:0pt;mso-wrap-distance-bottom:0pt;margin-top:0pt;mso-position-vertical:top;mso-position-vertical-relative:text;margin-left:179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Proposal 1, you may vote “for” or “withhold” authority to vote for each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81405" cy="146685"/>
                <wp:effectExtent l="0" t="0" r="0" b="0"/>
                <wp:wrapNone/>
                <wp:docPr id="468" name="Frame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14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 You May Vote.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 You May Vote.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3">
                <wp:simplePos x="0" y="0"/>
                <wp:positionH relativeFrom="page">
                  <wp:posOffset>1856740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69" name="Frame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4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13790" cy="293370"/>
                <wp:effectExtent l="0" t="0" r="0" b="0"/>
                <wp:wrapNone/>
                <wp:docPr id="470" name="Frame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7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 for this proposal.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 for this proposal.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1" name="Frame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2" name="Frame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4835" cy="293370"/>
                <wp:effectExtent l="0" t="0" r="0" b="0"/>
                <wp:wrapNone/>
                <wp:docPr id="473" name="Frame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8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obtained.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obtained.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4" name="Frame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75" name="Frame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remote communication at the meeting. If a quorum is not present, we expect to adjourn the Annual Meeting until a quorum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remote communication at the meeting. If a quorum is not present, we expect to adjourn the Annual Meeting until a quorum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6" name="Frame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293370"/>
                <wp:effectExtent l="0" t="0" r="0" b="0"/>
                <wp:wrapNone/>
                <wp:docPr id="477" name="Frame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present virtually during the Annual Meeting will be considered shares represented in person or by means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present virtually during the Annual Meeting will be considered shares represented in person or by means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6720" cy="293370"/>
                <wp:effectExtent l="0" t="0" r="0" b="0"/>
                <wp:wrapNone/>
                <wp:docPr id="478" name="Frame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quorum.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quorum.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79" name="Frame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80" name="Frame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shares representing 27,233,390 votes must be present in person or represented by proxy at the meeting to have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shares representing 27,233,390 votes must be present in person or represented by proxy at the meeting to have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1" name="Frame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82" name="Frame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Series B Preferred Stock entitled to 0.97 votes, and each share of Series C Preferred Stock entitled to 1.3 votes. Thus,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Series B Preferred Stock entitled to 0.97 votes, and each share of Series C Preferred Stock entitled to 1.3 votes. Thus,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483" name="Frame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broker “non-vote” occurs when (i) a broker or other nominee holds shares for a beneficial owner,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broker “non-vote” occurs when (i) a broker or other nominee holds shares for a beneficial owner,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484" name="Frame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outstanding and entitled to vote, with each share of Common Stock entitled to one vote, each share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outstanding and entitled to vote, with each share of Common Stock entitled to one vote, each share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5" name="Frame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486" name="Frame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(ii) 239,159 shares of Series B Preferred Stock outstanding and entitled to vote; and (iii) 575,000 shares of Series 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(ii) 239,159 shares of Series B Preferred Stock outstanding and entitled to vote; and (iii) 575,000 shares of Series 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87" name="Frame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2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488" name="Frame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Record Date, there were (i) 53,487,294 shares of Common Stock outstanding and entitled to vote;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Record Date, there were (i) 53,487,294 shares of Common Stock outstanding and entitled to vote;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10125" cy="293370"/>
                <wp:effectExtent l="0" t="0" r="0" b="0"/>
                <wp:wrapNone/>
                <wp:docPr id="489" name="Frame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01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by remote communication, if applicable, or represented by proxy, shall constitute a quorum.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8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by remote communication, if applicable, or represented by proxy, shall constitute a quorum.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0" name="Frame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491" name="Frame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voting power of the issued and outstanding shares of our capital stock entitled to vote at the meeting, present in person,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voting power of the issued and outstanding shares of our capital stock entitled to vote at the meeting, present in person,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2" name="Frame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5">
                <wp:simplePos x="0" y="0"/>
                <wp:positionH relativeFrom="page">
                  <wp:posOffset>1676400</wp:posOffset>
                </wp:positionH>
                <wp:positionV relativeFrom="line">
                  <wp:posOffset>635</wp:posOffset>
                </wp:positionV>
                <wp:extent cx="5353050" cy="175260"/>
                <wp:effectExtent l="0" t="0" r="0" b="0"/>
                <wp:wrapNone/>
                <wp:docPr id="493" name="Frame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quorum of stockholders is necessary to hold a valid Annual Meeting.  The holders of a majority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1.5pt;height:13.8pt;mso-wrap-distance-left:0pt;mso-wrap-distance-right:0pt;mso-wrap-distance-top:0pt;mso-wrap-distance-bottom:0pt;margin-top:0pt;mso-position-vertical:top;mso-position-vertical-relative:text;margin-left:13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quorum of stockholders is necessary to hold a valid Annual Meeting.  The holders of a majority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7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4" name="Frame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495" name="Frame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Abstentions represent a shareholder’s affirmative choice to decline to vote on a proposal and occur when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Abstentions represent a shareholder’s affirmative choice to decline to vote on a proposal and occur when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4660" cy="293370"/>
                <wp:effectExtent l="0" t="0" r="0" b="0"/>
                <wp:wrapNone/>
                <wp:docPr id="496" name="Frame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7" name="Frame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498" name="Frame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 nominees have such discretionary voting power, broker non-votes will be counted for quorum purposes at the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 nominees have such discretionary voting power, broker non-votes will be counted for quorum purposes at the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499" name="Frame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00" name="Frame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Meeting. Because there is a routine proposal presented at the Annual Meeting (Proposal 2) on which brokers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Meeting. Because there is a routine proposal presented at the Annual Meeting (Proposal 2) on which brokers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1" name="Frame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502" name="Frame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 specific voting instructions, can be voted for, against or in abstention for at least one proposal presented at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 specific voting instructions, can be voted for, against or in abstention for at least one proposal presented at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3" name="Frame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04" name="Frame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 who holds shares for a beneficial owner, where the beneficial owner has not given the respective broker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 who holds shares for a beneficial owner, where the beneficial owner has not given the respective broker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1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76250" cy="293370"/>
                <wp:effectExtent l="0" t="0" r="0" b="0"/>
                <wp:wrapNone/>
                <wp:docPr id="505" name="Frame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Quorum.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Quorum.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506" name="Frame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present for purposes of determining the presence of a quorum so long as the shares represented by a broker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present for purposes of determining the presence of a quorum so long as the shares represented by a broker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7" name="Frame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08" name="Frame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proposals that are considered “routine,” but not with respect to “non-routine” proposals. Broker non-votes are considered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proposals that are considered “routine,” but not with respect to “non-routine” proposals. Broker non-votes are considered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09" name="Frame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10" name="Frame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Meeting). Under applicable rules, a broker or other nominee has discretionary voting power only with respect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Meeting). Under applicable rules, a broker or other nominee has discretionary voting power only with respect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1" name="Frame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12" name="Frame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(iv) there is at least one routine proposal presented at the applicable meeting of stockholders (such as Proposal 2 at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(iv) there is at least one routine proposal presented at the applicable meeting of stockholders (such as Proposal 2 at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3" name="Frame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514" name="Frame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 has not given the respective broker specific voting instructions, (iii) the matter is non-routine in nature,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 has not given the respective broker specific voting instructions, (iii) the matter is non-routine in nature,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3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5" name="Frame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6</w:t>
      </w:r>
      <w:r>
        <mc:AlternateContent>
          <mc:Choice Requires="wps">
            <w:drawing>
              <wp:anchor behindDoc="0" distT="0" distB="0" distL="0" distR="0" simplePos="0" locked="0" layoutInCell="1" allowOverlap="1" relativeHeight="12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24050" cy="293370"/>
                <wp:effectExtent l="0" t="0" r="0" b="0"/>
                <wp:wrapNone/>
                <wp:docPr id="516" name="Frame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their reasonable expenses in doing so.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1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their reasonable expenses in doing so.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7" name="Frame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18" name="Frame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Act. To be eligible for inclusion, we must receive your shareholder proposal at our principal corporate offices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Act. To be eligible for inclusion, we must receive your shareholder proposal at our principal corporate offices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19" name="Frame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20" name="Frame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proxy card for the 2026 annual meeting of stockholders, you must follow the procedures outlined in Rule 14a-8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proxy card for the 2026 annual meeting of stockholders, you must follow the procedures outlined in Rule 14a-8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1" name="Frame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4">
                <wp:simplePos x="0" y="0"/>
                <wp:positionH relativeFrom="page">
                  <wp:posOffset>3632200</wp:posOffset>
                </wp:positionH>
                <wp:positionV relativeFrom="line">
                  <wp:posOffset>635</wp:posOffset>
                </wp:positionV>
                <wp:extent cx="3395345" cy="321945"/>
                <wp:effectExtent l="0" t="0" r="0" b="0"/>
                <wp:wrapNone/>
                <wp:docPr id="522" name="Frame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34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order to submit a proposal for inclusion in our proxy statement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35pt;height:25.35pt;mso-wrap-distance-left:0pt;mso-wrap-distance-right:0pt;mso-wrap-distance-top:0pt;mso-wrap-distance-bottom:0pt;margin-top:0pt;mso-position-vertical:top;mso-position-vertical-relative:text;margin-left:28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order to submit a proposal for inclusion in our proxy statement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432050" cy="293370"/>
                <wp:effectExtent l="0" t="0" r="0" b="0"/>
                <wp:wrapNone/>
                <wp:docPr id="523" name="Frame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0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2026 Stockholder Proposals and Nominations.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1.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2026 Stockholder Proposals and Nominations.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24905" cy="293370"/>
                <wp:effectExtent l="0" t="0" r="0" b="0"/>
                <wp:wrapNone/>
                <wp:docPr id="524" name="Frame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49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results in a Current Report on Form 8-K to be filed with the SEC within four business days following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0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results in a Current Report on Form 8-K to be filed with the SEC within four business days following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5" name="Frame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60">
                <wp:simplePos x="0" y="0"/>
                <wp:positionH relativeFrom="page">
                  <wp:posOffset>2012315</wp:posOffset>
                </wp:positionH>
                <wp:positionV relativeFrom="line">
                  <wp:posOffset>635</wp:posOffset>
                </wp:positionV>
                <wp:extent cx="5016500" cy="175260"/>
                <wp:effectExtent l="0" t="0" r="0" b="0"/>
                <wp:wrapNone/>
                <wp:docPr id="526" name="Frame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6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plan to announce preliminary voting results at the Annual Meeting and will publish final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pt;height:13.8pt;mso-wrap-distance-left:0pt;mso-wrap-distance-right:0pt;mso-wrap-distance-top:0pt;mso-wrap-distance-bottom:0pt;margin-top:0pt;mso-position-vertical:top;mso-position-vertical-relative:text;margin-left:158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plan to announce preliminary voting results at the Annual Meeting and will publish final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12165" cy="146685"/>
                <wp:effectExtent l="0" t="0" r="0" b="0"/>
                <wp:wrapNone/>
                <wp:docPr id="527" name="Frame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1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Voting Results.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Voting Results.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13430" cy="293370"/>
                <wp:effectExtent l="0" t="0" r="0" b="0"/>
                <wp:wrapNone/>
                <wp:docPr id="528" name="Frame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34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Orlando, Florida as set forth below no later than January 9,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0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Orlando, Florida as set forth below no later than January 9,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29" name="Frame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30" name="Frame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soliciting material to beneficial owners of Common Stock held of record by them, and we will reimburse those persons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soliciting material to beneficial owners of Common Stock held of record by them, and we will reimburse those persons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1" name="Frame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32" name="Frame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at nominal or no cost. Brokerage houses, nominees, custodians and fiduciaries will be requested to forward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at nominal or no cost. Brokerage houses, nominees, custodians and fiduciaries will be requested to forward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3" name="Frame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34" name="Frame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mail and may also use telephone or in person contacts, using the services of a number of regular employees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mail and may also use telephone or in person contacts, using the services of a number of regular employees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35" name="Frame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50">
                <wp:simplePos x="0" y="0"/>
                <wp:positionH relativeFrom="page">
                  <wp:posOffset>2684145</wp:posOffset>
                </wp:positionH>
                <wp:positionV relativeFrom="line">
                  <wp:posOffset>635</wp:posOffset>
                </wp:positionV>
                <wp:extent cx="4344035" cy="146685"/>
                <wp:effectExtent l="0" t="0" r="0" b="0"/>
                <wp:wrapNone/>
                <wp:docPr id="536" name="Frame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40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will pay the cost of soliciting proxies. The Company is making this solicitation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05pt;height:11.55pt;mso-wrap-distance-left:0pt;mso-wrap-distance-right:0pt;mso-wrap-distance-top:0pt;mso-wrap-distance-bottom:0pt;margin-top:0pt;mso-position-vertical:top;mso-position-vertical-relative:text;margin-left:211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will pay the cost of soliciting proxies. The Company is making this solicitation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83995" cy="146685"/>
                <wp:effectExtent l="0" t="0" r="0" b="0"/>
                <wp:wrapNone/>
                <wp:docPr id="537" name="Frame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9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Costs of Proxy Solicitation.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Costs of Proxy Solicitation.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91640" cy="293370"/>
                <wp:effectExtent l="0" t="0" r="0" b="0"/>
                <wp:wrapNone/>
                <wp:docPr id="538" name="Frame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6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automatically revoke your proxy.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3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automatically revoke your proxy.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39" name="Frame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close of business on February 25, 2026, and no later than the close of business on March 27, 2026. If your notice is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close of business on February 25, 2026, and no later than the close of business on March 27, 2026. If your notice is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0" name="Frame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41" name="Frame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comply with the SEC’s universal proxy rules and to solicit proxies in support of director nominees other than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comply with the SEC’s universal proxy rules and to solicit proxies in support of director nominees other than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2" name="Frame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9">
                <wp:simplePos x="0" y="0"/>
                <wp:positionH relativeFrom="page">
                  <wp:posOffset>2432050</wp:posOffset>
                </wp:positionH>
                <wp:positionV relativeFrom="line">
                  <wp:posOffset>635</wp:posOffset>
                </wp:positionV>
                <wp:extent cx="4596765" cy="146685"/>
                <wp:effectExtent l="0" t="0" r="0" b="0"/>
                <wp:wrapNone/>
                <wp:docPr id="543" name="Frame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67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 to satisfying the requirements under our Bylaws, if a shareholder intends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1.95pt;height:11.55pt;mso-wrap-distance-left:0pt;mso-wrap-distance-right:0pt;mso-wrap-distance-top:0pt;mso-wrap-distance-bottom:0pt;margin-top:0pt;mso-position-vertical:top;mso-position-vertical-relative:text;margin-left:19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 to satisfying the requirements under our Bylaws, if a shareholder intends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231900" cy="146685"/>
                <wp:effectExtent l="0" t="0" r="0" b="0"/>
                <wp:wrapNone/>
                <wp:docPr id="544" name="Frame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Universal Proxy Rules.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Universal Proxy Rules.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81225" cy="293370"/>
                <wp:effectExtent l="0" t="0" r="0" b="0"/>
                <wp:wrapNone/>
                <wp:docPr id="545" name="Frame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stockholders, and it will not be acted upon.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1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stockholders, and it will not be acted upon.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6" name="Frame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547" name="Frame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meeting may declare such proposal or nomination not properly brought before the 2026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meeting may declare such proposal or nomination not properly brought before the 2026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48" name="Frame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49" name="Frame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properly brought before the 2026 annual meeting of stockholders in accordance with our Bylaws, the presiding officer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properly brought before the 2026 annual meeting of stockholders in accordance with our Bylaws, the presiding officer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0" name="Frame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1" name="Frame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8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2" name="Frame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53" name="Frame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contain the information specified in our Bylaws and we must receive your notice at the address noted below no earlier 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contain the information specified in our Bylaws and we must receive your notice at the address noted below no earlier 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4" name="Frame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55" name="Frame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By-laws (as amended and restated, the “Bylaws”), which are filed with the SEC. To be properly brought, that notice must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By-laws (as amended and restated, the “Bylaws”), which are filed with the SEC. To be properly brought, that notice must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6" name="Frame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557" name="Frame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paragraph, you must follow the current advance notice provisions and other requirements and procedures outlined in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paragraph, you must follow the current advance notice provisions and other requirements and procedures outlined in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58" name="Frame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59" name="Frame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without having the proposal or nominee included in our proxy statement and proxy card per the above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without having the proposal or nominee included in our proxy statement and proxy card per the above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0" name="Frame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561" name="Frame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wish to present a proposal or nominate a director for consideration at the 2026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wish to present a proposal or nominate a director for consideration at the 2026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2" name="Frame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3" name="Frame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3">
                <wp:simplePos x="0" y="0"/>
                <wp:positionH relativeFrom="page">
                  <wp:posOffset>3390265</wp:posOffset>
                </wp:positionH>
                <wp:positionV relativeFrom="line">
                  <wp:posOffset>635</wp:posOffset>
                </wp:positionV>
                <wp:extent cx="3637280" cy="146685"/>
                <wp:effectExtent l="0" t="0" r="0" b="0"/>
                <wp:wrapNone/>
                <wp:docPr id="564" name="Frame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72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are a shareholder of record, you may revoke your proxy before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6.4pt;height:11.55pt;mso-wrap-distance-left:0pt;mso-wrap-distance-right:0pt;mso-wrap-distance-top:0pt;mso-wrap-distance-bottom:0pt;margin-top:0pt;mso-position-vertical:top;mso-position-vertical-relative:text;margin-left:266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are a shareholder of record, you may revoke your proxy before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190115" cy="146685"/>
                <wp:effectExtent l="0" t="0" r="0" b="0"/>
                <wp:wrapNone/>
                <wp:docPr id="565" name="Frame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1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Revoking a Proxy; Changing Your Vote.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2.4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Revoking a Proxy; Changing Your Vote.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40020" cy="293370"/>
                <wp:effectExtent l="0" t="0" r="0" b="0"/>
                <wp:wrapNone/>
                <wp:docPr id="566" name="Frame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0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all or any portion of the Convertible Debentures, if applicable, are not entitled to vote on Proposal 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2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all or any portion of the Convertible Debentures, if applicable, are not entitled to vote on Proposal 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7" name="Frame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68" name="Frame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were 208,993 shares, are not entitled to vote on Proposal 3 and the shares of Common Stock issued pursuant to conversion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were 208,993 shares, are not entitled to vote on Proposal 3 and the shares of Common Stock issued pursuant to conversion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69" name="Frame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570" name="Frame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applicable Nasdaq Listing Rules, the shares of Common Stock issued pursuant to the SEPA, of which there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applicable Nasdaq Listing Rules, the shares of Common Stock issued pursuant to the SEPA, of which there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8145" cy="293370"/>
                <wp:effectExtent l="0" t="0" r="0" b="0"/>
                <wp:wrapNone/>
                <wp:docPr id="571" name="Frame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2" name="Frame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73" name="Frame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tabulated by the inspector of election appointed for the Annual Meeting, who will also determine whether a quorum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tabulated by the inspector of election appointed for the Annual Meeting, who will also determine whether a quorum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32635" cy="293370"/>
                <wp:effectExtent l="0" t="0" r="0" b="0"/>
                <wp:wrapNone/>
                <wp:docPr id="574" name="Frame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6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vote is taken at the Annual Meeting: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0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vote is taken at the Annual Meeting: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575" name="Frame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Votes cast online during the Annual Meeting or by proxy by mail, via the Internet or by telephone will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Votes cast online during the Annual Meeting or by proxy by mail, via the Internet or by telephone will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47720" cy="293370"/>
                <wp:effectExtent l="0" t="0" r="0" b="0"/>
                <wp:wrapNone/>
                <wp:docPr id="576" name="Frame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Stock and the Series C Preferred Stock as a single class.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3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Stock and the Series C Preferred Stock as a single class.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7" name="Frame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78" name="Frame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Meeting. Furthermore, each holder of Common Stock shall vote together with the holders of the Series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Meeting. Furthermore, each holder of Common Stock shall vote together with the holders of the Series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79" name="Frame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580" name="Frame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 and each share of our Series C Preferred Stock is entitled to 1.3 votes on each matter to be voted on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 and each share of our Series C Preferred Stock is entitled to 1.3 votes on each matter to be voted on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1" name="Frame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82" name="Frame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Meeting. Each share of our Series B Preferred Stock is entitled to 0.97 votes on each matter to be voted on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Meeting. Each share of our Series B Preferred Stock is entitled to 0.97 votes on each matter to be voted on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3" name="Frame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3">
                <wp:simplePos x="0" y="0"/>
                <wp:positionH relativeFrom="page">
                  <wp:posOffset>2624455</wp:posOffset>
                </wp:positionH>
                <wp:positionV relativeFrom="line">
                  <wp:posOffset>635</wp:posOffset>
                </wp:positionV>
                <wp:extent cx="4402455" cy="175260"/>
                <wp:effectExtent l="0" t="0" r="0" b="0"/>
                <wp:wrapNone/>
                <wp:docPr id="584" name="Frame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24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share of Common Stock is entitled to one vote on each matter to be voted on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6.65pt;height:13.8pt;mso-wrap-distance-left:0pt;mso-wrap-distance-right:0pt;mso-wrap-distance-top:0pt;mso-wrap-distance-bottom:0pt;margin-top:0pt;mso-position-vertical:top;mso-position-vertical-relative:text;margin-left:206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share of Common Stock is entitled to one vote on each matter to be voted on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6">
                <wp:simplePos x="0" y="0"/>
                <wp:positionH relativeFrom="page">
                  <wp:posOffset>1534795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5" name="Frame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20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586" name="Frame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Your virtual attendance at the Annual Meeting, without voting online during the Annual Meeting, will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Your virtual attendance at the Annual Meeting, without voting online during the Annual Meeting, will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062730" cy="293370"/>
                <wp:effectExtent l="0" t="0" r="0" b="0"/>
                <wp:wrapNone/>
                <wp:docPr id="587" name="Frame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7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and follow the procedures described in the “How to Vote” section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9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and follow the procedures described in the “How to Vote” section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88" name="Frame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589" name="Frame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revoking any previously submitted voting instructions, if you obtain a legal proxy from the organization that holds your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revoking any previously submitted voting instructions, if you obtain a legal proxy from the organization that holds your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0" name="Frame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591" name="Frame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other nominee holding your shares. You may also vote online during the Annual Meeting, which will have the effect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other nominee holding your shares. You may also vote online during the Annual Meeting, which will have the effect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4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2" name="Frame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593" name="Frame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shares are held in “street name,” you may submit new voting instructions by contacting your bank, broker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shares are held in “street name,” you may submit new voting instructions by contacting your bank, broker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019425" cy="293370"/>
                <wp:effectExtent l="0" t="0" r="0" b="0"/>
                <wp:wrapNone/>
                <wp:docPr id="594" name="Frame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filing a written revocation with our Corporate Secretary.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7.7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filing a written revocation with our Corporate Secretary.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595" name="Frame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0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24305" cy="293370"/>
                <wp:effectExtent l="0" t="0" r="0" b="0"/>
                <wp:wrapNone/>
                <wp:docPr id="596" name="Frame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Method of Counting Votes.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2.1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Method of Counting Votes.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06045" cy="146685"/>
                <wp:effectExtent l="0" t="0" r="0" b="0"/>
                <wp:wrapNone/>
                <wp:docPr id="597" name="Frame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.3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598" name="Frame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599" name="Frame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voting online at the Annual Meeting using the procedures described in the “How to Vote” section above;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voting online at the Annual Meeting using the procedures described in the “How to Vote” section above;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600" name="Frame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38455" cy="293370"/>
                <wp:effectExtent l="0" t="0" r="0" b="0"/>
                <wp:wrapNone/>
                <wp:docPr id="601" name="Frame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above;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.6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above;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2" name="Frame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603" name="Frame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transmitted using the telephone or Internet voting procedures described in the “How to Vote” 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transmitted using the telephone or Internet voting procedures described in the “How to Vote” 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4" name="Frame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605" name="Frame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submitting a new proxy with a later date before the applicable deadline either signed and returned by mail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submitting a new proxy with a later date before the applicable deadline either signed and returned by mail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2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606" name="Frame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7</w:t>
      </w:r>
      <w:r>
        <mc:AlternateContent>
          <mc:Choice Requires="wps">
            <w:drawing>
              <wp:anchor behindDoc="0" distT="0" distB="0" distL="0" distR="0" simplePos="0" locked="0" layoutInCell="1" allowOverlap="1" relativeHeight="130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7" name="Frame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38295" cy="293370"/>
                <wp:effectExtent l="0" t="0" r="0" b="0"/>
                <wp:wrapNone/>
                <wp:docPr id="608" name="Frame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382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Inc., 6900 Tavistock Lakes, Blvd. Suite 400, Orlando, Florida 32827.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5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Inc., 6900 Tavistock Lakes, Blvd. Suite 400, Orlando, Florida 32827.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09" name="Frame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610" name="Frame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proposals or notices should be sent to the following mailing address: Suzanne Niemeyer, General Counsel,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proposals or notices should be sent to the following mailing address: Suzanne Niemeyer, General Counsel,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08450" cy="293370"/>
                <wp:effectExtent l="0" t="0" r="0" b="0"/>
                <wp:wrapNone/>
                <wp:docPr id="611" name="Frame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8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public announcement of the date of the 2026 annual meeting is first made.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3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public announcement of the date of the 2026 annual meeting is first made.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12" name="Frame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13" name="Frame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later of 60 calendar days prior to the date of the 2026 annual meeting and the 10th calendar day following the date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later of 60 calendar days prior to the date of the 2026 annual meeting and the 10th calendar day following the date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14" name="Frame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15" name="Frame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changed by more than 30 calendar days from such anniversary date, however, then the shareholder must provide notice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changed by more than 30 calendar days from such anniversary date, however, then the shareholder must provide notice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16" name="Frame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Company’s nominees, the shareholder must provide notice that sets forth the information required by Rule 14a-19 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Company’s nominees, the shareholder must provide notice that sets forth the information required by Rule 14a-19 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17" name="Frame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(for the 2026 annual meeting of stockholders, no later than April 27, 2026). If the date of the 2026 annual meeting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(for the 2026 annual meeting of stockholders, no later than April 27, 2026). If the date of the 2026 annual meeting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18" name="Frame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19" name="Frame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principal executive offices no later than 60 calendar days prior to the one-year anniversary date of the Annual Meeting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principal executive offices no later than 60 calendar days prior to the one-year anniversary date of the Annual Meeting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0" name="Frame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21" name="Frame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definitive proxy statement previously filed by such shareholder—must be postmarked or transmitted electronically to us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definitive proxy statement previously filed by such shareholder—must be postmarked or transmitted electronically to us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2" name="Frame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23" name="Frame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Exchange Act, which notice—unless the information required by Rule 14a-19 has been provided in a preliminary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Exchange Act, which notice—unless the information required by Rule 14a-19 has been provided in a preliminary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4" name="Frame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PROPOSAL ONE—ELECTION OF DIRECTORS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13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625" name="Frame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6" name="Frame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27" name="Frame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meeting of stockholders held in the third year following the year of their election and until their successors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meeting of stockholders held in the third year following the year of their election and until their successors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28" name="Frame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88390" cy="293370"/>
                <wp:effectExtent l="0" t="0" r="0" b="0"/>
                <wp:wrapNone/>
                <wp:docPr id="629" name="Frame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83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elected and qualified.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elected and qualified.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630" name="Frame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be elected, each Class I director nominee must receive a plurality vote of the votes cast.  If you return a duly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be elected, each Class I director nominee must receive a plurality vote of the votes cast.  If you return a duly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1" name="Frame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32" name="Frame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executed proxy card without specifying how your shares are to be voted, the persons named in the proxy card will vote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executed proxy card without specifying how your shares are to be voted, the persons named in the proxy card will vote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3" name="Frame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34" name="Frame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elect Gregory W. Haskell, Daniel J. Hennessy and Michael Amalfitano as Class I directors.  Mr. Haskell, Mr. Hennessy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elect Gregory W. Haskell, Daniel J. Hennessy and Michael Amalfitano as Class I directors.  Mr. Haskell, Mr. Hennessy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5" name="Frame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36" name="Frame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Mr. Amalfitano currently serve on our Board and have indicated their willingness to continue to serve if elected.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Mr. Amalfitano currently serve on our Board and have indicated their willingness to continue to serve if elected.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37" name="Frame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class of directors whose term expires at each annual meeting will be elected to hold office for a term expiring at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class of directors whose term expires at each annual meeting will be elected to hold office for a term expiring at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638" name="Frame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However, if a director nominee should be unable to serve, or for good cause will not serve, proxies may be voted for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However, if a director nominee should be unable to serve, or for good cause will not serve, proxies may be voted for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39" name="Frame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40" name="Frame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substitute nominee designated by Innventure’s Board of Directors.  Our Board has no reason to believe that any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substitute nominee designated by Innventure’s Board of Directors.  Our Board has no reason to believe that any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1" name="Frame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98370" cy="293370"/>
                <wp:effectExtent l="0" t="0" r="0" b="0"/>
                <wp:wrapNone/>
                <wp:docPr id="642" name="Frame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8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 will be unable to serve if elected.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3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 will be unable to serve if elected.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643" name="Frame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may vote “for” or “withhold” authority to vote for each of the director nominees. If you “withhold” authority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may vote “for” or “withhold” authority to vote for each of the director nominees. If you “withhold” authority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4" name="Frame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45" name="Frame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vote with respect to one or more director nominees, your vote will have no effect on the election of such 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vote with respect to one or more director nominees, your vote will have no effect on the election of such 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6" name="Frame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16630" cy="293370"/>
                <wp:effectExtent l="0" t="0" r="0" b="0"/>
                <wp:wrapNone/>
                <wp:docPr id="647" name="Frame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6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Broker non-votes will have no effect on the election of the 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Broker non-votes will have no effect on the election of the 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29640" cy="293370"/>
                <wp:effectExtent l="0" t="0" r="0" b="0"/>
                <wp:wrapNone/>
                <wp:docPr id="648" name="Frame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96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serve if elected.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3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serve if elected.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49" name="Frame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50" name="Frame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 for election at the Annual Meeting. The nominees will serve for a three year term until the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 for election at the Annual Meeting. The nominees will serve for a three year term until the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1" name="Frame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52" name="Frame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in 2028 and until their successors are duly elected and qualified or until their earlier death, disability,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in 2028 and until their successors are duly elected and qualified or until their earlier death, disability,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3" name="Frame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54" name="Frame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resignation, disqualification or removal. The N&amp;CG Committee has reviewed the qualifications of each of the nominees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resignation, disqualification or removal. The N&amp;CG Committee has reviewed the qualifications of each of the nominees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5" name="Frame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56" name="Frame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has recommended to our Board that each nominee be submitted to a vote of our stockholders at the Annual Meeting.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has recommended to our Board that each nominee be submitted to a vote of our stockholders at the Annual Meeting.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657" name="Frame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58" name="Frame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unanimously approved the N&amp;CG Committee’s recommendation.  The Board expects each nominee to be 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unanimously approved the N&amp;CG Committee’s recommendation.  The Board expects each nominee to be 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59" name="Frame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1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660" name="Frame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nominated Gregory W. Haskell, Daniel J. Hennessy and Michael Amalfitano as Class I 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nominated Gregory W. Haskell, Daniel J. Hennessy and Michael Amalfitano as Class I 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661" name="Frame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is currently comprised of nine directors.  As described in our Amended and Restated Certificate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is currently comprised of nine directors.  As described in our Amended and Restated Certificate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2" name="Frame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63" name="Frame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Incorporation (“Certificate of Incorporation”) and Bylaws, our Board is currently divided into three classes (Class I, Class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Incorporation (“Certificate of Incorporation”) and Bylaws, our Board is currently divided into three classes (Class I, Class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4" name="Frame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65" name="Frame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II and Class III), each with a three-year term.  The term of our Class I directors currently in office expires at this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II and Class III), each with a three-year term.  The term of our Class I directors currently in office expires at this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6" name="Frame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67" name="Frame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Meeting; our Class II directors’ terms expire at the annual meeting of stockholders in 2026; and our Class III directors’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Meeting; our Class II directors’ terms expire at the annual meeting of stockholders in 2026; and our Class III directors’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68" name="Frame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69" name="Frame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expire at the annual meeting of stockholders in 2027.  Our Certificate of Incorporation provides that the successors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expire at the annual meeting of stockholders in 2027.  Our Certificate of Incorporation provides that the successors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3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70" name="Frame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8</w:t>
      </w:r>
      <w:r>
        <mc:AlternateContent>
          <mc:Choice Requires="wps">
            <w:drawing>
              <wp:anchor behindDoc="0" distT="0" distB="0" distL="0" distR="0" simplePos="0" locked="0" layoutInCell="1" allowOverlap="1" relativeHeight="13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542030" cy="146685"/>
                <wp:effectExtent l="0" t="0" r="0" b="0"/>
                <wp:wrapNone/>
                <wp:docPr id="671" name="Frame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2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of Directors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of Directors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8">
                <wp:simplePos x="0" y="0"/>
                <wp:positionH relativeFrom="page">
                  <wp:posOffset>4742180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672" name="Frame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7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59">
                <wp:simplePos x="0" y="0"/>
                <wp:positionH relativeFrom="page">
                  <wp:posOffset>5010150</wp:posOffset>
                </wp:positionH>
                <wp:positionV relativeFrom="line">
                  <wp:posOffset>635</wp:posOffset>
                </wp:positionV>
                <wp:extent cx="2017395" cy="175260"/>
                <wp:effectExtent l="0" t="0" r="0" b="0"/>
                <wp:wrapNone/>
                <wp:docPr id="673" name="Frame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73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election of each of Gregory 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85pt;height:13.8pt;mso-wrap-distance-left:0pt;mso-wrap-distance-right:0pt;mso-wrap-distance-top:0pt;mso-wrap-distance-bottom:0pt;margin-top:0pt;mso-position-vertical:top;mso-position-vertical-relative:text;margin-left:3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election of each of Gregory 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74" name="Frame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24275" cy="293370"/>
                <wp:effectExtent l="0" t="0" r="0" b="0"/>
                <wp:wrapNone/>
                <wp:docPr id="675" name="Frame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4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Haskell, Daniel J. Hennessy and Michael Amalfitano as Class I 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Haskell, Daniel J. Hennessy and Michael Amalfitano as Class I 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CORPORATE GOVERNANCE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Our Board of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I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II Directors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4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89660" cy="293370"/>
                <wp:effectExtent l="0" t="0" r="0" b="0"/>
                <wp:wrapNone/>
                <wp:docPr id="676" name="Frame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Michael Amalfitano,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8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Michael Amalfitano,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77" name="Frame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Aircraft Finance at Bank of America Merrill Lynch for over 22 years, following a decade-long tenure in sales management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Aircraft Finance at Bank of America Merrill Lynch for over 22 years, following a decade-long tenure in sales management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78" name="Frame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79" name="Frame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solution company, from 2015 to 2017. Mr. Amalfitano also led as Managing Director, Executive Head of Global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solution company, from 2015 to 2017. Mr. Amalfitano also led as Managing Director, Executive Head of Global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0" name="Frame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81" name="Frame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Vice President, Senior Managing Director of Business Aviation at Stonebriar Commercial Finance, a financing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Vice President, Senior Managing Director of Business Aviation at Stonebriar Commercial Finance, a financing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2" name="Frame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83" name="Frame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aircraft manufacturing and sales company (“Embraer”), since 2017. Prior to joining Embraer, Mr. Amalfitano served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aircraft manufacturing and sales company (“Embraer”), since 2017. Prior to joining Embraer, Mr. Amalfitano served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4" name="Frame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685" name="Frame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Embraer Executive Aircraft, Inc., an operating subsidiary of Embraer Aircraft Holdings and Embraer S.A., a global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Embraer Executive Aircraft, Inc., an operating subsidiary of Embraer Aircraft Holdings and Embraer S.A., a global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2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6" name="Frame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9">
                <wp:simplePos x="0" y="0"/>
                <wp:positionH relativeFrom="page">
                  <wp:posOffset>2289810</wp:posOffset>
                </wp:positionH>
                <wp:positionV relativeFrom="line">
                  <wp:posOffset>635</wp:posOffset>
                </wp:positionV>
                <wp:extent cx="4737735" cy="146685"/>
                <wp:effectExtent l="0" t="0" r="0" b="0"/>
                <wp:wrapNone/>
                <wp:docPr id="687" name="Frame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377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64, is a Class I director of Innventure. Mr. Amalfitano has served as the President and CEO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3.05pt;height:11.55pt;mso-wrap-distance-left:0pt;mso-wrap-distance-right:0pt;mso-wrap-distance-top:0pt;mso-wrap-distance-bottom:0pt;margin-top:0pt;mso-position-vertical:top;mso-position-vertical-relative:text;margin-left:180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64, is a Class I director of Innventure. Mr. Amalfitano has served as the President and CEO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88" name="Frame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1025" cy="293370"/>
                <wp:effectExtent l="0" t="0" r="0" b="0"/>
                <wp:wrapNone/>
                <wp:docPr id="689" name="Frame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experience.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experience.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0" name="Frame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91" name="Frame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Hennessy is well qualified to serve as a member of the Board due to his significant investment, strategic and leadership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Hennessy is well qualified to serve as a member of the Board due to his significant investment, strategic and leadership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2" name="Frame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93" name="Frame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Hennessy has a B.A. from Boston College and an MBA from the University of Michigan. The Company believes that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Hennessy has a B.A. from Boston College and an MBA from the University of Michigan. The Company believes that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4" name="Frame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95" name="Frame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Hospital of Chicago, National MS Society, John G. Shedd Aquarium, Georgetown University and Yellowstone Forever.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Hospital of Chicago, National MS Society, John G. Shedd Aquarium, Georgetown University and Yellowstone Forever.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696" name="Frame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697" name="Frame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profit healthcare, higher education and conservation organizations, including board positions at the Lurie Children’s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profit healthcare, higher education and conservation organizations, including board positions at the Lurie Children’s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698" name="Frame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Bank, now Bank of America, where he was a Banking Officer. Mr. Hennessy has dedicated over 25 years to serving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Bank, now Bank of America, where he was a Banking Officer. Mr. Hennessy has dedicated over 25 years to serving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699" name="Frame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Angel Network, a non-profit company. Past board positions include former four-term OEM President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Angel Network, a non-profit company. Past board positions include former four-term OEM President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21280" cy="293370"/>
                <wp:effectExtent l="0" t="0" r="0" b="0"/>
                <wp:wrapNone/>
                <wp:docPr id="700" name="Frame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2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leadership and public company director experience.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6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leadership and public company director experience.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1" name="Frame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02" name="Frame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believes that Mr. Amalfitano is well qualified to serve as a member of the Board due to his years of executive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believes that Mr. Amalfitano is well qualified to serve as a member of the Board due to his years of executive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3" name="Frame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04" name="Frame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B.A. in Economics and a Master’s in Financial Management from Fairfield University in Fairfield, Connecticut.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B.A. in Economics and a Master’s in Financial Management from Fairfield University in Fairfield, Connecticut.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5" name="Frame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06" name="Frame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Resellers Association, and former two-term President of the National Aircraft Finance Association. Mr. Amalfitano holds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Resellers Association, and former two-term President of the National Aircraft Finance Association. Mr. Amalfitano holds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7" name="Frame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08" name="Frame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International Aircraft Dealers Association, Chairman of the Associate Members Advisory Council for the National Aircraft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International Aircraft Dealers Association, Chairman of the Associate Members Advisory Council for the National Aircraft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09" name="Frame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0" name="Frame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4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1" name="Frame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12" name="Frame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Advisory Council and Leadership Council of the National Business Aviation Association, and serves on the board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Advisory Council and Leadership Council of the National Business Aviation Association, and serves on the board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3" name="Frame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14" name="Frame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Finance, Investment, and Strategic Committees of the General Aviation Manufacturer’s Association, is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Finance, Investment, and Strategic Committees of the General Aviation Manufacturer’s Association, is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5" name="Frame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16" name="Frame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 (ERAU) and serves on their Finance and Investment Committees. Mr. Amalfitano currently serves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 (ERAU) and serves on their Finance and Investment Committees. Mr. Amalfitano currently serves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7" name="Frame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18" name="Frame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solutions company (NYSE: EVEX). He is also a member of the Board of Trustees at Embry-Riddle Aeronautical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solutions company (NYSE: EVEX). He is also a member of the Board of Trustees at Embry-Riddle Aeronautical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19" name="Frame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20" name="Frame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at GE Capital. Mr. Amalfitano also currently serves as a director of Eve Holding, Inc., a publicly traded air mobility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at GE Capital. Mr. Amalfitano also currently serves as a director of Eve Holding, Inc., a publicly traded air mobility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21" name="Frame8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Exchange-listed company and has been a director of over a dozen companies. Most recently, Mr. Haskell was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Exchange-listed company and has been a director of over a dozen companies. Most recently, Mr. Haskell was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4">
                <wp:simplePos x="0" y="0"/>
                <wp:positionH relativeFrom="page">
                  <wp:posOffset>2254885</wp:posOffset>
                </wp:positionH>
                <wp:positionV relativeFrom="line">
                  <wp:posOffset>635</wp:posOffset>
                </wp:positionV>
                <wp:extent cx="4772660" cy="146685"/>
                <wp:effectExtent l="0" t="0" r="0" b="0"/>
                <wp:wrapNone/>
                <wp:docPr id="722" name="Frame8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6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67, is a Class I director and Learn CW’s (as defined below) director designee pursuant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5.8pt;height:11.55pt;mso-wrap-distance-left:0pt;mso-wrap-distance-right:0pt;mso-wrap-distance-top:0pt;mso-wrap-distance-bottom:0pt;margin-top:0pt;mso-position-vertical:top;mso-position-vertical-relative:text;margin-left:177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67, is a Class I director and Learn CW’s (as defined below) director designee pursuant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54735" cy="293370"/>
                <wp:effectExtent l="0" t="0" r="0" b="0"/>
                <wp:wrapNone/>
                <wp:docPr id="723" name="Frame8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7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Daniel J. Hennessy,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3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Daniel J. Hennessy,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82365" cy="293370"/>
                <wp:effectExtent l="0" t="0" r="0" b="0"/>
                <wp:wrapNone/>
                <wp:docPr id="724" name="Frame8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2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leadership experience and deep understanding of our business.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leadership experience and deep understanding of our business.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5" name="Frame8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26" name="Frame8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University. The Company believes Mr. Haskell is qualified to serve as a member of the Board due to his significant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University. The Company believes Mr. Haskell is qualified to serve as a member of the Board due to his significant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7" name="Frame8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28" name="Frame8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 holds a B.S. degree in engineering and conducted post-graduate work in applied mathematics at Iowa State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 holds a B.S. degree in engineering and conducted post-graduate work in applied mathematics at Iowa State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9" name="Frame8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30" name="Frame8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owned enterprises from 2019 to 2021. He has over 30 years of experience in company creation and development.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owned enterprises from 2019 to 2021. He has over 30 years of experience in company creation and development.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31" name="Frame8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partner at Bellview Associates,  a boutique investment bank focused on converting private companies into employee-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partner at Bellview Associates,  a boutique investment bank focused on converting private companies into employee-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2" name="Frame8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3" name="Frame8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4" name="Frame8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35" name="Frame8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 has worked with the key principals of Innventure for over 20 years. He has also served as a CEO of a London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 has worked with the key principals of Innventure for over 20 years. He has also served as a CEO of a London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6" name="Frame8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37" name="Frame8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building methodology upon which Innventure is based, from 1993 to 1999 and 2001 to 2011, respectively.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building methodology upon which Innventure is based, from 1993 to 1999 and 2001 to 2011, respectively.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38" name="Frame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39" name="Frame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 was a co-founder and President of both XL Vision and XL TechGroup (“XLTG”), which created the foundational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 was a co-founder and President of both XL Vision and XL TechGroup (“XLTG”), which created the foundational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0" name="Frame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41" name="Frame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Chief Executive Officer and Manager of Innventure LLC from 2021 until 2024. Prior to his time with Innventure LLC,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Chief Executive Officer and Manager of Innventure LLC from 2021 until 2024. Prior to his time with Innventure LLC,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2" name="Frame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3">
                <wp:simplePos x="0" y="0"/>
                <wp:positionH relativeFrom="page">
                  <wp:posOffset>3027680</wp:posOffset>
                </wp:positionH>
                <wp:positionV relativeFrom="line">
                  <wp:posOffset>635</wp:posOffset>
                </wp:positionV>
                <wp:extent cx="4001770" cy="146685"/>
                <wp:effectExtent l="0" t="0" r="0" b="0"/>
                <wp:wrapNone/>
                <wp:docPr id="743" name="Frame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17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68, is Innventure’s CEO and a Class I director. Mr. Haskell previously served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5.1pt;height:11.55pt;mso-wrap-distance-left:0pt;mso-wrap-distance-right:0pt;mso-wrap-distance-top:0pt;mso-wrap-distance-bottom:0pt;margin-top:0pt;mso-position-vertical:top;mso-position-vertical-relative:text;margin-left:23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68, is Innventure’s CEO and a Class I director. Mr. Haskell previously served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44" name="Frame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sustainable industrial technology and infrastructure sectors. From October 2020 to December 2022, Mr. Hennessy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sustainable industrial technology and infrastructure sectors. From October 2020 to December 2022, Mr. Hennessy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45" name="Frame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2017 to 2021. Mr. Hennessy began his career in 1981 in the oil and gas lending group at Continental Illinois National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2017 to 2021. Mr. Hennessy began his career in 1981 in the oil and gas lending group at Continental Illinois National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6" name="Frame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747" name="Frame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 of the board of directors of Daseke, Inc. (Nasdaq: DSKE), a North American trucking and logistics company,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 of the board of directors of Daseke, Inc. (Nasdaq: DSKE), a North American trucking and logistics company,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48" name="Frame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49" name="Frame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company, which, in December of 2020, completed its business combination with Canoo Holdings Ltd. He also served as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company, which, in December of 2020, completed its business combination with Canoo Holdings Ltd. He also served as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0" name="Frame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51" name="Frame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also served as Chairman &amp; CEO of Hennessy Capital Acquisition Corp. IV, a special purpose acquisition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also served as Chairman &amp; CEO of Hennessy Capital Acquisition Corp. IV, a special purpose acquisition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2" name="Frame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53" name="Frame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served as Chairman and CEO of Hennessy Capital Investment Corp. V, a special purpose acquisition company.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served as Chairman and CEO of Hennessy Capital Investment Corp. V, a special purpose acquisition company.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4" name="Frame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827530" cy="146685"/>
                <wp:effectExtent l="0" t="0" r="0" b="0"/>
                <wp:wrapNone/>
                <wp:docPr id="755" name="Frame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75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Gregory William (“Bill”) Haskell,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3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Gregory William (“Bill”) Haskell,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6" name="Frame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57" name="Frame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also founded Hennessy Capital Group LLC as an alternative investment firm in 2013 to focus on investments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also founded Hennessy Capital Group LLC as an alternative investment firm in 2013 to focus on investments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58" name="Frame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59" name="Frame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of directors of Compass Digital Acquisition Corp. (Nasdaq: CDAQ), a special purpose acquisition company.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of directors of Compass Digital Acquisition Corp. (Nasdaq: CDAQ), a special purpose acquisition company.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0" name="Frame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61" name="Frame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Capital Investment Corp. VI (Nasdaq: HCVI), a special purpose acquisition company, and as Chairman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Capital Investment Corp. VI (Nasdaq: HCVI), a special purpose acquisition company, and as Chairman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2" name="Frame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763" name="Frame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Hennessy Capital Investment Corp. VII (Nasdaq: HVII), a special purpose acquisition company, and Chairman and CEO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Hennessy Capital Investment Corp. VII (Nasdaq: HVII), a special purpose acquisition company, and Chairman and CEO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4" name="Frame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65" name="Frame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of the Business Combination Agreement (as defined below). Mr. Hennessy currently serves as Chairman and CEO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of the Business Combination Agreement (as defined below). Mr. Hennessy currently serves as Chairman and CEO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9</w:t>
      </w:r>
      <w:r>
        <mc:AlternateContent>
          <mc:Choice Requires="wps">
            <w:drawing>
              <wp:anchor behindDoc="0" distT="0" distB="0" distL="0" distR="0" simplePos="0" locked="0" layoutInCell="1" allowOverlap="1" relativeHeight="145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63295" cy="293370"/>
                <wp:effectExtent l="0" t="0" r="0" b="0"/>
                <wp:wrapNone/>
                <wp:docPr id="766" name="Frame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2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David Yablunosky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David Yablunosky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3">
                <wp:simplePos x="0" y="0"/>
                <wp:positionH relativeFrom="page">
                  <wp:posOffset>2163445</wp:posOffset>
                </wp:positionH>
                <wp:positionV relativeFrom="line">
                  <wp:posOffset>635</wp:posOffset>
                </wp:positionV>
                <wp:extent cx="4864735" cy="146685"/>
                <wp:effectExtent l="0" t="0" r="0" b="0"/>
                <wp:wrapNone/>
                <wp:docPr id="767" name="Frame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47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63, is Innventure’s Chief Financial Officer (“CFO”) and a Class II director. Mr. Yablunosky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05pt;height:11.55pt;mso-wrap-distance-left:0pt;mso-wrap-distance-right:0pt;mso-wrap-distance-top:0pt;mso-wrap-distance-bottom:0pt;margin-top:0pt;mso-position-vertical:top;mso-position-vertical-relative:text;margin-left:170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63, is Innventure’s Chief Financial Officer (“CFO”) and a Class II director. Mr. Yablunosky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68" name="Frame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69" name="Frame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 served as CFO of Innventure LLC since 2023. Previously, he was CFO of Embraer Aircraft Holding, Inc., the U.S.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 served as CFO of Innventure LLC since 2023. Previously, he was CFO of Embraer Aircraft Holding, Inc., the U.S.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0" name="Frame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III Directors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5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71" name="Frame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economics, finance, philosophy, psychology and theater in 1991 from Marshall University. The Company believes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economics, finance, philosophy, psychology and theater in 1991 from Marshall University. The Company believes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72" name="Frame1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company’s R&amp;D Organization, and Innovation &amp; Technology Programs. Before his tenure as CTO, he worked with P&amp;G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company’s R&amp;D Organization, and Innovation &amp; Technology Programs. Before his tenure as CTO, he worked with P&amp;G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3" name="Frame1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74" name="Frame1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service, including six years with the company as Chief Technology Officer (“CTO”), where he was responsible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service, including six years with the company as Chief Technology Officer (“CTO”), where he was responsible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5" name="Frame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7">
                <wp:simplePos x="0" y="0"/>
                <wp:positionH relativeFrom="page">
                  <wp:posOffset>1916430</wp:posOffset>
                </wp:positionH>
                <wp:positionV relativeFrom="line">
                  <wp:posOffset>635</wp:posOffset>
                </wp:positionV>
                <wp:extent cx="5112385" cy="146685"/>
                <wp:effectExtent l="0" t="0" r="0" b="0"/>
                <wp:wrapNone/>
                <wp:docPr id="776" name="Frame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23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66, is a Class II director of Innventure. Mr. Brown retired from P&amp;G in 2014 after 34 years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2.55pt;height:11.55pt;mso-wrap-distance-left:0pt;mso-wrap-distance-right:0pt;mso-wrap-distance-top:0pt;mso-wrap-distance-bottom:0pt;margin-top:0pt;mso-position-vertical:top;mso-position-vertical-relative:text;margin-left:15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66, is a Class II director of Innventure. Mr. Brown retired from P&amp;G in 2014 after 34 years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716280" cy="146685"/>
                <wp:effectExtent l="0" t="0" r="0" b="0"/>
                <wp:wrapNone/>
                <wp:docPr id="777" name="Frame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Bruce Brown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4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Bruce Brown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4275" cy="293370"/>
                <wp:effectExtent l="0" t="0" r="0" b="0"/>
                <wp:wrapNone/>
                <wp:docPr id="778" name="Frame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development.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development.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79" name="Frame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80" name="Frame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Donnally is qualified to serve as a member of the Board due to his over 30 years of experience in finance, accounting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Donnally is qualified to serve as a member of the Board due to his over 30 years of experience in finance, accounting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1" name="Frame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2" name="Frame1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3" name="Frame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84" name="Frame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concerns, specializing in consolidations. Mr. Donnally received his bachelor’s in accounting with minors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concerns, specializing in consolidations. Mr. Donnally received his bachelor’s in accounting with minors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5" name="Frame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86" name="Frame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performed for-profit audit, review, compilation and tax engagements for regional wholesale, retail, manufacturing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performed for-profit audit, review, compilation and tax engagements for regional wholesale, retail, manufacturing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7" name="Frame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88" name="Frame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Enterprises in 1996, Mr. Donnally was a Certified Public Accountant at Hayflich &amp; Steinberg, where 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Enterprises in 1996, Mr. Donnally was a Certified Public Accountant at Hayflich &amp; Steinberg, where 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89" name="Frame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790" name="Frame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treasury and other asset management, lender and regulatory relations and employee benefit administration. Prior to joining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treasury and other asset management, lender and regulatory relations and employee benefit administration. Prior to joining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1" name="Frame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792" name="Frame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Resources, accounting and legal departments, giving him the ideal view of the inner workings of the enterprise – such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Resources, accounting and legal departments, giving him the ideal view of the inner workings of the enterprise – such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93" name="Frame1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Government of Singapore as a member of the board of directors of the Agency for Science, Technology, and Research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Government of Singapore as a member of the board of directors of the Agency for Science, Technology, and Research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28210" cy="293370"/>
                <wp:effectExtent l="0" t="0" r="0" b="0"/>
                <wp:wrapNone/>
                <wp:docPr id="794" name="Frame1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82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organizational leadership development and years of experience as a public company director.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2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organizational leadership development and years of experience as a public company director.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5" name="Frame1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796" name="Frame1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University. The Company believes that Mr. Brown is well qualified to serve as a member of the Board due to 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University. The Company believes that Mr. Brown is well qualified to serve as a member of the Board due to 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7" name="Frame1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798" name="Frame1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Engineering from the Polytechnic Institute of New York University, and an MBA in Marketing and Finance from Xavier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Engineering from the Polytechnic Institute of New York University, and an MBA in Marketing and Finance from Xavier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99" name="Frame1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00" name="Frame1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 also served on the board of directors of Xavier University in Cincinnati, Ohio. Mr. Brown has a B.S. in Chemical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 also served on the board of directors of Xavier University in Cincinnati, Ohio. Mr. Brown has a B.S. in Chemical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1" name="Frame1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02" name="Frame1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(ASTAR), giving him experience on how to operate within and through government agencies across the globe. Mr. Brown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(ASTAR), giving him experience on how to operate within and through government agencies across the globe. Mr. Brown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3" name="Frame1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4" name="Frame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5" name="Frame1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06" name="Frame1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of Medpace Holdings, Inc. (Nasdaq: MEDP) from 2016 to 2019. Mr. Brown was appointed in 2011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of Medpace Holdings, Inc. (Nasdaq: MEDP) from 2016 to 2019. Mr. Brown was appointed in 2011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7" name="Frame1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08" name="Frame1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where, after 11 years and upon reaching the tenure limit, he concluded his term in 2023. Formerly, Mr. Brown was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where, after 11 years and upon reaching the tenure limit, he concluded his term in 2023. Formerly, Mr. Brown was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09" name="Frame1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10" name="Frame1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Corporation, a Finnish telecommunications, information technology, and consumer electronics corporation (NYSE: NOK),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Corporation, a Finnish telecommunications, information technology, and consumer electronics corporation (NYSE: NOK),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1" name="Frame1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12" name="Frame1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Corporation, a global manufacturing company (NYSE: MAGN), and has previously served on the board of Nokia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Corporation, a global manufacturing company (NYSE: MAGN), and has previously served on the board of Nokia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3" name="Frame1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14" name="Frame1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Europe &amp; Asia driving international business expansions. Mr. Brown currently serves on the board of Magnera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Europe &amp; Asia driving international business expansions. Mr. Brown currently serves on the board of Magnera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5" name="Frame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80820" cy="146685"/>
                <wp:effectExtent l="0" t="0" r="0" b="0"/>
                <wp:wrapNone/>
                <wp:docPr id="816" name="Frame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82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James (“Jim”) O. Donnally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6.6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James (“Jim”) O. Donnally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30015" cy="293370"/>
                <wp:effectExtent l="0" t="0" r="0" b="0"/>
                <wp:wrapNone/>
                <wp:docPr id="817" name="Frame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0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due to his expertise in finance and deep understanding of our business.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9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due to his expertise in finance and deep understanding of our business.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18" name="Frame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19" name="Frame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Program at the Harvard Business School. The Company believes Mr. Yablunosky is qualified to serve as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Program at the Harvard Business School. The Company believes Mr. Yablunosky is qualified to serve as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0" name="Frame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21" name="Frame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Certificate in Accounting from the Harvard University Extension School and has completed the Advanced Management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Certificate in Accounting from the Harvard University Extension School and has completed the Advanced Management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2" name="Frame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23" name="Frame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U.S. Naval Academy and an MBA in Finance from the University of Maryland. He also holds a graduate-level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U.S. Naval Academy and an MBA in Finance from the University of Maryland. He also holds a graduate-level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4" name="Frame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25" name="Frame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U.S. Navy and worked in the Pentagon on General Colin Powell’s staff. Mr. Yablunosky holds a B.S. in Mathematics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U.S. Navy and worked in the Pentagon on General Colin Powell’s staff. Mr. Yablunosky holds a B.S. in Mathematics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79">
                <wp:simplePos x="0" y="0"/>
                <wp:positionH relativeFrom="page">
                  <wp:posOffset>2680970</wp:posOffset>
                </wp:positionH>
                <wp:positionV relativeFrom="line">
                  <wp:posOffset>635</wp:posOffset>
                </wp:positionV>
                <wp:extent cx="4347845" cy="146685"/>
                <wp:effectExtent l="0" t="0" r="0" b="0"/>
                <wp:wrapNone/>
                <wp:docPr id="826" name="Frame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8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60, is a Class II director of Innventure. Mr. Donnally has served as a Manager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35pt;height:11.55pt;mso-wrap-distance-left:0pt;mso-wrap-distance-right:0pt;mso-wrap-distance-top:0pt;mso-wrap-distance-bottom:0pt;margin-top:0pt;mso-position-vertical:top;mso-position-vertical-relative:text;margin-left:211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60, is a Class II director of Innventure. Mr. Donnally has served as a Manager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27" name="Frame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 Depot, Oxbow Carbon LLC, and Embraer. Before his career in finance, Mr. Yablunosky served nine years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 Depot, Oxbow Carbon LLC, and Embraer. Before his career in finance, Mr. Yablunosky served nine years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28" name="Frame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29" name="Frame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finance experience working for large multinational companies (“MNCs”) such as Ford Motor Company, Ford Credit,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finance experience working for large multinational companies (“MNCs”) such as Ford Motor Company, Ford Credit,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0" name="Frame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31" name="Frame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of Corporate Finance at Oxbow Carbon, LLC, a privately-held energy company. He brings over 30 years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of Corporate Finance at Oxbow Carbon, LLC, a privately-held energy company. He brings over 30 years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2" name="Frame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833" name="Frame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Defense and Security, Inc., another subsidiary of Embraer, from 2021 to 2023. Prior to 2021, Mr. Yablunosky served as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Defense and Security, Inc., another subsidiary of Embraer, from 2021 to 2023. Prior to 2021, Mr. Yablunosky served as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4" name="Frame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35" name="Frame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Embraer Executive Aircraft, Inc., another subsidiary of Embraer, from 2021 to 2023; and a Board Member of Embraer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Embraer Executive Aircraft, Inc., another subsidiary of Embraer, from 2021 to 2023; and a Board Member of Embraer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6" name="Frame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37" name="Frame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AeroFlexx, LLC (“AeroFlexx”), from 1996 to 2023. Glockner Enterprises includes consumer and commercial finance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AeroFlexx, LLC (“AeroFlexx”), from 1996 to 2023. Glockner Enterprises includes consumer and commercial finance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38" name="Frame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December 2020. In his prior role as CFO at Glockner Enterprises, he managed the Information Technology, Human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December 2020. In his prior role as CFO at Glockner Enterprises, he managed the Information Technology, Human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39" name="Frame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40" name="Frame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Donnally was the CFO for PureCycle, an innovative plastic waste processing company, from January 2017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Donnally was the CFO for PureCycle, an innovative plastic waste processing company, from January 2017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1" name="Frame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42" name="Frame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involved in organizations and companies that are helping grow southeast Ohio communities and sits on numerous boards.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involved in organizations and companies that are helping grow southeast Ohio communities and sits on numerous boards.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3" name="Frame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44" name="Frame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insurance agencies and franchise automobile dealerships in Ohio and Kentucky. Mr. Donnally is also highly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insurance agencies and franchise automobile dealerships in Ohio and Kentucky. Mr. Donnally is also highly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5" name="Frame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46" name="Frame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divisions, wholesale lubricant and fuel divisions, several dealer-controlled used car finance operations, captive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divisions, wholesale lubricant and fuel divisions, several dealer-controlled used car finance operations, captive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7" name="Frame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48" name="Frame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subsidiary of the Brazilian aerospace and defense conglomerate Embraer, from 2022 to 2023; CFO and a Board Member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subsidiary of the Brazilian aerospace and defense conglomerate Embraer, from 2022 to 2023; CFO and a Board Member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49" name="Frame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50" name="Frame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manufacturing and was the original funding partner for Innventure, PureCycle Technologies, Inc. (“PureCycle” or “PCT”)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manufacturing and was the original funding partner for Innventure, PureCycle Technologies, Inc. (“PureCycle” or “PCT”)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1" name="Frame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52" name="Frame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President and CFO for Glockner Enterprises, whose family office investment thesis is around green technology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President and CFO for Glockner Enterprises, whose family office investment thesis is around green technology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3" name="Frame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54" name="Frame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and the General Partner of the Glockner Family Venture Fund, LP, since 2023. He previously served as the 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and the General Partner of the Glockner Family Venture Fund, LP, since 2023. He previously served as the 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5" name="Frame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56" name="Frame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since 2015 and as the Managing Member of Bellringer Consulting Group, LLC, a startup consulting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since 2015 and as the Managing Member of Bellringer Consulting Group, LLC, a startup consulting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7" name="Frame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10</w:t>
      </w:r>
      <w:r>
        <mc:AlternateContent>
          <mc:Choice Requires="wps">
            <w:drawing>
              <wp:anchor behindDoc="0" distT="0" distB="0" distL="0" distR="0" simplePos="0" locked="0" layoutInCell="1" allowOverlap="1" relativeHeight="15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58" name="Frame1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offering in March of 2021. Prior to Innventure, Mr. Otworth served as President and Founding Partner of Green Ocean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offering in March of 2021. Prior to Innventure, Mr. Otworth served as President and Founding Partner of Green Ocean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59" name="Frame1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60" name="Frame1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 in the U.S. House of Representatives. The Company believes Mr. Otworth is qualified to serve as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 in the U.S. House of Representatives. The Company believes Mr. Otworth is qualified to serve as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1" name="Frame1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62" name="Frame1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XLTG from 1996 to 2000. Mr. Otworth began his career on Capitol Hill working as a legislative aide and committee staff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XLTG from 1996 to 2000. Mr. Otworth began his career on Capitol Hill working as a legislative aide and committee staff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3" name="Frame1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64" name="Frame1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Animal Health, from 2008 to 2015. Mr. Otworth also served as Vice-President and Founding CEO of multiple start-ups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Animal Health, from 2008 to 2015. Mr. Otworth also served as Vice-President and Founding CEO of multiple start-ups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5" name="Frame1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66" name="Frame1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Innovation, a company that provided technology sourcing, innovation strategy, and development services to Lilly/Elanco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Innovation, a company that provided technology sourcing, innovation strategy, and development services to Lilly/Elanco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7" name="Frame1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435100" cy="146685"/>
                <wp:effectExtent l="0" t="0" r="0" b="0"/>
                <wp:wrapNone/>
                <wp:docPr id="868" name="Frame1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51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Michael (“Mike”) Otworth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3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Michael (“Mike”) Otworth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69" name="Frame1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70" name="Frame1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from an early-stage concept to an operational pilot and funded its first commercial plant, followed by a successful public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from an early-stage concept to an operational pilot and funded its first commercial plant, followed by a successful public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5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1" name="Frame1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72" name="Frame1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of PureCycle, an innovative plastic waste processing company, from 2015 to 2022. Mr. Otworth and team took PCT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of PureCycle, an innovative plastic waste processing company, from 2015 to 2022. Mr. Otworth and team took PCT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3" name="Frame1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74" name="Frame1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served as Executive Chairman of Innventure LLC since 2015. Mr. Otworth was the Founding CEO and Chairman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served as Executive Chairman of Innventure LLC since 2015. Mr. Otworth was the Founding CEO and Chairman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5" name="Frame1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45">
                <wp:simplePos x="0" y="0"/>
                <wp:positionH relativeFrom="page">
                  <wp:posOffset>2635250</wp:posOffset>
                </wp:positionH>
                <wp:positionV relativeFrom="line">
                  <wp:posOffset>635</wp:posOffset>
                </wp:positionV>
                <wp:extent cx="4392930" cy="146685"/>
                <wp:effectExtent l="0" t="0" r="0" b="0"/>
                <wp:wrapNone/>
                <wp:docPr id="876" name="Frame1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29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63, is Innventure’s Executive Chairman and a Class III director. Mr. Otworth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5.9pt;height:11.55pt;mso-wrap-distance-left:0pt;mso-wrap-distance-right:0pt;mso-wrap-distance-top:0pt;mso-wrap-distance-bottom:0pt;margin-top:0pt;mso-position-vertical:top;mso-position-vertical-relative:text;margin-left:20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63, is Innventure’s Executive Chairman and a Class III director. Mr. Otworth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Our Executive Officers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6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7" name="Frame1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78" name="Frame1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Founder of &amp;Minds Partners, a consulting firm, since 2019 and is also a full time Finance faculty member at the University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Founder of &amp;Minds Partners, a consulting firm, since 2019 and is also a full time Finance faculty member at the University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79" name="Frame1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80" name="Frame1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Dayton’s Business School. Before founding &amp;Minds Partners, Ms. Williams held roles of increasing responsibility,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Dayton’s Business School. Before founding &amp;Minds Partners, Ms. Williams held roles of increasing responsibility,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1" name="Frame1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82" name="Frame1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ultimately leading Corporate Development and Strategy functions as a C-Suite executive for several Fortune 500 industrial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ultimately leading Corporate Development and Strategy functions as a C-Suite executive for several Fortune 500 industrial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3" name="Frame1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84" name="Frame1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businesses. Ms. Williams was formerly the Vice President of Commercial and Industrial Customer Journey and Products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businesses. Ms. Williams was formerly the Vice President of Commercial and Industrial Customer Journey and Products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5" name="Frame1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886" name="Frame1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Entergy Corporation, an publicly-traded energy company (NYSE: ENT) from 2021 to 2022, where she helped large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Entergy Corporation, an publicly-traded energy company (NYSE: ENT) from 2021 to 2022, where she helped large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7" name="Frame1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888" name="Frame1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industrial processing businesses achieve sustainability goals through emission reduction solutions.  From 2017 to 2019,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industrial processing businesses achieve sustainability goals through emission reduction solutions.  From 2017 to 2019,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89" name="Frame1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890" name="Frame1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Ms. Williams was the Senior Vice President of Strategy and Corporate Development at Tenneco Inc., where she focused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Ms. Williams was the Senior Vice President of Strategy and Corporate Development at Tenneco Inc., where she focused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1" name="Frame1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92" name="Frame1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improving financial and capital markets performance by defining long-term strategy. Ms. Williams served as the 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improving financial and capital markets performance by defining long-term strategy. Ms. Williams served as the 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3" name="Frame1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94" name="Frame1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President and Head of Corporate Strategy from 2014 to 2016 at Maersk, where she simultaneously helped capitalize on end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President and Head of Corporate Strategy from 2014 to 2016 at Maersk, where she simultaneously helped capitalize on end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5" name="Frame1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896" name="Frame1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life oil fields, and reduced portfolio risk from oil price exposures. From 2011 to 2014, she was the Senior Vice President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life oil fields, and reduced portfolio risk from oil price exposures. From 2011 to 2014, she was the Senior Vice President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7" name="Frame1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898" name="Frame1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Head of Corporate Strategy at ABB, where she spearheaded the strategic planning, implementation, and execution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Head of Corporate Strategy at ABB, where she spearheaded the strategic planning, implementation, and execution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899" name="Frame1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00" name="Frame1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$20 billion in institutional investments over four years, including R&amp;D allocation, selling, general, and administrative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$20 billion in institutional investments over four years, including R&amp;D allocation, selling, general, and administrative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1" name="Frame1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02" name="Frame1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expenses, M&amp;A, and capital expenditure initiatives. Prior to 2011, Ms. Williams served as the Director of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expenses, M&amp;A, and capital expenditure initiatives. Prior to 2011, Ms. Williams served as the Director of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3" name="Frame1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04" name="Frame1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Development at United Technologies. Ms. Williams has a B.A. in economics from Stanford University, and an MBA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Development at United Technologies. Ms. Williams has a B.A. in economics from Stanford University, and an MBA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5" name="Frame1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06" name="Frame1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University of Chicago. The Company believes that Ms. Williams is well qualified to serve as a member of the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University of Chicago. The Company believes that Ms. Williams is well qualified to serve as a member of the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07" name="Frame1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63950" cy="293370"/>
                <wp:effectExtent l="0" t="0" r="0" b="0"/>
                <wp:wrapNone/>
                <wp:docPr id="908" name="Frame1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9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due to her significant experience in corporate strategy and development.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8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due to her significant experience in corporate strategy and development.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09" name="Frame1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(“M&amp;A”) transactions, oversaw public company compliance with SEC regulations, and presided over all aspects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(“M&amp;A”) transactions, oversaw public company compliance with SEC regulations, and presided over all aspects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0" name="Frame1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51305" cy="293370"/>
                <wp:effectExtent l="0" t="0" r="0" b="0"/>
                <wp:wrapNone/>
                <wp:docPr id="911" name="Frame1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understanding of our business.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understanding of our business.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988060" cy="293370"/>
                <wp:effectExtent l="0" t="0" r="0" b="0"/>
                <wp:wrapNone/>
                <wp:docPr id="912" name="Frame1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80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Suzanne Niemeyer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7.8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Suzanne Niemeyer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7">
                <wp:simplePos x="0" y="0"/>
                <wp:positionH relativeFrom="page">
                  <wp:posOffset>2188210</wp:posOffset>
                </wp:positionH>
                <wp:positionV relativeFrom="line">
                  <wp:posOffset>635</wp:posOffset>
                </wp:positionV>
                <wp:extent cx="4839335" cy="146685"/>
                <wp:effectExtent l="0" t="0" r="0" b="0"/>
                <wp:wrapNone/>
                <wp:docPr id="913" name="Frame1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93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54, is Innventure’s General Counsel and a Class III director. She also serves as a director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1.05pt;height:11.55pt;mso-wrap-distance-left:0pt;mso-wrap-distance-right:0pt;mso-wrap-distance-top:0pt;mso-wrap-distance-bottom:0pt;margin-top:0pt;mso-position-vertical:top;mso-position-vertical-relative:text;margin-left:172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54, is Innventure’s General Counsel and a Class III director. She also serves as a director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4" name="Frame1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15" name="Frame1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Refinity Holdings, LLC (“Refinity Holdings”). Ms. Niemeyer previously served as the General Counsel and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Refinity Holdings, LLC (“Refinity Holdings”). Ms. Niemeyer previously served as the General Counsel and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6" name="Frame1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17" name="Frame1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Secretary at Magis Capital Partners, a private equity company with a focus on fintech solutions from 2019 to 2024.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Secretary at Magis Capital Partners, a private equity company with a focus on fintech solutions from 2019 to 2024.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18" name="Frame1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19" name="Frame1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2003 to 2019, Ms. Niemeyer served as General Counsel, Managing Director, Corporate Secretary and a member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2003 to 2019, Ms. Niemeyer served as General Counsel, Managing Director, Corporate Secretary and a member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0" name="Frame1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21" name="Frame1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Acquisitions Committee at Actua Corporation (“Actua”), where she was previously the Vice President of Legal from 2000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Acquisitions Committee at Actua Corporation (“Actua”), where she was previously the Vice President of Legal from 2000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2" name="Frame1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23" name="Frame1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2003. While serving Actua, Ms. Niemeyer structured and negotiated dozens of complex mergers and acquisitions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2003. While serving Actua, Ms. Niemeyer structured and negotiated dozens of complex mergers and acquisitions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4" name="Frame1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25" name="Frame1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due to his more than 25 years of experience leading start-ups in the technology industry, as well as his deep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due to his more than 25 years of experience leading start-ups in the technology industry, as well as his deep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6" name="Frame1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27" name="Frame1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governance, including stockholder engagement. Prior to joining Actua, Ms. Niemeyer was an Associate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governance, including stockholder engagement. Prior to joining Actua, Ms. Niemeyer was an Associate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28" name="Frame1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29" name="Frame1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Corporate Department at Dechert LLP. Ms. Niemeyer has previously served on the board of directors for Astea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Corporate Department at Dechert LLP. Ms. Niemeyer has previously served on the board of directors for Astea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0" name="Frame1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31" name="Frame1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International Inc. (June to December 2019), Acquirgy, Inc., Bryn Mawr Rehabilitation Hospital Foundation, and Investor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International Inc. (June to December 2019), Acquirgy, Inc., Bryn Mawr Rehabilitation Hospital Foundation, and Investor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2" name="Frame1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33" name="Frame1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Force Holdings. Ms. Niemeyer has a B.A. from Duke University, and a J.D. from Georgetown University Law Center.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Force Holdings. Ms. Niemeyer has a B.A. from Duke University, and a J.D. from Georgetown University Law Center.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4" name="Frame1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35" name="Frame1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believes that Ms. Niemeyer is well qualified to serve as a member of the Board due to her legal acumen and 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believes that Ms. Niemeyer is well qualified to serve as a member of the Board due to her legal acumen and 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36" name="Frame1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869180" cy="293370"/>
                <wp:effectExtent l="0" t="0" r="0" b="0"/>
                <wp:wrapNone/>
                <wp:docPr id="937" name="Frame1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9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significant experience in corporate governance matters and advising publicly-traded companies.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3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significant experience in corporate governance matters and advising publicly-traded companies.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001395" cy="293370"/>
                <wp:effectExtent l="0" t="0" r="0" b="0"/>
                <wp:wrapNone/>
                <wp:docPr id="938" name="Frame1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Elizabeth Williams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8.8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Elizabeth Williams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93">
                <wp:simplePos x="0" y="0"/>
                <wp:positionH relativeFrom="page">
                  <wp:posOffset>2201545</wp:posOffset>
                </wp:positionH>
                <wp:positionV relativeFrom="line">
                  <wp:posOffset>635</wp:posOffset>
                </wp:positionV>
                <wp:extent cx="4826635" cy="146685"/>
                <wp:effectExtent l="0" t="0" r="0" b="0"/>
                <wp:wrapNone/>
                <wp:docPr id="939" name="Frame1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66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56, is a Class III director of Innventure. Ms. Williams has served as Managing Partner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0.05pt;height:11.55pt;mso-wrap-distance-left:0pt;mso-wrap-distance-right:0pt;mso-wrap-distance-top:0pt;mso-wrap-distance-bottom:0pt;margin-top:0pt;mso-position-vertical:top;mso-position-vertical-relative:text;margin-left:17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56, is a Class III director of Innventure. Ms. Williams has served as Managing Partner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11</w:t>
      </w:r>
      <w:r>
        <mc:AlternateContent>
          <mc:Choice Requires="wps">
            <w:drawing>
              <wp:anchor behindDoc="0" distT="0" distB="0" distL="0" distR="0" simplePos="0" locked="0" layoutInCell="1" allowOverlap="1" relativeHeight="16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40" name="Frame1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founded in 2003. Mr. Austrup is also a co-founder and director of Envest Corp., a downstream energy company, and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founded in 2003. Mr. Austrup is also a co-founder and director of Envest Corp., a downstream energy company, and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1" name="Frame1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42" name="Frame1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Officer since June 2024 and as a member of Innventure LLC’s Executive Committee since 2023. Prior to his change of title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Officer since June 2024 and as a member of Innventure LLC’s Executive Committee since 2023. Prior to his change of title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3" name="Frame1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44" name="Frame1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Chief Growth Officer in June 2024, Mr. Austrup had served as Head of Capital Markets since 2023, and he also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Chief Growth Officer in June 2024, Mr. Austrup had served as Head of Capital Markets since 2023, and he also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5" name="Frame1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46" name="Frame1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previously served as Innventure LLC’s CFO from 2021 to 2023. Since 2019, Mr. Austrup has served as Chairman &amp;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previously served as Innventure LLC’s CFO from 2021 to 2023. Since 2019, Mr. Austrup has served as Chairman &amp;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47" name="Frame1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48" name="Frame1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Managing Principal of WaveFront Global Asset Management Corp., a Toronto-based global hedge fund company he co-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Managing Principal of WaveFront Global Asset Management Corp., a Toronto-based global hedge fund company he co-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4">
                <wp:simplePos x="0" y="0"/>
                <wp:positionH relativeFrom="page">
                  <wp:posOffset>2038985</wp:posOffset>
                </wp:positionH>
                <wp:positionV relativeFrom="line">
                  <wp:posOffset>635</wp:posOffset>
                </wp:positionV>
                <wp:extent cx="4989195" cy="146685"/>
                <wp:effectExtent l="0" t="0" r="0" b="0"/>
                <wp:wrapNone/>
                <wp:docPr id="949" name="Frame1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91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61, is Innventure’s Chief Growth Officer. Roland has served as Innventure LLC’s Chief Growth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85pt;height:11.55pt;mso-wrap-distance-left:0pt;mso-wrap-distance-right:0pt;mso-wrap-distance-top:0pt;mso-wrap-distance-bottom:0pt;margin-top:0pt;mso-position-vertical:top;mso-position-vertical-relative:text;margin-left:16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61, is Innventure’s Chief Growth Officer. Roland has served as Innventure LLC’s Chief Growth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0" name="Frame1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51" name="Frame1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Advisory Board member of both the Master of Quantitative Finance program at the University of Waterloo and 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Advisory Board member of both the Master of Quantitative Finance program at the University of Waterloo and 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2" name="Frame1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53" name="Frame1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Tracks Capital, a Canadian private equity firm. Prior to that, Roland was an Investment Advisor with BMO Nesbitt Burns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Tracks Capital, a Canadian private equity firm. Prior to that, Roland was an Investment Advisor with BMO Nesbitt Burns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4" name="Frame1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55" name="Frame1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Inc. and began his career as a Commodities Broker with ScotiaMcLeod Inc. where he was primarily involved with hedging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Inc. and began his career as a Commodities Broker with ScotiaMcLeod Inc. where he was primarily involved with hedging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6" name="Frame1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36945" cy="293370"/>
                <wp:effectExtent l="0" t="0" r="0" b="0"/>
                <wp:wrapNone/>
                <wp:docPr id="957" name="Frame1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6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commodity price risk for corporate clients. Roland holds a B.A. with Honours from the University of Western Ontario.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5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commodity price risk for corporate clients. Roland holds a B.A. with Honours from the University of Western Ontario.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8" name="Frame1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59" name="Frame1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27125" cy="293370"/>
                <wp:effectExtent l="0" t="0" r="0" b="0"/>
                <wp:wrapNone/>
                <wp:docPr id="960" name="Frame1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1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officers are: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8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officers are: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08990" cy="146685"/>
                <wp:effectExtent l="0" t="0" r="0" b="0"/>
                <wp:wrapNone/>
                <wp:docPr id="961" name="Frame1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9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John Scott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7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John Scott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0">
                <wp:simplePos x="0" y="0"/>
                <wp:positionH relativeFrom="page">
                  <wp:posOffset>2009140</wp:posOffset>
                </wp:positionH>
                <wp:positionV relativeFrom="line">
                  <wp:posOffset>635</wp:posOffset>
                </wp:positionV>
                <wp:extent cx="5019675" cy="146685"/>
                <wp:effectExtent l="0" t="0" r="0" b="0"/>
                <wp:wrapNone/>
                <wp:docPr id="962" name="Frame1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6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, 74, is Innventure’s Chief Strategy Officer. Dr. Scott has served as Chief Strategy Officer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5.25pt;height:11.55pt;mso-wrap-distance-left:0pt;mso-wrap-distance-right:0pt;mso-wrap-distance-top:0pt;mso-wrap-distance-bottom:0pt;margin-top:0pt;mso-position-vertical:top;mso-position-vertical-relative:text;margin-left:158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, 74, is Innventure’s Chief Strategy Officer. Dr. Scott has served as Chief Strategy Officer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3" name="Frame1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964" name="Frame1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since 2015. Prior to co-founding Innventure LLC, Dr. Scott served as Founder and CEO of XLTG, where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since 2015. Prior to co-founding Innventure LLC, Dr. Scott served as Founder and CEO of XLTG, where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5" name="Frame1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66" name="Frame1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he developed the DownSelect method that Innventure uses today to vet disruptive technologies from top MNCs and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he developed the DownSelect method that Innventure uses today to vet disruptive technologies from top MNCs and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2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967" name="Frame1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 to Mr. Haskell, our CEO, Mr. Yablunosky and our CFO, Mr. Otworth, our Executive Chairman,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 to Mr. Haskell, our CEO, Mr. Yablunosky and our CFO, Mr. Otworth, our Executive Chairman,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68" name="Frame1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associated business opportunities, from 1993 to 2013. Dr. Scott also served as an academic scientist at numerous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associated business opportunities, from 1993 to 2013. Dr. Scott also served as an academic scientist at numerous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69" name="Frame1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70" name="Frame1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universities and government labs, including the University of Maryland, the University of North Carolina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universities and government labs, including the University of Maryland, the University of North Carolina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3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1" name="Frame1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72" name="Frame1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University of Arizona, as well as the NASA Goddard Space Flight Center. He earned his Ph.D. in Physics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University of Arizona, as well as the NASA Goddard Space Flight Center. He earned his Ph.D. in Physics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3" name="Frame1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35805" cy="293370"/>
                <wp:effectExtent l="0" t="0" r="0" b="0"/>
                <wp:wrapNone/>
                <wp:docPr id="974" name="Frame1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8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Astrophysics from the University of Arizona and has published over 60 academic papers.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7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Astrophysics from the University of Arizona and has published over 60 academic papers.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38835" cy="293370"/>
                <wp:effectExtent l="0" t="0" r="0" b="0"/>
                <wp:wrapNone/>
                <wp:docPr id="975" name="Frame1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8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Roland Austrup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Roland Austrup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Governance Overview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Board Composition </w:t>
      </w:r>
      <w:r>
        <mc:AlternateContent>
          <mc:Choice Requires="wps">
            <w:drawing>
              <wp:anchor behindDoc="0" distT="0" distB="0" distL="0" distR="0" simplePos="0" locked="0" layoutInCell="1" allowOverlap="1" relativeHeight="16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976" name="Frame1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governance policies and practices provide a transparent framework for effective governance and compliance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governance policies and practices provide a transparent framework for effective governance and compliance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7" name="Frame1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78" name="Frame1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SEC and Nasdaq requirements. Our Board is committed to developing and continually reviewing our governance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SEC and Nasdaq requirements. Our Board is committed to developing and continually reviewing our governance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79" name="Frame1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980" name="Frame1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framework for alignment with best practices and stakeholder interests, and acts to enhance our ability to oversee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framework for alignment with best practices and stakeholder interests, and acts to enhance our ability to oversee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1" name="Frame1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82" name="Frame1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execution of strategies that drive value for the Company, our customers, employees and stockholders.  Our governance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execution of strategies that drive value for the Company, our customers, employees and stockholders.  Our governance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6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3" name="Frame1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984" name="Frame1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documents, including our Board committee charters, Code of Business Conduct and Ethics (“Code of Conduct”), and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documents, including our Board committee charters, Code of Business Conduct and Ethics (“Code of Conduct”), and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5" name="Frame1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986" name="Frame1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governance policies are available on our website at https://ir.innventure.com/corporate-governance/documents-charters.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governance policies are available on our website at https://ir.innventure.com/corporate-governance/documents-charters.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7" name="Frame1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988" name="Frame1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Information contained on or accessible through our website is not a part of this Proxy Statement and included for reference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Information contained on or accessible through our website is not a part of this Proxy Statement and included for reference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5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89" name="Frame1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7175" cy="293370"/>
                <wp:effectExtent l="0" t="0" r="0" b="0"/>
                <wp:wrapNone/>
                <wp:docPr id="990" name="Frame1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Orientation and Continuing Education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170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991" name="Frame1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2" name="Frame1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120900" cy="293370"/>
                <wp:effectExtent l="0" t="0" r="0" b="0"/>
                <wp:wrapNone/>
                <wp:docPr id="993" name="Frame1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0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expire at this year’s Annual Meeting;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expire at this year’s Annual Meeting;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8">
                <wp:simplePos x="0" y="0"/>
                <wp:positionH relativeFrom="page">
                  <wp:posOffset>3549650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4" name="Frame1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9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995" name="Frame1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996" name="Frame1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Class II directors are David Yablunosky, James O. Donnally and Bruce Brown, and their terms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Class II directors are David Yablunosky, James O. Donnally and Bruce Brown, and their terms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7" name="Frame1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446145" cy="293370"/>
                <wp:effectExtent l="0" t="0" r="0" b="0"/>
                <wp:wrapNone/>
                <wp:docPr id="998" name="Frame1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61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expire at the annual meeting of stockholders to be held in 2026;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3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expire at the annual meeting of stockholders to be held in 2026;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3">
                <wp:simplePos x="0" y="0"/>
                <wp:positionH relativeFrom="page">
                  <wp:posOffset>4874895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99" name="Frame1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83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1000" name="Frame1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Class I directors are Gregory W. Haskell, Daniel J. Hennessy and Michael Amalfitano, and their 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Class I directors are Gregory W. Haskell, Daniel J. Hennessy and Michael Amalfitano, and their 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001" name="Frame1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Class III directors are Michael Otworth, Suzanne Niemeyer and Elizabeth Williams, and their terms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Class III directors are Michael Otworth, Suzanne Niemeyer and Elizabeth Williams, and their terms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2" name="Frame1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227705" cy="293370"/>
                <wp:effectExtent l="0" t="0" r="0" b="0"/>
                <wp:wrapNone/>
                <wp:docPr id="1003" name="Frame1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77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expire at the annual meeting of stockholders to be held in 2027.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4.1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expire at the annual meeting of stockholders to be held in 2027.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04" name="Frame1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additional directorships resulting from an increase in the authorized number of directors will be distributed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additional directorships resulting from an increase in the authorized number of directors will be distributed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0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5" name="Frame1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06" name="Frame1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among the three classes so that, as nearly as possible, each class will consist of one-third of our authorized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among the three classes so that, as nearly as possible, each class will consist of one-third of our authorized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7" name="Frame1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5615" cy="293370"/>
                <wp:effectExtent l="0" t="0" r="0" b="0"/>
                <wp:wrapNone/>
                <wp:docPr id="1008" name="Frame1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6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09" name="Frame1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0" name="Frame1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11" name="Frame1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directors. Each director will continue to serve as a director until the election and qualification of his or her successor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directors. Each director will continue to serve as a director until the election and qualification of his or her successor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2" name="Frame1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13" name="Frame1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until his or her earlier death, resignation or removal. Subject to the rights of holders of any future series of preferred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until his or her earlier death, resignation or removal. Subject to the rights of holders of any future series of preferred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4" name="Frame1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15" name="Frame1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outstanding, directors may be removed only for cause by an affirmative vote of at least two-thirds of the total voting power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outstanding, directors may be removed only for cause by an affirmative vote of at least two-thirds of the total voting power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16" name="Frame1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17" name="Frame1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(which vote shall include the votes of the Series B Preferred Stock holders and Series C Preferred Stock holders voting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(which vote shall include the votes of the Series B Preferred Stock holders and Series C Preferred Stock holders voting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7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018" name="Frame1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business and affairs of Innventure are managed under the direction of our Board. Our Board consists of nine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business and affairs of Innventure are managed under the direction of our Board. Our Board consists of nine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19" name="Frame1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together with the Common Stock holders as a single class), at a meeting called for that purpose. The authorized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together with the Common Stock holders as a single class), at a meeting called for that purpose. The authorized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20" name="Frame1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33770" cy="293370"/>
                <wp:effectExtent l="0" t="0" r="0" b="0"/>
                <wp:wrapNone/>
                <wp:docPr id="1021" name="Frame1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37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 may be changed by resolution of our Board. Vacancies on our Board can be filled by resolution of our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5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 may be changed by resolution of our Board. Vacancies on our Board can be filled by resolution of our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022" name="Frame1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our Certificate of Incorporation, our Board is divided into three classes, each serving staggered, three-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our Certificate of Incorporation, our Board is divided into three classes, each serving staggered, three-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23" name="Frame1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year terms. Only one class of directors will be elected at each annual meeting of stockholders, with the other classes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year terms. Only one class of directors will be elected at each annual meeting of stockholders, with the other classes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24" name="Frame1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40960" cy="293370"/>
                <wp:effectExtent l="0" t="0" r="0" b="0"/>
                <wp:wrapNone/>
                <wp:docPr id="1025" name="Frame1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0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continuing for the remainder of their respective three-year terms. Our Board is designated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continuing for the remainder of their respective three-year terms. Our Board is designated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9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26" name="Frame1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Independence</w:t>
      </w:r>
      <w:r>
        <mc:AlternateContent>
          <mc:Choice Requires="wps">
            <w:drawing>
              <wp:anchor behindDoc="0" distT="0" distB="0" distL="0" distR="0" simplePos="0" locked="0" layoutInCell="1" allowOverlap="1" relativeHeight="171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027" name="Frame1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was formed in October 2024 with Innventure’s public listing.  The N&amp;CG Committee will lead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was formed in October 2024 with Innventure’s public listing.  The N&amp;CG Committee will lead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28" name="Frame1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29" name="Frame1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development of a Board orientation and onboarding program for future new directors. Onboarding will include integrating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development of a Board orientation and onboarding program for future new directors. Onboarding will include integrating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0" name="Frame1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31" name="Frame1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new directors into the Board to understand the details of Innventure’s strategy, and providing such future new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new directors into the Board to understand the details of Innventure’s strategy, and providing such future new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2" name="Frame1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1033" name="Frame1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the information needed to guide our growth and expansion – including the policies and procedures applicable to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the information needed to guide our growth and expansion – including the policies and procedures applicable to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4" name="Frame1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035" name="Frame1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members.  Additionally, the N&amp;CG Committee ensures the Board, including future new directors, have the opportunity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members.  Additionally, the N&amp;CG Committee ensures the Board, including future new directors, have the opportunity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6" name="Frame1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917190" cy="293370"/>
                <wp:effectExtent l="0" t="0" r="0" b="0"/>
                <wp:wrapNone/>
                <wp:docPr id="1037" name="Frame1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71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engage with our management and senior leadership team.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9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engage with our management and senior leadership team.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38" name="Frame1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encourages our directors to pursue continuing education programs focused on our business and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encourages our directors to pursue continuing education programs focused on our business and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39" name="Frame1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32475" cy="293370"/>
                <wp:effectExtent l="0" t="0" r="0" b="0"/>
                <wp:wrapNone/>
                <wp:docPr id="1040" name="Frame1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24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roles and responsibilities as public company directors.  We reimburse our directors for the costs of these programs.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roles and responsibilities as public company directors.  We reimburse our directors for the costs of these programs.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12</w:t>
      </w:r>
      <w:r>
        <mc:AlternateContent>
          <mc:Choice Requires="wps">
            <w:drawing>
              <wp:anchor behindDoc="0" distT="0" distB="0" distL="0" distR="0" simplePos="0" locked="0" layoutInCell="1" allowOverlap="1" relativeHeight="172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41" name="Frame1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evaluated and affirmatively determined the independence of each of James O. Donnally, Bruce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evaluated and affirmatively determined the independence of each of James O. Donnally, Bruce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2" name="Frame1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43" name="Frame1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Brown, Elizabeth Williams, Daniel J. Hennessy, and Michael Amalfitano: (i) based on each nominee’s completed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Brown, Elizabeth Williams, Daniel J. Hennessy, and Michael Amalfitano: (i) based on each nominee’s completed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4" name="Frame1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45" name="Frame1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questionnaire designed to solicit information about relationships that could have an impact on independence and (ii) using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questionnaire designed to solicit information about relationships that could have an impact on independence and (ii) using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6" name="Frame1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47" name="Frame1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standards required by the SEC and Nasdaq. In making these determinations, the Board considered the current and prior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standards required by the SEC and Nasdaq. In making these determinations, the Board considered the current and prior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48" name="Frame1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49" name="Frame1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relationships that each non-employee director has with Innventure and all other facts and circumstances the Board deemed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relationships that each non-employee director has with Innventure and all other facts and circumstances the Board deemed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0" name="Frame1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051" name="Frame1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relevant in determining a director nominee’s independence, including the beneficial ownership of our capital stock by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relevant in determining a director nominee’s independence, including the beneficial ownership of our capital stock by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2" name="Frame1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3640" cy="293370"/>
                <wp:effectExtent l="0" t="0" r="0" b="0"/>
                <wp:wrapNone/>
                <wp:docPr id="1053" name="Frame1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36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non-employee director.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non-employee director.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Nominations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Agreements to Nominate Certain Directors</w:t>
      </w:r>
      <w:r>
        <mc:AlternateContent>
          <mc:Choice Requires="wps">
            <w:drawing>
              <wp:anchor behindDoc="0" distT="0" distB="0" distL="0" distR="0" simplePos="0" locked="0" layoutInCell="1" allowOverlap="1" relativeHeight="174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054" name="Frame1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N&amp;CG Committee is responsible for identifying and reviewing the qualifications of potential director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N&amp;CG Committee is responsible for identifying and reviewing the qualifications of potential director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5" name="Frame1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56" name="Frame1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candidates and recommending to the Board those individuals for election to Innventure’s Board. The N&amp;CG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candidates and recommending to the Board those individuals for election to Innventure’s Board. The N&amp;CG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7" name="Frame1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58" name="Frame1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recommends directors who have the experience, qualifications, skills and attributes to guide the Company and function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recommends directors who have the experience, qualifications, skills and attributes to guide the Company and function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59" name="Frame1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060" name="Frame1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effectively. The N&amp;CG Committee is also responsible for making recommendations to the Board of the criteria to be used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effectively. The N&amp;CG Committee is also responsible for making recommendations to the Board of the criteria to be used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61" name="Frame1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78555" cy="293370"/>
                <wp:effectExtent l="0" t="0" r="0" b="0"/>
                <wp:wrapNone/>
                <wp:docPr id="1062" name="Frame1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85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the N&amp;CG Committee in seeking nominees for election to the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9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the N&amp;CG Committee in seeking nominees for election to the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Stockholder Nominations &amp; Filling Vacancies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79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063" name="Frame1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two (2) director, so long as the Founding Investors beneficially own at least 5%, but less than 20%,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two (2) director, so long as the Founding Investors beneficially own at least 5%, but less than 20%,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64" name="Frame1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938655" cy="293370"/>
                <wp:effectExtent l="0" t="0" r="0" b="0"/>
                <wp:wrapNone/>
                <wp:docPr id="1065" name="Frame1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 shares of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2.6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 shares of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66" name="Frame1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1067" name="Frame1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six (6) directors, so long as the Founding Investors beneficially own more than 50%, but less than 70%,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six (6) directors, so long as the Founding Investors beneficially own more than 50%, but less than 70%,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68" name="Frame1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263140" cy="293370"/>
                <wp:effectExtent l="0" t="0" r="0" b="0"/>
                <wp:wrapNone/>
                <wp:docPr id="1069" name="Frame1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1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outstanding shares of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8.2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outstanding shares of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70" name="Frame1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1071" name="Frame1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four (4) directors, so long as the Founding Investors beneficially own at least 40%, but less than 50%,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four (4) directors, so long as the Founding Investors beneficially own at least 40%, but less than 50%,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72" name="Frame1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125345" cy="293370"/>
                <wp:effectExtent l="0" t="0" r="0" b="0"/>
                <wp:wrapNone/>
                <wp:docPr id="1073" name="Frame1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5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outstanding shares of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7.3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outstanding shares of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74" name="Frame1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075" name="Frame1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three (3) directors, so long as the Founding Investors beneficially own at least 20%, but less than 40%,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three (3) directors, so long as the Founding Investors beneficially own at least 20%, but less than 40%,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76" name="Frame1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477770" cy="293370"/>
                <wp:effectExtent l="0" t="0" r="0" b="0"/>
                <wp:wrapNone/>
                <wp:docPr id="1077" name="Frame1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7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outstanding shares of Common Stock;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outstanding shares of Common Stock;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078" name="Frame1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8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1079" name="Frame1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 to seven (7) directors, so long as the Founding Investors beneficially own greater than 70%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 to seven (7) directors, so long as the Founding Investors beneficially own greater than 70%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0" name="Frame1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484755" cy="293370"/>
                <wp:effectExtent l="0" t="0" r="0" b="0"/>
                <wp:wrapNone/>
                <wp:docPr id="1081" name="Frame1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47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outstanding common shares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6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outstanding common shares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9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082" name="Frame1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the event that the size of the Board is increased or decreased to a number of authorized directors other than nine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the event that the size of the Board is increased or decreased to a number of authorized directors other than nine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3" name="Frame1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84" name="Frame1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(9), the Founding Investors’ nomination rights will be proportionately increased or decreased, respectively, rounded up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(9), the Founding Investors’ nomination rights will be proportionately increased or decreased, respectively, rounded up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5" name="Frame1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086" name="Frame1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nearest whole number. In the event that a vacancy is created on the Board by the death, disability, resignation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nearest whole number. In the event that a vacancy is created on the Board by the death, disability, resignation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7" name="Frame1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088" name="Frame1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removal of a Founding Investor Nominee, the Founding Investors will be entitled to designate an individual to fill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removal of a Founding Investor Nominee, the Founding Investors will be entitled to designate an individual to fill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89" name="Frame1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90" name="Frame1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vacancy. The Founding Investors currently have the right to nominate for election to the Board three (3) Founding Investor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vacancy. The Founding Investors currently have the right to nominate for election to the Board three (3) Founding Investor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1" name="Frame1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6100" cy="293370"/>
                <wp:effectExtent l="0" t="0" r="0" b="0"/>
                <wp:wrapNone/>
                <wp:docPr id="1092" name="Frame1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Nominees.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Nominees.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0">
                <wp:simplePos x="0" y="0"/>
                <wp:positionH relativeFrom="page">
                  <wp:posOffset>1289050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3" name="Frame1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01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094" name="Frame12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of the members of Innventure LLC (the “Founding Investors”) and other parties entered into the Amended &amp;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of the members of Innventure LLC (the “Founding Investors”) and other parties entered into the Amended &amp;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0">
                <wp:simplePos x="0" y="0"/>
                <wp:positionH relativeFrom="page">
                  <wp:posOffset>6430010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5" name="Frame1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0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096" name="Frame1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Additionally, in connection with the completion (the “Closing”) of the business combination on October 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Additionally, in connection with the completion (the “Closing”) of the business combination on October 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7" name="Frame1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098" name="Frame1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(the “Business Combination”) by and between Learn CW Investment Corporation, a Cayman Islands exempted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(the “Business Combination”) by and between Learn CW Investment Corporation, a Cayman Islands exempted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099" name="Frame1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00" name="Frame1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(“Learn CW”), Innventure LLC, a Delaware limited liability company, Learn SPAC HoldCo, Inc., a Delaware corporation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(“Learn CW”), Innventure LLC, a Delaware limited liability company, Learn SPAC HoldCo, Inc., a Delaware corporation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1" name="Frame1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02" name="Frame1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(“Holdco”), LCW Merger Sub, Inc., a Delaware corporation (LCW Merger Sub”), and Innventure Merger Sub, LLC,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(“Holdco”), LCW Merger Sub, Inc., a Delaware corporation (LCW Merger Sub”), and Innventure Merger Sub, LLC,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3" name="Frame1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04" name="Frame1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Delaware limited liability company (“Innventure Merger Sub”) and the other transactions contemplated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Delaware limited liability company (“Innventure Merger Sub”) and the other transactions contemplated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5" name="Frame12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75260"/>
                <wp:effectExtent l="0" t="0" r="0" b="0"/>
                <wp:wrapNone/>
                <wp:docPr id="1106" name="Frame12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Transactions”) by the Business Combination Agreement (the “Business Combination Agreement”), dated October 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Transactions”) by the Business Combination Agreement (the “Business Combination Agreement”), dated October 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7" name="Frame12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08" name="Frame12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2023, by and among Learn CW, Innventure LLC, Holdco, LCW Merger Sub, and Innventure Merger Sub, the Company,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2023, by and among Learn CW, Innventure LLC, Holdco, LCW Merger Sub, and Innventure Merger Sub, the Company,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09" name="Frame12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4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229860" cy="293370"/>
                <wp:effectExtent l="0" t="0" r="0" b="0"/>
                <wp:wrapNone/>
                <wp:docPr id="1110" name="Frame1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Hennessy is a director designated by Learn CW pursuant to the Business Combination Agreement.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1.8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Hennessy is a director designated by Learn CW pursuant to the Business Combination Agreement.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1" name="Frame12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12" name="Frame12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Restated Investor Rights Agreement (the “Investor Rights Agreement” or “IRA”). Pursuant to the Investor Rights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Restated Investor Rights Agreement (the “Investor Rights Agreement” or “IRA”). Pursuant to the Investor Rights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3" name="Frame12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14" name="Frame12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the Company agreed to grant the Founding Investors certain rights with respect to nomination of the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the Company agreed to grant the Founding Investors certain rights with respect to nomination of the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5" name="Frame12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72005" cy="293370"/>
                <wp:effectExtent l="0" t="0" r="0" b="0"/>
                <wp:wrapNone/>
                <wp:docPr id="1116" name="Frame12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0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Board, as further described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Board, as further described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117" name="Frame12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Investor Rights Agreement, at each annual meeting or special meeting of stockholders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Investor Rights Agreement, at each annual meeting or special meeting of stockholders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18" name="Frame12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119" name="Frame12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at which directors are to be elected, the Founding Investors will have the right to nominate for election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at which directors are to be elected, the Founding Investors will have the right to nominate for election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0" name="Frame12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21" name="Frame12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a number of nominees (“Founding Investor Nominees”). The number of Founding Investor Nominees with respect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a number of nominees (“Founding Investor Nominees”). The number of Founding Investor Nominees with respect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2" name="Frame1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30065" cy="293370"/>
                <wp:effectExtent l="0" t="0" r="0" b="0"/>
                <wp:wrapNone/>
                <wp:docPr id="1123" name="Frame1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00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any meeting of stockholders at which directors are to be elected will be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0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any meeting of stockholders at which directors are to be elected will be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7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124" name="Frame1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13</w:t>
      </w:r>
      <w:r>
        <mc:AlternateContent>
          <mc:Choice Requires="wps">
            <w:drawing>
              <wp:anchor behindDoc="0" distT="0" distB="0" distL="0" distR="0" simplePos="0" locked="0" layoutInCell="1" allowOverlap="1" relativeHeight="181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25" name="Frame1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Section 2.14 of our Bylaws, a stockholder may make a nomination of a person or persons for election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Section 2.14 of our Bylaws, a stockholder may make a nomination of a person or persons for election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6" name="Frame1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27" name="Frame1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Board upon (a) Timely Notice (as defined by the Bylaws) in writing and in proper form to the Secretary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Board upon (a) Timely Notice (as defined by the Bylaws) in writing and in proper form to the Secretary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28" name="Frame1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29" name="Frame1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Company, (b) providing the information, agreements, and questionnaires with respect to the nominating stockholder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Company, (b) providing the information, agreements, and questionnaires with respect to the nominating stockholder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0" name="Frame1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31" name="Frame1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stockholder’s nominee as required by the Bylaws, and (c) providing any updates or supplements to such notices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stockholder’s nominee as required by the Bylaws, and (c) providing any updates or supplements to such notices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2" name="Frame1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89405" cy="293370"/>
                <wp:effectExtent l="0" t="0" r="0" b="0"/>
                <wp:wrapNone/>
                <wp:docPr id="1133" name="Frame1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 required by the Bylaws.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 required by the Bylaws.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1134" name="Frame1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Article VI of our Certificate of Incorporation, subject to the rights, if any, of the holders of any series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Article VI of our Certificate of Incorporation, subject to the rights, if any, of the holders of any series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5" name="Frame1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136" name="Frame1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preferred stock and the rights of Learn CW and the Founding Investors under the Business Combination Agreement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preferred stock and the rights of Learn CW and the Founding Investors under the Business Combination Agreement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7" name="Frame1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Leadership Structure</w:t>
      </w:r>
      <w:r>
        <mc:AlternateContent>
          <mc:Choice Requires="wps">
            <w:drawing>
              <wp:anchor behindDoc="0" distT="0" distB="0" distL="0" distR="0" simplePos="0" locked="0" layoutInCell="1" allowOverlap="1" relativeHeight="184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8" name="Frame1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39" name="Frame1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40" name="Frame1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earlier death, resignation, retirement, disqualification, or removal. No decrease in the number of directors constituting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earlier death, resignation, retirement, disqualification, or removal. No decrease in the number of directors constituting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1" name="Frame1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94635" cy="293370"/>
                <wp:effectExtent l="0" t="0" r="0" b="0"/>
                <wp:wrapNone/>
                <wp:docPr id="1142" name="Frame1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6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may shorten the term of any incumbent director.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0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may shorten the term of any incumbent director.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5">
                <wp:simplePos x="0" y="0"/>
                <wp:positionH relativeFrom="page">
                  <wp:posOffset>3537585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3" name="Frame1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8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44" name="Frame1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the event that a vacancy is created on the Board at any time by the death, disability, resignation or removal of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the event that a vacancy is created on the Board at any time by the death, disability, resignation or removal of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5" name="Frame1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1146" name="Frame1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designated by the Founding Investors pursuant to the IRA, then the Founding Investors will be entitled to designate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designated by the Founding Investors pursuant to the IRA, then the Founding Investors will be entitled to designate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47" name="Frame1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class for which such director has been chosen, and until his successor is elected and qualified or until such director’s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class for which such director has been chosen, and until his successor is elected and qualified or until such director’s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48" name="Frame1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individual to fill the vacancy. The Company will take all necessary action (to the extent permitted by applicable law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individual to fill the vacancy. The Company will take all necessary action (to the extent permitted by applicable law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49" name="Frame1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50" name="Frame1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extent such action is consistent with the fiduciary duties of the directors under Delaware law) to cause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extent such action is consistent with the fiduciary duties of the directors under Delaware law) to cause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1" name="Frame1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2" name="Frame1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replacement designee to become a member of the Board. Additionally, for so long as Learn CW has the right to select one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replacement designee to become a member of the Board. Additionally, for so long as Learn CW has the right to select one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3" name="Frame1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15280" cy="293370"/>
                <wp:effectExtent l="0" t="0" r="0" b="0"/>
                <wp:wrapNone/>
                <wp:docPr id="1154" name="Frame1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52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to the Board, any vacancy with respect to the Learn CW director may only be filled by Learn CW.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6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to the Board, any vacancy with respect to the Learn CW director may only be filled by Learn CW.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5" name="Frame1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IRA, respectively, directors may be removed only for cause by an affirmative vote of at least two-thirds of the total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IRA, respectively, directors may be removed only for cause by an affirmative vote of at least two-thirds of the total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6" name="Frame1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7" name="Frame1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a sole remaining director, and not by the stockholders. Any director so chosen will hold office until the next election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a sole remaining director, and not by the stockholders. Any director so chosen will hold office until the next election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58" name="Frame1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59" name="Frame1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filled exclusively by the affirmative vote of a majority of the directors then in office, even though less than a quorum,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filled exclusively by the affirmative vote of a majority of the directors then in office, even though less than a quorum,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0" name="Frame1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61" name="Frame1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directors and any vacancies on the Board resulting from death, resignation, disqualification, removal, or other cause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directors and any vacancies on the Board resulting from death, resignation, disqualification, removal, or other cause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2" name="Frame1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63" name="Frame1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Combination Agreement and the IRA, respectively, newly created directorships resulting from any increase in the 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Combination Agreement and the IRA, respectively, newly created directorships resulting from any increase in the 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4" name="Frame1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65" name="Frame1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any series of preferred stock and the rights of Learn CW and the Founding Investors under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any series of preferred stock and the rights of Learn CW and the Founding Investors under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6" name="Frame1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67" name="Frame1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directors, voting together as a single class, at a meeting duly called for that purpose. Subject to the rights, if any,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directors, voting together as a single class, at a meeting duly called for that purpose. Subject to the rights, if any,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68" name="Frame1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169" name="Frame1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voting power of all the outstanding shares of capital stock of the Company entitled to vote generally in the election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voting power of all the outstanding shares of capital stock of the Company entitled to vote generally in the election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0" name="Frame1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Board’s Role in Risk Oversight</w:t>
      </w:r>
      <w:r>
        <mc:AlternateContent>
          <mc:Choice Requires="wps">
            <w:drawing>
              <wp:anchor behindDoc="0" distT="0" distB="0" distL="0" distR="0" simplePos="0" locked="0" layoutInCell="1" allowOverlap="1" relativeHeight="18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71" name="Frame1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person or if the Chairman is another non-independent director. The LID, if any, will serve for a term specified by the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person or if the Chairman is another non-independent director. The LID, if any, will serve for a term specified by the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36590" cy="293370"/>
                <wp:effectExtent l="0" t="0" r="0" b="0"/>
                <wp:wrapNone/>
                <wp:docPr id="1172" name="Frame1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65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and extensive knowledge of Innventure, enables him to drive strategy and agenda-setting at the Board level.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and extensive knowledge of Innventure, enables him to drive strategy and agenda-setting at the Board level.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3" name="Frame1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74" name="Frame1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Furthermore, our Board believes that having Mr. Otworth serve as our Executive Chairman, given his significant history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Furthermore, our Board believes that having Mr. Otworth serve as our Executive Chairman, given his significant history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5" name="Frame1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76" name="Frame1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and the CEO with balancing long-term strategic development and operations planning and implementation.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and the CEO with balancing long-term strategic development and operations planning and implementation.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7" name="Frame1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178" name="Frame1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best interests and supports the Board’s risk oversight efforts because it enables the Executive Chairman to support both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best interests and supports the Board’s risk oversight efforts because it enables the Executive Chairman to support both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79" name="Frame1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80" name="Frame1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believes separating the roles of Executive Chairman and CEO is in Innventure’s and our stockholders’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believes separating the roles of Executive Chairman and CEO is in Innventure’s and our stockholders’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59275" cy="293370"/>
                <wp:effectExtent l="0" t="0" r="0" b="0"/>
                <wp:wrapNone/>
                <wp:docPr id="1181" name="Frame1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92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until his or her successor is selected by the Board. We currently do not have a LID.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until his or her successor is selected by the Board. We currently do not have a LID.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2" name="Frame1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183" name="Frame1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regularly reviews the Board’s leadership structure and the standing committees’ responsibilities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regularly reviews the Board’s leadership structure and the standing committees’ responsibilities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4" name="Frame1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85" name="Frame1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Director (“LID”) from the independent directors if the positions of Chairman and CEO are held by the same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Director (“LID”) from the independent directors if the positions of Chairman and CEO are held by the same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6" name="Frame1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187" name="Frame1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Committee, Chair of the Compensation Committee (as defined below) and our CEO. Our Board may also select a Lead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Committee, Chair of the Compensation Committee (as defined below) and our CEO. Our Board may also select a Lead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88" name="Frame1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89" name="Frame1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an Executive Chairman, an independent Chair of the Audit Committee (as defined below), Chair of the N&amp;CG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an Executive Chairman, an independent Chair of the Audit Committee (as defined below), Chair of the N&amp;CG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0" name="Frame1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91" name="Frame1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perspectives of the Board members and promote effective oversight. Our Board leadership structure is currently composed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perspectives of the Board members and promote effective oversight. Our Board leadership structure is currently composed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2" name="Frame1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93" name="Frame1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composition. The structure and composition of our Board and its committees are intended to leverage the diverse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composition. The structure and composition of our Board and its committees are intended to leverage the diverse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4" name="Frame1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14</w:t>
      </w:r>
      <w:r>
        <mc:AlternateContent>
          <mc:Choice Requires="wps">
            <w:drawing>
              <wp:anchor behindDoc="0" distT="0" distB="0" distL="0" distR="0" simplePos="0" locked="0" layoutInCell="1" allowOverlap="1" relativeHeight="189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5" name="Frame1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6">
                <wp:simplePos x="0" y="0"/>
                <wp:positionH relativeFrom="page">
                  <wp:posOffset>4217035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6" name="Frame1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32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74085" cy="293370"/>
                <wp:effectExtent l="0" t="0" r="0" b="0"/>
                <wp:wrapNone/>
                <wp:docPr id="1197" name="Frame1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4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programs comply with applicable legal and regulatory requirements.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3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programs comply with applicable legal and regulatory requirements.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98" name="Frame1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199" name="Frame1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(the “Compensation Committee”) assesses and monitors whether any of our compensation plans, policies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(the “Compensation Committee”) assesses and monitors whether any of our compensation plans, policies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0" name="Frame1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01" name="Frame1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faces and the adequacy of the Company’s policies and procedures designed to address such risks. Our 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faces and the adequacy of the Company’s policies and procedures designed to address such risks. Our 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2" name="Frame1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03" name="Frame1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evaluating the Company’s corporate governance policies and systems in light of the governance risks that the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evaluating the Company’s corporate governance policies and systems in light of the governance risks that the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4" name="Frame1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05" name="Frame1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effectiveness of our internal controls over financial reporting. Our N&amp;CG Committee is responsible for periodically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effectiveness of our internal controls over financial reporting. Our N&amp;CG Committee is responsible for periodically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06" name="Frame1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07" name="Frame1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is undertaken, monitor compliance with legal and regulatory requirements, and review the adequacy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is undertaken, monitor compliance with legal and regulatory requirements, and review the adequacy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208" name="Frame1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One of the key functions of our Board is the informed oversight of our risk management process. Our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One of the key functions of our Board is the informed oversight of our risk management process. Our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09" name="Frame1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Audit Committee also has the responsibility to review with management the process by which risk assessment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Audit Committee also has the responsibility to review with management the process by which risk assessment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0" name="Frame1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11" name="Frame1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including guidelines and policies to govern the process by which risk assessment and management is undertaken.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including guidelines and policies to govern the process by which risk assessment and management is undertaken.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9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2" name="Frame1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13" name="Frame1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discuss our major financial risk exposures and the steps our management has taken to monitor and control these exposures,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discuss our major financial risk exposures and the steps our management has taken to monitor and control these exposures,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4" name="Frame1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15" name="Frame1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assessing strategic risk exposure, and our audit committee (the “Audit Committee”) has the responsibility to consider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assessing strategic risk exposure, and our audit committee (the “Audit Committee”) has the responsibility to consider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6" name="Frame1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17" name="Frame1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address risks inherent in their respective areas of oversight. In particular, our Board is responsible for monitoring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address risks inherent in their respective areas of oversight. In particular, our Board is responsible for monitoring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18" name="Frame1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19" name="Frame1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administers this oversight function directly through our Board as a whole, as well as through various standing committees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administers this oversight function directly through our Board as a whole, as well as through various standing committees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0" name="Frame1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Committees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15</w:t>
      </w:r>
      <w:r>
        <mc:AlternateContent>
          <mc:Choice Requires="wps">
            <w:drawing>
              <wp:anchor behindDoc="0" distT="0" distB="0" distL="0" distR="0" simplePos="0" locked="0" layoutInCell="1" allowOverlap="1" relativeHeight="19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21" name="Frame1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Rules. Therefore, Mr. Haskell, Mr. Yablunosky, Mr. Otworth and Ms. Niemeyer do not serve on any of our three standing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Rules. Therefore, Mr. Haskell, Mr. Yablunosky, Mr. Otworth and Ms. Niemeyer do not serve on any of our three standing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10560" cy="293370"/>
                <wp:effectExtent l="0" t="0" r="0" b="0"/>
                <wp:wrapNone/>
                <wp:docPr id="1222" name="Frame1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5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expert,” as such term is defined in Item 407 of Regulation S-K.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expert,” as such term is defined in Item 407 of Regulation S-K.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3" name="Frame1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24" name="Frame1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Nasdaq. In addition, each of Mr. Donnally, Mr. Hennessy and Ms. Williams qualify as an “audit committee financial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Nasdaq. In addition, each of Mr. Donnally, Mr. Hennessy and Ms. Williams qualify as an “audit committee financial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5" name="Frame1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26" name="Frame1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also meet the requirements for financial literacy under the applicable rules and regulations of the SEC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also meet the requirements for financial literacy under the applicable rules and regulations of the SEC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7" name="Frame1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28" name="Frame1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Audit Committee members under applicable SEC rules and Nasdaq Listing Rules. All of the members of our Audit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Audit Committee members under applicable SEC rules and Nasdaq Listing Rules. All of the members of our Audit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29" name="Frame1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30" name="Frame1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committees. The Board has determined that the members of the Audit Committee meet the requirements for independence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committees. The Board has determined that the members of the Audit Committee meet the requirements for independence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1" name="Frame1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232" name="Frame1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2024, our Board had an Audit Committee, a Compensation Committee, and a N&amp;CG Committee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2024, our Board had an Audit Committee, a Compensation Committee, and a N&amp;CG Committee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33" name="Frame1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234" name="Frame1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member of our three standing committees is independent under applicable SEC rules and Nasdaq Listing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member of our three standing committees is independent under applicable SEC rules and Nasdaq Listing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5">
                <wp:simplePos x="0" y="0"/>
                <wp:positionH relativeFrom="page">
                  <wp:posOffset>857250</wp:posOffset>
                </wp:positionH>
                <wp:positionV relativeFrom="line">
                  <wp:posOffset>635</wp:posOffset>
                </wp:positionV>
                <wp:extent cx="751840" cy="262890"/>
                <wp:effectExtent l="0" t="0" r="0" b="0"/>
                <wp:wrapNone/>
                <wp:docPr id="1235" name="Frame1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8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Not independent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.2pt;height:20.7pt;mso-wrap-distance-left:0pt;mso-wrap-distance-right:0pt;mso-wrap-distance-top:0pt;mso-wrap-distance-bottom:0pt;margin-top:0pt;mso-position-vertical:top;mso-position-vertical-relative:text;margin-left:67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Not independent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1236" name="Frame1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90445" cy="262890"/>
                <wp:effectExtent l="0" t="0" r="0" b="0"/>
                <wp:wrapNone/>
                <wp:docPr id="1237" name="Frame1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044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All standing committee members are independent.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0.35pt;height:20.7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All standing committee members are independent.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1238" name="Frame1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955165" cy="293370"/>
                <wp:effectExtent l="0" t="0" r="0" b="0"/>
                <wp:wrapNone/>
                <wp:docPr id="1239" name="Frame1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1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these committees are described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these committees are described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0" name="Frame1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41" name="Frame1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support the full Board with various risk management governance, and strategic responsibilities. The current members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support the full Board with various risk management governance, and strategic responsibilities. The current members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2" name="Frame1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Executive Sessions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Meeting Attendance</w:t>
      </w:r>
      <w:r>
        <mc:AlternateContent>
          <mc:Choice Requires="wps">
            <w:drawing>
              <wp:anchor behindDoc="0" distT="0" distB="0" distL="0" distR="0" simplePos="0" locked="0" layoutInCell="1" allowOverlap="1" relativeHeight="192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243" name="Frame1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Since the completion of the Business Combination, the independent members of the Board have met in two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Since the completion of the Business Combination, the independent members of the Board have met in two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4" name="Frame1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45" name="Frame1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scheduled executive sessions. The independent members of the Board expect to have at least four, but no less than two,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scheduled executive sessions. The independent members of the Board expect to have at least four, but no less than two,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6" name="Frame1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67225" cy="293370"/>
                <wp:effectExtent l="0" t="0" r="0" b="0"/>
                <wp:wrapNone/>
                <wp:docPr id="1247" name="Frame1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72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regularly scheduled meetings at which only independent directors are present each year.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regularly scheduled meetings at which only independent directors are present each year.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Stockholder Communications with the Board</w:t>
      </w:r>
      <w:r>
        <mc:AlternateContent>
          <mc:Choice Requires="wps">
            <w:drawing>
              <wp:anchor behindDoc="0" distT="0" distB="0" distL="0" distR="0" simplePos="0" locked="0" layoutInCell="1" allowOverlap="1" relativeHeight="193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248" name="Frame1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encourages all directors to attend each meeting of the Board and each annual meeting of stockholders,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encourages all directors to attend each meeting of the Board and each annual meeting of stockholders,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49" name="Frame1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50" name="Frame1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but has not implemented any policies or procedures to mandate attendance.  In 2024, the Board met three times, and all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but has not implemented any policies or procedures to mandate attendance.  In 2024, the Board met three times, and all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1" name="Frame1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52" name="Frame1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directors attended all of the Board meetings. All committee members met at all two meetings of the Audit Committee,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directors attended all of the Board meetings. All committee members met at all two meetings of the Audit Committee,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3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3" name="Frame1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19345" cy="293370"/>
                <wp:effectExtent l="0" t="0" r="0" b="0"/>
                <wp:wrapNone/>
                <wp:docPr id="1254" name="Frame15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9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meeting of the Compensation Committee, and the meeting of the N&amp;CG Committee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7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meeting of the Compensation Committee, and the meeting of the N&amp;CG Committee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16</w:t>
      </w:r>
      <w:r>
        <mc:AlternateContent>
          <mc:Choice Requires="wps">
            <w:drawing>
              <wp:anchor behindDoc="0" distT="0" distB="0" distL="0" distR="0" simplePos="0" locked="0" layoutInCell="1" allowOverlap="1" relativeHeight="19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255" name="Frame1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Interested parties may communicate with the Company by letter addressed to Investor Relations, Innventure, Inc.,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Interested parties may communicate with the Company by letter addressed to Investor Relations, Innventure, Inc.,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6" name="Frame1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57" name="Frame1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6900 Tavistock Lakes Blvd, Suite 400, Orlando, Florida 32827, or by e-mail to Investor Relations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6900 Tavistock Lakes Blvd, Suite 400, Orlando, Florida 32827, or by e-mail to Investor Relations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58" name="Frame1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22450" cy="293370"/>
                <wp:effectExtent l="0" t="0" r="0" b="0"/>
                <wp:wrapNone/>
                <wp:docPr id="1259" name="Frame1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2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investtorrelations@innventure.com.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3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investtorrelations@innventure.com.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Code of Business Conduct and Ethics</w:t>
      </w:r>
      <w:r>
        <mc:AlternateContent>
          <mc:Choice Requires="wps">
            <w:drawing>
              <wp:anchor behindDoc="0" distT="0" distB="0" distL="0" distR="0" simplePos="0" locked="0" layoutInCell="1" allowOverlap="1" relativeHeight="19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260" name="Frame1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stockholders should send any communications to the Board, any committee chairperson or the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stockholders should send any communications to the Board, any committee chairperson or the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61" name="Frame1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directors of Innventure by writing to Attn: Corporate Secretary, legal@innventure.com. Any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directors of Innventure by writing to Attn: Corporate Secretary, legal@innventure.com. Any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2" name="Frame1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63" name="Frame1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communication will be reviewed and, to the extent such communication falls within the scope of matters generally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communication will be reviewed and, to the extent such communication falls within the scope of matters generally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4" name="Frame1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65" name="Frame1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considered by the Board, forwarded to the Board, the appropriate committee chairperson or the non-management directors,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considered by the Board, forwarded to the Board, the appropriate committee chairperson or the non-management directors,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6" name="Frame1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67" name="Frame1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appropriate, based on the subject matter of the communication. The acceptance and forwarding of communications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appropriate, based on the subject matter of the communication. The acceptance and forwarding of communications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68" name="Frame1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69" name="Frame1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members of the Board or to an executive officer does not imply or create any fiduciary duty of such director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members of the Board or to an executive officer does not imply or create any fiduciary duty of such director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0" name="Frame1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06115" cy="293370"/>
                <wp:effectExtent l="0" t="0" r="0" b="0"/>
                <wp:wrapNone/>
                <wp:docPr id="1271" name="Frame1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officer to the person submitting the communications.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officer to the person submitting the communications.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58">
                <wp:simplePos x="0" y="0"/>
                <wp:positionH relativeFrom="page">
                  <wp:posOffset>3949065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2" name="Frame1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10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Corporate Governance Guidelines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9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273" name="Frame1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have adopted a Code of Conduct applicable to our directors, officers and employees, including our CEO, CFO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have adopted a Code of Conduct applicable to our directors, officers and employees, including our CEO, CFO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4" name="Frame1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275" name="Frame1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other executive and senior financial officers. The Code of Conduct is available on our website at https://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other executive and senior financial officers. The Code of Conduct is available on our website at https://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76" name="Frame1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ir.innventure.com/corporate-governance/documents-charters. Our Board is responsible for overseeing the Code of Conduct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ir.innventure.com/corporate-governance/documents-charters. Our Board is responsible for overseeing the Code of Conduct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7" name="Frame1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78" name="Frame1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must approve any amendments, waivers and exceptions to the Code of Conduct for executive officers and directors.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must approve any amendments, waivers and exceptions to the Code of Conduct for executive officers and directors.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79" name="Frame1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80" name="Frame1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CFO and General Counsel must approve any amendments, waivers and exceptions to the Code of Conduct for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CFO and General Counsel must approve any amendments, waivers and exceptions to the Code of Conduct for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1" name="Frame1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82" name="Frame1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employees. We intend to disclose future amendments to the Code of Conduct, or waivers of certain provisions as they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employees. We intend to disclose future amendments to the Code of Conduct, or waivers of certain provisions as they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3" name="Frame1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84" name="Frame1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relate to our directors and executive officers at the same information on our website is not intended to form a part of or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relate to our directors and executive officers at the same information on our website is not intended to form a part of or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5" name="Frame1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53030" cy="293370"/>
                <wp:effectExtent l="0" t="0" r="0" b="0"/>
                <wp:wrapNone/>
                <wp:docPr id="1286" name="Frame1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0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incorporated by reference into this Proxy Statement.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incorporated by reference into this Proxy Statement.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Compensation Clawback Policy</w:t>
      </w:r>
      <w:r>
        <mc:AlternateContent>
          <mc:Choice Requires="wps">
            <w:drawing>
              <wp:anchor behindDoc="0" distT="0" distB="0" distL="0" distR="0" simplePos="0" locked="0" layoutInCell="1" allowOverlap="1" relativeHeight="19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287" name="Frame1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committed to conducting business with integrity and pursuing governance best practices. In October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committed to conducting business with integrity and pursuing governance best practices. In October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88" name="Frame1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289" name="Frame1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Board adopted Corporate Governance Guidelines which, along with our Certificate of Incorporation, Bylaws,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Board adopted Corporate Governance Guidelines which, along with our Certificate of Incorporation, Bylaws,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0" name="Frame1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291" name="Frame1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 charters of the Board committees, serve as governance framework to assist the Board and its committees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 charters of the Board committees, serve as governance framework to assist the Board and its committees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2" name="Frame1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93" name="Frame1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effectively exercising their responsibilities to the Company and our shareholders and provide a framework for the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effectively exercising their responsibilities to the Company and our shareholders and provide a framework for the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4" name="Frame1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295" name="Frame1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governance of the Company within which the Board may conduct is business. The N&amp;CG Committee will periodically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governance of the Company within which the Board may conduct is business. The N&amp;CG Committee will periodically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6" name="Frame1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38445" cy="293370"/>
                <wp:effectExtent l="0" t="0" r="0" b="0"/>
                <wp:wrapNone/>
                <wp:docPr id="1297" name="Frame1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84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review and assess the Corporate Governance Guidelines and recommend updates to the Board as needed.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0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review and assess the Corporate Governance Guidelines and recommend updates to the Board as needed.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Insider Trading and Anti-Hedging Policies and Procedures</w:t>
      </w:r>
      <w:r>
        <mc:AlternateContent>
          <mc:Choice Requires="wps">
            <w:drawing>
              <wp:anchor behindDoc="0" distT="0" distB="0" distL="0" distR="0" simplePos="0" locked="0" layoutInCell="1" allowOverlap="1" relativeHeight="19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298" name="Frame1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51500" cy="293370"/>
                <wp:effectExtent l="0" t="0" r="0" b="0"/>
                <wp:wrapNone/>
                <wp:docPr id="1299" name="Frame1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1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last three fiscal years), unless one of the limited exceptions set forth in the Section 16 Clawback Policy applies.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last three fiscal years), unless one of the limited exceptions set forth in the Section 16 Clawback Policy applies.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0" name="Frame1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01" name="Frame1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reasonably promptly the excess compensation received, and within the applicable recovery period (which is generally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reasonably promptly the excess compensation received, and within the applicable recovery period (which is generally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2" name="Frame1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03" name="Frame1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less incentive-based compensation under the relevant restated amounts than they actually received, we must recover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less incentive-based compensation under the relevant restated amounts than they actually received, we must recover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4" name="Frame1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305" name="Frame1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his or her subordinates in the case of a restatement. If there is a restatement and the Section 16 officer would have received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his or her subordinates in the case of a restatement. If there is a restatement and the Section 16 officer would have received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6" name="Frame1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07" name="Frame1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16 Clawback Policy is a “no fault” policy and does not require any misconduct on the part of a Section 16 officer or any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16 Clawback Policy is a “no fault” policy and does not require any misconduct on the part of a Section 16 officer or any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08" name="Frame1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09" name="Frame1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granted, earned or vested based wholly, or in part, upon the Company attaining a financial reporting measure. The Section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granted, earned or vested based wholly, or in part, upon the Company attaining a financial reporting measure. The Section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10" name="Frame1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October 2024, the Board adopted a Compensation Clawback Policy (“Section 16 Clawback Policy”) to comply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October 2024, the Board adopted a Compensation Clawback Policy (“Section 16 Clawback Policy”) to comply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311" name="Frame1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correct in the first instance (without regard to any taxes paid). Incentive-based compensation includes any 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correct in the first instance (without regard to any taxes paid). Incentive-based compensation includes any 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2" name="Frame1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313" name="Frame1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excess of the amount actually received over the amount that would have been received had the financial statements been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excess of the amount actually received over the amount that would have been received had the financial statements been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4" name="Frame1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15" name="Frame1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current or former executive officers of the Company (“Section 16 officers”) incentive-based compensation representing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current or former executive officers of the Company (“Section 16 officers”) incentive-based compensation representing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6" name="Frame1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17" name="Frame1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Clawback Policy, in the event of certain accounting restatements, we will be generally required to recover from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Clawback Policy, in the event of certain accounting restatements, we will be generally required to recover from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18" name="Frame1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19" name="Frame1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the mandatory compensation “clawback” requirements under Nasdaq Listing Rule 5608. Under the Section 16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the mandatory compensation “clawback” requirements under Nasdaq Listing Rule 5608. Under the Section 16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0" name="Frame1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17</w:t>
      </w:r>
      <w:r>
        <mc:AlternateContent>
          <mc:Choice Requires="wps">
            <w:drawing>
              <wp:anchor behindDoc="0" distT="0" distB="0" distL="0" distR="0" simplePos="0" locked="0" layoutInCell="1" allowOverlap="1" relativeHeight="202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1" name="Frame1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775970" cy="293370"/>
                <wp:effectExtent l="0" t="0" r="0" b="0"/>
                <wp:wrapNone/>
                <wp:docPr id="1322" name="Frame1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April 14,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1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April 14,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3" name="Frame1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324" name="Frame1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copy of our Insider Trading Policy is filed as Exhibit 19.1 to our 2024 Annual Report, filed with the SEC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copy of our Insider Trading Policy is filed as Exhibit 19.1 to our 2024 Annual Report, filed with the SEC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0540" cy="293370"/>
                <wp:effectExtent l="0" t="0" r="0" b="0"/>
                <wp:wrapNone/>
                <wp:docPr id="1325" name="Frame1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6" name="Frame1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27" name="Frame1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margin account as collateral for a margin loan and (iii) discourages placing standing or limit orders on the Company’s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margin account as collateral for a margin loan and (iii) discourages placing standing or limit orders on the Company’s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28" name="Frame1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329" name="Frame1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collateral for a loan or other form of indebtedness, including, without limitation, holding the Company’s securities in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collateral for a loan or other form of indebtedness, including, without limitation, holding the Company’s securities in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0" name="Frame1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31" name="Frame1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Company’s securities, (ii) discourages pledging, hypothecating or otherwise using the Company’s securities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Company’s securities, (ii) discourages pledging, hypothecating or otherwise using the Company’s securities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2" name="Frame1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333" name="Frame1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funds or through other transactions that hedge or offset, or are designed to hedge or offset, any decrease in the market value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funds or through other transactions that hedge or offset, or are designed to hedge or offset, any decrease in the market value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95935" cy="146685"/>
                <wp:effectExtent l="0" t="0" r="0" b="0"/>
                <wp:wrapNone/>
                <wp:docPr id="1334" name="Frame1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93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We have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.0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We have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35" name="Frame1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financial instruments such as prepaid variable forwards, equity swaps, short sale instruments, puts, collars and exchange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financial instruments such as prepaid variable forwards, equity swaps, short sale instruments, puts, collars and exchange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6" name="Frame1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337" name="Frame1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Insider Trading Policy also (i) imposes prohibitions on hedging or monetization transactions, including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Insider Trading Policy also (i) imposes prohibitions on hedging or monetization transactions, including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6">
                <wp:simplePos x="0" y="0"/>
                <wp:positionH relativeFrom="page">
                  <wp:posOffset>2106930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38" name="Frame1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65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63980" cy="293370"/>
                <wp:effectExtent l="0" t="0" r="0" b="0"/>
                <wp:wrapNone/>
                <wp:docPr id="1339" name="Frame1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Nasdaq’s listing standards.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Nasdaq’s listing standards.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0" name="Frame1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41" name="Frame1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us, that we believe are reasonably designed to promote compliance with insider trading laws, rules, and regulations,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us, that we believe are reasonably designed to promote compliance with insider trading laws, rules, and regulations,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2" name="Frame1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43" name="Frame1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officers, employees, and other covered persons (including family members), and have implemented processes applicable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officers, employees, and other covered persons (including family members), and have implemented processes applicable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4" name="Frame1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9">
                <wp:simplePos x="0" y="0"/>
                <wp:positionH relativeFrom="page">
                  <wp:posOffset>2098040</wp:posOffset>
                </wp:positionH>
                <wp:positionV relativeFrom="line">
                  <wp:posOffset>635</wp:posOffset>
                </wp:positionV>
                <wp:extent cx="4930775" cy="146685"/>
                <wp:effectExtent l="0" t="0" r="0" b="0"/>
                <wp:wrapNone/>
                <wp:docPr id="1345" name="Frame1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07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insider trading policy (the “Insider Trading Policy”) and procedures applicable to directors,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88.25pt;height:11.55pt;mso-wrap-distance-left:0pt;mso-wrap-distance-right:0pt;mso-wrap-distance-top:0pt;mso-wrap-distance-bottom:0pt;margin-top:0pt;mso-position-vertical:top;mso-position-vertical-relative:text;margin-left:16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insider trading policy (the “Insider Trading Policy”) and procedures applicable to directors,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08">
                <wp:simplePos x="0" y="0"/>
                <wp:positionH relativeFrom="page">
                  <wp:posOffset>1696085</wp:posOffset>
                </wp:positionH>
                <wp:positionV relativeFrom="line">
                  <wp:posOffset>635</wp:posOffset>
                </wp:positionV>
                <wp:extent cx="401955" cy="293370"/>
                <wp:effectExtent l="0" t="0" r="0" b="0"/>
                <wp:wrapNone/>
                <wp:docPr id="1346" name="Frame1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adopted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.65pt;height:23.1pt;mso-wrap-distance-left:0pt;mso-wrap-distance-right:0pt;mso-wrap-distance-top:0pt;mso-wrap-distance-bottom:0pt;margin-top:0pt;mso-position-vertical:top;mso-position-vertical-relative:text;margin-left:133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adopted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CERTAIN RELATIONSHIPS AND RELATED PARTY TRANSACTIONS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Transactions with AeroFlexx, Accelsius, Innventus ESG Fund I, L.P., and Innventure1, LLC </w:t>
      </w:r>
      <w:r>
        <mc:AlternateContent>
          <mc:Choice Requires="wps">
            <w:drawing>
              <wp:anchor behindDoc="0" distT="0" distB="0" distL="0" distR="0" simplePos="0" locked="0" layoutInCell="1" allowOverlap="1" relativeHeight="20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1347" name="Frame1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Unless otherwise indicated, all dollar amounts (“$”) in this section are expressed in thousands, except share and per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Unless otherwise indicated, all dollar amounts (“$”) in this section are expressed in thousands, except share and per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48" name="Frame1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2280" cy="293370"/>
                <wp:effectExtent l="0" t="0" r="0" b="0"/>
                <wp:wrapNone/>
                <wp:docPr id="1349" name="Frame1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2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293370"/>
                <wp:effectExtent l="0" t="0" r="0" b="0"/>
                <wp:wrapNone/>
                <wp:docPr id="1350" name="Frame1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is a description of each transaction since January 1, 2023 and each currently proposed transaction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is a description of each transaction since January 1, 2023 and each currently proposed transaction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51" name="Frame1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52" name="Frame1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Innventure LLC, Innventure or AeroFlexx, Accelsius Holdings LLC (“Accelsius”) and Refinity Olefins,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Innventure LLC, Innventure or AeroFlexx, Accelsius Holdings LLC (“Accelsius”) and Refinity Olefins,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53" name="Frame1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99175" cy="293370"/>
                <wp:effectExtent l="0" t="0" r="0" b="0"/>
                <wp:wrapNone/>
                <wp:docPr id="1354" name="Frame1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9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(“Refinity,” together with AeroFlexx and Accelsius, the “Innventure Companies”) has been or is to be a participant and: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(“Refinity,” together with AeroFlexx and Accelsius, the “Innventure Companies”) has been or is to be a participant and: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355" name="Frame1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53665" cy="293370"/>
                <wp:effectExtent l="0" t="0" r="0" b="0"/>
                <wp:wrapNone/>
                <wp:docPr id="1356" name="Frame1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6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amount involved exceeded or exceeds $120;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8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amount involved exceeded or exceeds $120;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357" name="Frame1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358" name="Frame1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of such company’s directors, executive officers, or holders of more than 5% of its capital stock, or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of such company’s directors, executive officers, or holders of more than 5% of its capital stock, or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59" name="Frame1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360" name="Frame1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immediate family member of, or person sharing the household with, any of these individuals, had or will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immediate family member of, or person sharing the household with, any of these individuals, had or will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1" name="Frame1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817370" cy="293370"/>
                <wp:effectExtent l="0" t="0" r="0" b="0"/>
                <wp:wrapNone/>
                <wp:docPr id="1362" name="Frame1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7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direct or indirect material interest.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3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direct or indirect material interest.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Management Services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Option Agreement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20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3" name="Frame1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63040" cy="293370"/>
                <wp:effectExtent l="0" t="0" r="0" b="0"/>
                <wp:wrapNone/>
                <wp:docPr id="1364" name="Frame1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and 2023,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and 2023,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5" name="Frame1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66" name="Frame1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ESG Fund’s expenses exceed $800, for a total of $0 and $0 of costs reimbursed in the fiscal years ended December 31,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ESG Fund’s expenses exceed $800, for a total of $0 and $0 of costs reimbursed in the fiscal years ended December 31,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7" name="Frame1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68" name="Frame1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may offset the management services fees owed to Innventure GP and Management Services by the amount in which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may offset the management services fees owed to Innventure GP and Management Services by the amount in which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69" name="Frame1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70" name="Frame1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Additionally, pursuant to the ESG Fund’s Amended and Restated Limited Partnership Agreement, the ESG Fund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Additionally, pursuant to the ESG Fund’s Amended and Restated Limited Partnership Agreement, the ESG Fund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44365" cy="293370"/>
                <wp:effectExtent l="0" t="0" r="0" b="0"/>
                <wp:wrapNone/>
                <wp:docPr id="1371" name="Frame1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4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ESG Fund owed to Management Services approximately $600 and $0,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ESG Fund owed to Management Services approximately $600 and $0,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4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372" name="Frame1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a Management Services Agreement dated August 17, 2018, among Innventure Management Services,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a Management Services Agreement dated August 17, 2018, among Innventure Management Services,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73" name="Frame1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2023, the ESG Fund paid $800 and $800, respectively, for these management services. As of December 31, 2024 and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2023, the ESG Fund paid $800 and $800, respectively, for these management services. As of December 31, 2024 and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4" name="Frame1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75" name="Frame1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accounting services and other back-office functions for the ESG Fund. For the years ended December 31, 2024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accounting services and other back-office functions for the ESG Fund. For the years ended December 31, 2024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6" name="Frame1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377" name="Frame1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Innventus ESG Fund I, L.P. (the “ESG Fund”), Innventure earns management fees for providing administrative, finance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Innventus ESG Fund I, L.P. (the “ESG Fund”), Innventure earns management fees for providing administrative, finance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78" name="Frame1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79" name="Frame1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LLC (“Management Services”), a wholly owned subsidiary of Innventure LLC, Innventure GP LLC (“Innventure GP”)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LLC (“Management Services”), a wholly owned subsidiary of Innventure LLC, Innventure GP LLC (“Innventure GP”)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5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0" name="Frame1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Indebtedness</w:t>
      </w:r>
      <w:r>
        <mc:AlternateContent>
          <mc:Choice Requires="wps">
            <w:drawing>
              <wp:anchor behindDoc="0" distT="0" distB="0" distL="0" distR="0" simplePos="0" locked="0" layoutInCell="1" allowOverlap="1" relativeHeight="20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1" name="Frame1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71470" cy="293370"/>
                <wp:effectExtent l="0" t="0" r="0" b="0"/>
                <wp:wrapNone/>
                <wp:docPr id="1382" name="Frame1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14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are released from contractual lock-up obligations.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are released from contractual lock-up obligations.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3" name="Frame1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384" name="Frame1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approximately half of the Option Shares have been delivered to ESG Fund, with the remainder to be delivered once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approximately half of the Option Shares have been delivered to ESG Fund, with the remainder to be delivered once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5" name="Frame1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86" name="Frame1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restrictions. The option was exercised in full on March 16, 2022 for 145,161 shares of PCT’s common stock and, to date,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restrictions. The option was exercised in full on March 16, 2022 for 145,161 shares of PCT’s common stock and, to date,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7" name="Frame1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1388" name="Frame1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 transactions and may only be delivered to the ESG Fund upon the periodic expiration of such lock-up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 transactions and may only be delivered to the ESG Fund upon the periodic expiration of such lock-up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89" name="Frame1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0" name="Frame1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Option Shares are subject to a contractual lock-up agreement that Innventure LLC entered into in connection with PCT’s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Option Shares are subject to a contractual lock-up agreement that Innventure LLC entered into in connection with PCT’s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1" name="Frame1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2" name="Frame1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prior to the consummation of certain business combination transactions involving PCT, held by Innventure LLC.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prior to the consummation of certain business combination transactions involving PCT, held by Innventure LLC.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393" name="Frame1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12, 2021, Innventure LLC entered into a purchase option agreement with the ESG Fund (then known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12, 2021, Innventure LLC entered into a purchase option agreement with the ESG Fund (then known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4" name="Frame1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Shares”) or (ii) 13,798 Class A units of PCT at an exercise price of $1.00 per Class A Unit, if the option was exercised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Shares”) or (ii) 13,798 Class A units of PCT at an exercise price of $1.00 per Class A Unit, if the option was exercised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5" name="Frame1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6" name="Frame1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consummation of certain business combination transactions involving PCT held by Innventure LLC (the “Option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consummation of certain business combination transactions involving PCT held by Innventure LLC (the “Option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7" name="Frame1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398" name="Frame1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stock, par value $0.001 per share, of PCT at an exercise price of $1.00 per share, if the option was exercised 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stock, par value $0.001 per share, of PCT at an exercise price of $1.00 per share, if the option was exercised 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399" name="Frame1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00" name="Frame1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of Innventure LLC in exchange for the grant of an irrevocable option to purchase (i) 145,161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of Innventure LLC in exchange for the grant of an irrevocable option to purchase (i) 145,161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1" name="Frame1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1402" name="Frame1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Innventus Fund I, L.P.), pursuant to which the ESG Fund agreed to forfeit previously issued warrants to purchase Class B-1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Innventus Fund I, L.P.), pursuant to which the ESG Fund agreed to forfeit previously issued warrants to purchase Class B-1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6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3" name="Frame1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18</w:t>
      </w:r>
      <w:r>
        <mc:AlternateContent>
          <mc:Choice Requires="wps">
            <w:drawing>
              <wp:anchor behindDoc="0" distT="0" distB="0" distL="0" distR="0" simplePos="0" locked="0" layoutInCell="1" allowOverlap="1" relativeHeight="21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4" name="Frame1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5" name="Frame1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06" name="Frame1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interest-free loans that had not previously been formally documented is included as an amount outstanding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interest-free loans that had not previously been formally documented is included as an amount outstanding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7" name="Frame1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08" name="Frame1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aggregate principal amount of $7,600 that Innventure LLC previously loaned to AeroFlexx for working capital pursuant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aggregate principal amount of $7,600 that Innventure LLC previously loaned to AeroFlexx for working capital pursuant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09" name="Frame1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10" name="Frame1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$2,400 from time to time until the Maturity Date (as defined in the AeroFlexx Loan Agreement). Additionally,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$2,400 from time to time until the Maturity Date (as defined in the AeroFlexx Loan Agreement). Additionally,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1" name="Frame1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12" name="Frame1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Agreement”). Under the terms of the AeroFlexx Loan Agreement, Innventure LLC agreed to lend to AeroFlexx up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Agreement”). Under the terms of the AeroFlexx Loan Agreement, Innventure LLC agreed to lend to AeroFlexx up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3" name="Frame1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14" name="Frame1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LLC, as Lender (as defined in the AeroFlexx Loan Agreement), entered into a Loan Agreement (the “AeroFlexx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LLC, as Lender (as defined in the AeroFlexx Loan Agreement), entered into a Loan Agreement (the “AeroFlexx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415" name="Frame1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fiscal year ended December 31, 2023, Innventure LLC loaned AeroFlexx $2,600 through a series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fiscal year ended December 31, 2023, Innventure LLC loaned AeroFlexx $2,600 through a series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16" name="Frame1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LLC, (“AeroFlexx Packaging”) as Guarantor (as defined in the AeroFlexx Loan Agreement), and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LLC, (“AeroFlexx Packaging”) as Guarantor (as defined in the AeroFlexx Loan Agreement), and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17" name="Frame1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418" name="Frame1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July 1, 2024, AeroFlexx, as Borrower (as defined in the AeroFlexx Loan Agreement), AeroFlexx Packaging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July 1, 2024, AeroFlexx, as Borrower (as defined in the AeroFlexx Loan Agreement), AeroFlexx Packaging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57320" cy="293370"/>
                <wp:effectExtent l="0" t="0" r="0" b="0"/>
                <wp:wrapNone/>
                <wp:docPr id="1419" name="Frame1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73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included in the AeroFlexx Loan Agreement (as defined and described below).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1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included in the AeroFlexx Loan Agreement (as defined and described below).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0" name="Frame1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21" name="Frame1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$4,400. The loans were expected to be repaid in full by June 2024 and bear no interest and, instead, were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$4,400. The loans were expected to be repaid in full by June 2024 and bear no interest and, instead, were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2" name="Frame1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23" name="Frame1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informal intercompany loans. During the fiscal year ended December 31, 2024, Innventure informally loaned AeroFlexx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informal intercompany loans. During the fiscal year ended December 31, 2024, Innventure informally loaned AeroFlexx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4" name="Frame1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19</w:t>
      </w:r>
      <w:r>
        <mc:AlternateContent>
          <mc:Choice Requires="wps">
            <w:drawing>
              <wp:anchor behindDoc="0" distT="0" distB="0" distL="0" distR="0" simplePos="0" locked="0" layoutInCell="1" allowOverlap="1" relativeHeight="217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5" name="Frame1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426" name="Frame1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December 21, 2023, Mike Otworth, Innventure LLC’s executive chairman, loaned the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December 21, 2023, Mike Otworth, Innventure LLC’s executive chairman, loaned the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550535" cy="293370"/>
                <wp:effectExtent l="0" t="0" r="0" b="0"/>
                <wp:wrapNone/>
                <wp:docPr id="1427" name="Frame1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05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fiscal year ended December 31, 2024, Innventure LLC informally loaned Refinity Holdings $530.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7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fiscal year ended December 31, 2024, Innventure LLC informally loaned Refinity Holdings $530.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20565" cy="293370"/>
                <wp:effectExtent l="0" t="0" r="0" b="0"/>
                <wp:wrapNone/>
                <wp:docPr id="1428" name="Frame1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05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consolidation, including those related to this loan and security agreement with Accelsius.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5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consolidation, including those related to this loan and security agreement with Accelsius.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29" name="Frame1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30" name="Frame1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$1,200. As described elsewhere in this report, all intercompany transactions and balances have been eliminated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$1,200. As described elsewhere in this report, all intercompany transactions and balances have been eliminated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1" name="Frame1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32" name="Frame1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including $408 of accrued interest. In addition, to date, Innventure LLC has informally loaned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including $408 of accrued interest. In addition, to date, Innventure LLC has informally loaned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3" name="Frame1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34" name="Frame1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interest has been repaid. As of December 31, 2024, approximately $12,408 was outstanding under the loan and security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interest has been repaid. As of December 31, 2024, approximately $12,408 was outstanding under the loan and security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8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5" name="Frame1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36" name="Frame1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purposes. To date, Accelsius has borrowed $17,075 in the aggregate, of which $5,075 of principal has been repaid and $84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purposes. To date, Accelsius has borrowed $17,075 in the aggregate, of which $5,075 of principal has been repaid and $84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7" name="Frame1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38" name="Frame1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accrued interest, fees and expenses into equity securities of Accelsius issued in a bona fide equity financing for investment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accrued interest, fees and expenses into equity securities of Accelsius issued in a bona fide equity financing for investment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39" name="Frame1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40" name="Frame1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repayment in cash, at its option, Innventure may convert the outstanding principal amount of the term loans and any unpaid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repayment in cash, at its option, Innventure may convert the outstanding principal amount of the term loans and any unpaid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1" name="Frame1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42" name="Frame1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amounts accrue interest at the annual applicable federal rate published by the IRS and are adjusted quarterly. In lieu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amounts accrue interest at the annual applicable federal rate published by the IRS and are adjusted quarterly. In lieu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3" name="Frame1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44" name="Frame1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 was amended to remove the requirement that interest under the term loans be paid in kind. Outstanding principal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 was amended to remove the requirement that interest under the term loans be paid in kind. Outstanding principal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7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5" name="Frame1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446" name="Frame1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amended to allow for all or any portion of the term loans to be re-borrowed. On July 1, 2024, the loan and security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amended to allow for all or any portion of the term loans to be re-borrowed. On July 1, 2024, the loan and security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7" name="Frame1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48" name="Frame1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aggregate amount available to be loaned to Accelsius to $12,000. On April 10, 2024, the loan and security agreement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aggregate amount available to be loaned to Accelsius to $12,000. On April 10, 2024, the loan and security agreement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49" name="Frame1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50" name="Frame1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minimum loan of $10 per term loan. On December 13, 2023, the loan and security agreement was amended to increase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minimum loan of $10 per term loan. On December 13, 2023, the loan and security agreement was amended to increase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1" name="Frame1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52" name="Frame1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note and a loan fee equal to $63. If the Company failed to pay any amount due under the related party note on the maturity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note and a loan fee equal to $63. If the Company failed to pay any amount due under the related party note on the maturity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95190" cy="293370"/>
                <wp:effectExtent l="0" t="0" r="0" b="0"/>
                <wp:wrapNone/>
                <wp:docPr id="1453" name="Frame1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1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to Mike Otworth of 114,161 shares 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9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to Mike Otworth of 114,161 shares 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4" name="Frame1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55" name="Frame1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Otworth Promissory Note in exchange for (i) Mike Otworth’s receipt in cash of $180 and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Otworth Promissory Note in exchange for (i) Mike Otworth’s receipt in cash of $180 and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6" name="Frame1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57" name="Frame1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obligations of Innventure LLC to Mike Otworth under the Otworth Promissory Note and any loan documentation executed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obligations of Innventure LLC to Mike Otworth under the Otworth Promissory Note and any loan documentation executed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58" name="Frame1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459" name="Frame1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20, 2025, Mike Otworth agreed to deem as repaid in full and otherwise terminated all loans and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20, 2025, Mike Otworth agreed to deem as repaid in full and otherwise terminated all loans and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8">
                <wp:simplePos x="0" y="0"/>
                <wp:positionH relativeFrom="page">
                  <wp:posOffset>986155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0" name="Frame1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7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3205" cy="293370"/>
                <wp:effectExtent l="0" t="0" r="0" b="0"/>
                <wp:wrapNone/>
                <wp:docPr id="1461" name="Frame1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2" name="Frame1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63" name="Frame1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thereof, interest will accrue on the amount outstanding at a rate of eight percent (8%) per annum from the maturity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thereof, interest will accrue on the amount outstanding at a rate of eight percent (8%) per annum from the maturity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4" name="Frame1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65" name="Frame1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security agreement, Innventure LLC agreed to loan, from time to time, up to $6,000 in term loans to Accelsius, with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security agreement, Innventure LLC agreed to loan, from time to time, up to $6,000 in term loans to Accelsius, with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6" name="Frame1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67" name="Frame1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on the maturity date, the Company is required to repay the outstanding principal amount of the related party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on the maturity date, the Company is required to repay the outstanding principal amount of the related party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68" name="Frame1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69" name="Frame1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provides that the indebtedness has no stated interest and matures on December 21, 2024. Per the executed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provides that the indebtedness has no stated interest and matures on December 21, 2024. Per the executed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0" name="Frame1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71" name="Frame1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at issuance. In May 2024, the Company executed an unsecured promissory note (the “Otworth Promissory Note”)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at issuance. In May 2024, the Company executed an unsecured promissory note (the “Otworth Promissory Note”)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2" name="Frame1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73" name="Frame1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consolidated balance sheets as of December 31, 2023. The related party note had no stated interest and no stated maturity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consolidated balance sheets as of December 31, 2023. The related party note had no stated interest and no stated maturity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4" name="Frame1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75" name="Frame1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of $1,000 during the year ended December 31, 2023, which is included in notes payable to related parties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of $1,000 during the year ended December 31, 2023, which is included in notes payable to related parties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6" name="Frame1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77" name="Frame1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approximately $1,000 for working capital purposes. The Company issued a note payable representing that loan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approximately $1,000 for working capital purposes. The Company issued a note payable representing that loan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78" name="Frame1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79" name="Frame1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through the mandatory conversion. Based on the increase of AeroFlexx Class D preferred units,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through the mandatory conversion. Based on the increase of AeroFlexx Class D preferred units,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0" name="Frame1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81" name="Frame1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to mandatory conversion. Using the price per unit of $6.83, the Company obtained 1,060,747 AeroFlexx Class 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to mandatory conversion. Using the price per unit of $6.83, the Company obtained 1,060,747 AeroFlexx Class 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2" name="Frame1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83" name="Frame1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outstanding Term Loans and unpaid accrued interest thereon (as calculated per the AeroFlexx Loan Agreement)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outstanding Term Loans and unpaid accrued interest thereon (as calculated per the AeroFlexx Loan Agreement)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84" name="Frame1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target amount by January 1, 2025. Therefore, on January 2, 2025, $7,250 of outstanding principal of the then-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target amount by January 1, 2025. Therefore, on January 2, 2025, $7,250 of outstanding principal of the then-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5" name="Frame1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486" name="Frame1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AeroFlexx Loan Agreement). As part of the AeroFlexx Loan Agreement, AeroFlexx did not raise equity financing 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AeroFlexx Loan Agreement). As part of the AeroFlexx Loan Agreement, AeroFlexx did not raise equity financing 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7" name="Frame1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88" name="Frame1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accrued interest and any fees and expenses owed by AeroFlexx may be converted into Next Equity Securities (as defined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accrued interest and any fees and expenses owed by AeroFlexx may be converted into Next Equity Securities (as defined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89" name="Frame1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90" name="Frame1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must be prepaid upon the occurrence of an Event of Default. At Innventure LLC’s option, the Term Loans and any unpaid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must be prepaid upon the occurrence of an Event of Default. At Innventure LLC’s option, the Term Loans and any unpaid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1" name="Frame1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492" name="Frame1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any portion of the Term Loans upon the written consent of Innventure LLC and the Term Loans will be accelerated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any portion of the Term Loans upon the written consent of Innventure LLC and the Term Loans will be accelerated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3" name="Frame1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494" name="Frame1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all or any portion of the Term Loans, the Term Loans may be re-borrowed. AeroFlexx will have the option to prepay 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all or any portion of the Term Loans, the Term Loans may be re-borrowed. AeroFlexx will have the option to prepay 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2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5" name="Frame1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496" name="Frame1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2.0% upon the occurrence of an Event of Default (as defined in the AeroFlexx Loan Agreement). After any repayment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2.0% upon the occurrence of an Event of Default (as defined in the AeroFlexx Loan Agreement). After any repayment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7" name="Frame1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498" name="Frame1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federal rate published by the Internal Revenue Service (the “IRS”) and adjusted quarterly, such interest rate to be 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federal rate published by the Internal Revenue Service (the “IRS”) and adjusted quarterly, such interest rate to be 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499" name="Frame1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00" name="Frame1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 Loan Agreement will be guaranteed by AeroFlexx Packaging and will incur interest at the annual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 Loan Agreement will be guaranteed by AeroFlexx Packaging and will incur interest at the annual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1" name="Frame1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02" name="Frame1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Term Loans (as defined in the AeroFlexx Loan Agreement) shall not exceed $10,000. The Term Loans covered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Term Loans (as defined in the AeroFlexx Loan Agreement) shall not exceed $10,000. The Term Loans covered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3" name="Frame1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04" name="Frame1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assets and AeroFlexx’s ability to merge or consolidate with another entity. Since the date of the AeroFlexx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assets and AeroFlexx’s ability to merge or consolidate with another entity. Since the date of the AeroFlexx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5" name="Frame1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06" name="Frame1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30, 2023, Innventure LLC entered into a loan and security agreement with Accelsius. Under the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30, 2023, Innventure LLC entered into a loan and security agreement with Accelsius. Under the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24965" cy="293370"/>
                <wp:effectExtent l="0" t="0" r="0" b="0"/>
                <wp:wrapNone/>
                <wp:docPr id="1507" name="Frame1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9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$4,155 to AeroFlexx.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7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$4,155 to AeroFlexx.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08" name="Frame1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09" name="Frame1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the $10,000 cap on the AeroFlexx Loan Agreement was achieved, Innventure has also informally loaned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the $10,000 cap on the AeroFlexx Loan Agreement was achieved, Innventure has also informally loaned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0" name="Frame1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11" name="Frame1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2, 2025 and the inclusion of the $4,400 informal loan under the AeroFlexx Loan Agreement. Subsequent to the date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2, 2025 and the inclusion of the $4,400 informal loan under the AeroFlexx Loan Agreement. Subsequent to the date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2" name="Frame1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13" name="Frame1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Loans, and as of March 31, 2025 the current amount outstanding is $10,307 following the conversion of $7,300 on January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Loans, and as of March 31, 2025 the current amount outstanding is $10,307 following the conversion of $7,300 on January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4" name="Frame1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15" name="Frame1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the largest amount of principal outstanding $10,000 and no interest or principal has been paid on the Term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the largest amount of principal outstanding $10,000 and no interest or principal has been paid on the Term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6" name="Frame1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17" name="Frame1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 Loan Agreement and subject to the terms of the AeroFlexx Loan Agreement. The aggregate principal amount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 Loan Agreement and subject to the terms of the AeroFlexx Loan Agreement. The aggregate principal amount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18" name="Frame1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19" name="Frame1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customary representations, warranties and covenants, including covenants restricting AeroFlexx’s ability to encumber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customary representations, warranties and covenants, including covenants restricting AeroFlexx’s ability to encumber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0" name="Frame1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21" name="Frame1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 business purposes, including to fund AeroFlexx’s working capital needs. The AeroFlexx Loan Agreement contains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 business purposes, including to fund AeroFlexx’s working capital needs. The AeroFlexx Loan Agreement contains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2" name="Frame1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23" name="Frame1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to the terms of the AeroFlexx Loan Agreement.  The proceeds of the Term Loans will be used by AeroFlexx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to the terms of the AeroFlexx Loan Agreement.  The proceeds of the Term Loans will be used by AeroFlexx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4" name="Frame1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25" name="Frame1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previously been formally documented is included as an amount outstanding under the AeroFlexx Loan Agreement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previously been formally documented is included as an amount outstanding under the AeroFlexx Loan Agreement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6" name="Frame1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27" name="Frame1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Innventure LLC previously loaned to AeroFlexx for working capital pursuant to interest-free loans that had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Innventure LLC previously loaned to AeroFlexx for working capital pursuant to interest-free loans that had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28" name="Frame1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29" name="Frame1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Innventure’s updated ownership percentage in AeroFlexx is 38%. Additionally, the aggregate principal amount of $7,600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Innventure’s updated ownership percentage in AeroFlexx is 38%. Additionally, the aggregate principal amount of $7,600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Transactions Involving Innventure1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ESG Fund Obligations</w:t>
      </w:r>
      <w:r>
        <mc:AlternateContent>
          <mc:Choice Requires="wps">
            <w:drawing>
              <wp:anchor behindDoc="0" distT="0" distB="0" distL="0" distR="0" simplePos="0" locked="0" layoutInCell="1" allowOverlap="1" relativeHeight="22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30" name="Frame1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From time to time, Innventure1 LLC (“Innventure1”) pays expenses on behalf of Innventure LLC pursuant to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From time to time, Innventure1 LLC (“Innventure1”) pays expenses on behalf of Innventure LLC pursuant to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1" name="Frame1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32" name="Frame1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related party note, with settlement of such amounts to be agreed upon by management of each of Innventure1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related party note, with settlement of such amounts to be agreed upon by management of each of Innventure1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1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3" name="Frame1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34" name="Frame1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LLC. On October 31, 2023, Innventure LLC entered into a debt conversion agreement with Innventure1.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LLC. On October 31, 2023, Innventure LLC entered into a debt conversion agreement with Innventure1.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5" name="Frame1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36" name="Frame1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year ended December 31, 2023, and pursuant to the terms of the debt conversion agreement, the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year ended December 31, 2023, and pursuant to the terms of the debt conversion agreement, the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7" name="Frame1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38" name="Frame1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extinguished the related party note with Innventure1 and converted this note in the amount of $500 into 52,010 Class B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extinguished the related party note with Innventure1 and converted this note in the amount of $500 into 52,010 Class B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39" name="Frame1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40" name="Frame1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based on the Class B Preferred Unit issuance price of $9.6992 per unit. The nature of this indebtedness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based on the Class B Preferred Unit issuance price of $9.6992 per unit. The nature of this indebtedness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1" name="Frame1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42" name="Frame1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primarily expenses paid on the Company’s behalf and settlement was agreed upon by the management of the two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primarily expenses paid on the Company’s behalf and settlement was agreed upon by the management of the two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2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3" name="Frame1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88055" cy="293370"/>
                <wp:effectExtent l="0" t="0" r="0" b="0"/>
                <wp:wrapNone/>
                <wp:docPr id="1544" name="Frame1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80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parties. The indebtedness has no stated interest and no maturity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4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parties. The indebtedness has no stated interest and no maturity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B-1 Unit Purchase Agreement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22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545" name="Frame1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May 24, 2023, Innventure LLC and WE-INN paid to the ESG Fund its capital call obligation of approximately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May 24, 2023, Innventure LLC and WE-INN paid to the ESG Fund its capital call obligation of approximately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6" name="Frame1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5750" cy="146685"/>
                <wp:effectExtent l="0" t="0" r="0" b="0"/>
                <wp:wrapNone/>
                <wp:docPr id="1547" name="Frame1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4">
                <wp:simplePos x="0" y="0"/>
                <wp:positionH relativeFrom="page">
                  <wp:posOffset>1028700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48" name="Frame1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8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Intercompany Advancement of Expenses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2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49" name="Frame1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$9.6992 per unit (based on a weighted average of the closing price on the Nasdaq Capital Market of PCT’s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$9.6992 per unit (based on a weighted average of the closing price on the Nasdaq Capital Market of PCT’s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54885" cy="293370"/>
                <wp:effectExtent l="0" t="0" r="0" b="0"/>
                <wp:wrapNone/>
                <wp:docPr id="1550" name="Frame1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8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arrangement in connection with the Closing.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7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arrangement in connection with the Closing.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1" name="Frame1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52" name="Frame1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closely as possible, the same economic position following the Business Combination, the parties terminated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closely as possible, the same economic position following the Business Combination, the parties terminated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3" name="Frame1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54" name="Frame1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Preferred Units totaling approximately $1,700 and $2,500, respectively. Following discussions to place the Purchasers in,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Preferred Units totaling approximately $1,700 and $2,500, respectively. Following discussions to place the Purchasers in,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5" name="Frame1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56" name="Frame1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contributing certain shares of PCT’s common stock to Innventure LLC, with the aggregate purchase price of the Class B-1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contributing certain shares of PCT’s common stock to Innventure LLC, with the aggregate purchase price of the Class B-1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7" name="Frame1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58" name="Frame1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during the 30-day period ending on the date on which the exchange closed, multiplied by 0.8) in exchange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during the 30-day period ending on the date on which the exchange closed, multiplied by 0.8) in exchange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59" name="Frame1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60" name="Frame1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25, 2023, Innventure LLC entered into a unit purchase agreement with each of John Scott and Michael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25, 2023, Innventure LLC entered into a unit purchase agreement with each of John Scott and Michael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1" name="Frame1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62" name="Frame1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between Dr. Scott and Mr. Otworth and PCT. The Purchasers agreed to purchase such Class B-1 Preferred Units at a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between Dr. Scott and Mr. Otworth and PCT. The Purchasers agreed to purchase such Class B-1 Preferred Units at a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3" name="Frame1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1564" name="Frame1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respectively, upon the release of Dr. Scott and Mr. Otworth’s contractual restrictions under lock-up agreements entered into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respectively, upon the release of Dr. Scott and Mr. Otworth’s contractual restrictions under lock-up agreements entered into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4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5" name="Frame1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66" name="Frame1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 purchase agreements, Innventure LLC agreed to issue the Purchasers 171,498 and 260,787 Class B-1 Preferred Units,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 purchase agreements, Innventure LLC agreed to issue the Purchasers 171,498 and 260,787 Class B-1 Preferred Units,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7" name="Frame1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68" name="Frame1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Otworth (each a “Purchaser” and together the “Purchasers”), who are each members of Innventure1. Under the terms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Otworth (each a “Purchaser” and together the “Purchasers”), who are each members of Innventure1. Under the terms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69" name="Frame1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AeroFlexx</w:t>
      </w:r>
      <w:r>
        <mc:AlternateContent>
          <mc:Choice Requires="wps">
            <w:drawing>
              <wp:anchor behindDoc="0" distT="0" distB="0" distL="0" distR="0" simplePos="0" locked="0" layoutInCell="1" allowOverlap="1" relativeHeight="225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570" name="Frame1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the normal course of business, Innventure LLC has made advances for certain expenses on behalf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the normal course of business, Innventure LLC has made advances for certain expenses on behalf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1" name="Frame1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72" name="Frame1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AeroFlexx, Accelsius, the ESG Fund and Refinity. These advances are typically made on a month-to-month basis, meaning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AeroFlexx, Accelsius, the ESG Fund and Refinity. These advances are typically made on a month-to-month basis, meaning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5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3" name="Frame1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74" name="Frame1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they are incurred one month and repaid the following month. As of December 31, 2024, $246 of the respective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they are incurred one month and repaid the following month. As of December 31, 2024, $246 of the respective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5" name="Frame1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76" name="Frame1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advances have been fully reimbursed, and the remainder is added to the respective letter-of-credit outstanding balance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advances have been fully reimbursed, and the remainder is added to the respective letter-of-credit outstanding balance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7" name="Frame1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578" name="Frame1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otherwise remains outstanding. The following table details the aggregate amount advanced to each company (in excess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otherwise remains outstanding. The following table details the aggregate amount advanced to each company (in excess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79" name="Frame1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53185" cy="293370"/>
                <wp:effectExtent l="0" t="0" r="0" b="0"/>
                <wp:wrapNone/>
                <wp:docPr id="1580" name="Frame18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$120) per year since 2023: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$120) per year since 2023: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1581" name="Frame18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1582" name="Frame18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6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91515" cy="262890"/>
                <wp:effectExtent l="0" t="0" r="0" b="0"/>
                <wp:wrapNone/>
                <wp:docPr id="1583" name="Frame18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Less than $120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4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Less than $120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Loan and Security Agreements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</w:t>
      </w:r>
      <w:r>
        <mc:AlternateContent>
          <mc:Choice Requires="wps">
            <w:drawing>
              <wp:anchor behindDoc="0" distT="0" distB="0" distL="0" distR="0" simplePos="0" locked="0" layoutInCell="1" allowOverlap="1" relativeHeight="227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584" name="Frame18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February 9, 2023, AeroFlexx Packaging and Auto Now Acceptance Co., LLC (“Auto Now”) entered into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February 9, 2023, AeroFlexx Packaging and Auto Now Acceptance Co., LLC (“Auto Now”) entered into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5" name="Frame18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86" name="Frame18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Loan Agreement (the “Loan Agreement”). Under the terms of the Loan Agreement, Auto Now agreed to lend to AeroFlexx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Loan Agreement (the “Loan Agreement”). Under the terms of the Loan Agreement, Auto Now agreed to lend to AeroFlexx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7" name="Frame18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88" name="Frame18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Packaging, on a revolving basis, up to $4,000 at one time. AeroFlexx Packaging may borrow, repay and reborrow funds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Packaging, on a revolving basis, up to $4,000 at one time. AeroFlexx Packaging may borrow, repay and reborrow funds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89" name="Frame18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90" name="Frame18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from the date of the Loan Agreement until January 31, 2024 (the “Commitment Period”). The Commitment Period may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from the date of the Loan Agreement until January 31, 2024 (the “Commitment Period”). The Commitment Period may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1" name="Frame18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592" name="Frame18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renewed up to four times, each for one calendar year period, beginning on January 3 of each year, and was renewed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renewed up to four times, each for one calendar year period, beginning on January 3 of each year, and was renewed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3" name="Frame18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594" name="Frame18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2024. Loans made pursuant to the Loan Agreement will be guaranteed by AeroFlexx and will incur interest at variable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2024. Loans made pursuant to the Loan Agreement will be guaranteed by AeroFlexx and will incur interest at variable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5" name="Frame18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Accelsius</w:t>
      </w:r>
      <w:r>
        <mc:AlternateContent>
          <mc:Choice Requires="wps">
            <w:drawing>
              <wp:anchor behindDoc="0" distT="0" distB="0" distL="0" distR="0" simplePos="0" locked="0" layoutInCell="1" allowOverlap="1" relativeHeight="231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596" name="Frame1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20, 2025, Auto Now agreed to deem as repaid in full and otherwise terminated all loans and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20, 2025, Auto Now agreed to deem as repaid in full and otherwise terminated all loans and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7" name="Frame19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598" name="Frame19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Packaging’s liquid filling equipment (the “Collateral”). The Security Agreement secures (i) all indebtedness owed 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Packaging’s liquid filling equipment (the “Collateral”). The Security Agreement secures (i) all indebtedness owed 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599" name="Frame19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00" name="Frame19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Loan Agreement and future advances and promissory notes made pursuant to the Loan Agreement, (ii) all expenditures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Loan Agreement and future advances and promissory notes made pursuant to the Loan Agreement, (ii) all expenditures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1" name="Frame19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02" name="Frame19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by AeroFlexx Packaging incurred for taxes, insurance and repairs to and maintenance for the Collateral and (iii) all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by AeroFlexx Packaging incurred for taxes, insurance and repairs to and maintenance for the Collateral and (iii) all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3" name="Frame19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04" name="Frame19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liabilities of AeroFlexx Packaging to Auto Now presently existing or incurred in the future, whether they are matured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liabilities of AeroFlexx Packaging to Auto Now presently existing or incurred in the future, whether they are matured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5" name="Frame19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003800" cy="293370"/>
                <wp:effectExtent l="0" t="0" r="0" b="0"/>
                <wp:wrapNone/>
                <wp:docPr id="1606" name="Frame1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38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unmatured, direct or contingent, and any renewals, extensions and substitutions of those liabilities.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unmatured, direct or contingent, and any renewals, extensions and substitutions of those liabilities.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75260"/>
                <wp:effectExtent l="0" t="0" r="0" b="0"/>
                <wp:wrapNone/>
                <wp:docPr id="1607" name="Frame19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Security Agreement”) pursuant to which AeroFlexx Packaging granted to Auto Now a security interest in AeroFlexx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Security Agreement”) pursuant to which AeroFlexx Packaging granted to Auto Now a security interest in AeroFlexx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08" name="Frame1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09" name="Frame1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obligations of AeroFlexx Packaging to Auto Now under the Loan Agreement and any loan documentation executed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obligations of AeroFlexx Packaging to Auto Now under the Loan Agreement and any loan documentation executed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0" name="Frame1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11" name="Frame1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the Loan Agreement in exchange for the issuance to Glockner Family Venture Fund, LP of 578,294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the Loan Agreement in exchange for the issuance to Glockner Family Venture Fund, LP of 578,294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1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2" name="Frame1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18080" cy="293370"/>
                <wp:effectExtent l="0" t="0" r="0" b="0"/>
                <wp:wrapNone/>
                <wp:docPr id="1613" name="Frame1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80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0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1">
                <wp:simplePos x="0" y="0"/>
                <wp:positionH relativeFrom="page">
                  <wp:posOffset>3161030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4" name="Frame1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48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615" name="Frame1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James Donnally, a member of the Board, also serves as a director of Auto Now Acceptance Company, the parent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James Donnally, a member of the Board, also serves as a director of Auto Now Acceptance Company, the parent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6" name="Frame1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98880" cy="293370"/>
                <wp:effectExtent l="0" t="0" r="0" b="0"/>
                <wp:wrapNone/>
                <wp:docPr id="1617" name="Frame1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8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of Auto Now.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4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of Auto Now.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8" name="Frame18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19" name="Frame18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20" name="Frame18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annum). The loans made pursuant to the Loan Agreement will be made upon Auto Now’s receipt of executed promissory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annum). The loans made pursuant to the Loan Agreement will be made upon Auto Now’s receipt of executed promissory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1" name="Frame18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22" name="Frame18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notes and security instruments satisfactory to Auto Now and upon Auto Now’s satisfaction that certain collateral securing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notes and security instruments satisfactory to Auto Now and upon Auto Now’s satisfaction that certain collateral securing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3" name="Frame18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24" name="Frame18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AeroFlexx Packaging’s indebtedness is sufficient. Upon AeroFlexx Packaging’s request, one or more promissory notes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AeroFlexx Packaging’s indebtedness is sufficient. Upon AeroFlexx Packaging’s request, one or more promissory notes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5" name="Frame18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26" name="Frame18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evidencing loans under the Loan Agreement may be converted to term loans, solely at the discretion of Auto Now.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evidencing loans under the Loan Agreement may be converted to term loans, solely at the discretion of Auto Now.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27" name="Frame18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28" name="Frame18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loans will proportionately decrease the availability of funds under the Loan Agreement. The proceeds of the loans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loans will proportionately decrease the availability of funds under the Loan Agreement. The proceeds of the loans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29" name="Frame18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 rates based on the prime rate, as published by The Wall Street Journal, plus 5.0% (such rates not to exceed 12%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 rates based on the prime rate, as published by The Wall Street Journal, plus 5.0% (such rates not to exceed 12%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30" name="Frame18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be used to purchase liquid filing equipment as part of AeroFlexx Packaging’s liquid packaging operations. As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be used to purchase liquid filing equipment as part of AeroFlexx Packaging’s liquid packaging operations. As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1" name="Frame18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32" name="Frame18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December 31, 2024, approximately $2,700 was outstanding under the Loan Agreement. Since the date of the Loan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December 31, 2024, approximately $2,700 was outstanding under the Loan Agreement. Since the date of the Loan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3" name="Frame18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34" name="Frame18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Agreement, no principal has been paid, $500 of interest has been paid, and the largest amount of principal outstanding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Agreement, no principal has been paid, $500 of interest has been paid, and the largest amount of principal outstanding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5" name="Frame18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1000" cy="146685"/>
                <wp:effectExtent l="0" t="0" r="0" b="0"/>
                <wp:wrapNone/>
                <wp:docPr id="1636" name="Frame19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$2,800.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$2,800.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637" name="Frame19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Additionally, on February 9, 2023, AeroFlexx Packaging and Auto Now entered into a Security Agreement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Additionally, on February 9, 2023, AeroFlexx Packaging and Auto Now entered into a Security Agreement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38" name="Frame19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Convertible Notes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Class A Series 2 Units</w:t>
      </w:r>
      <w:r>
        <mc:AlternateContent>
          <mc:Choice Requires="wps">
            <w:drawing>
              <wp:anchor behindDoc="0" distT="0" distB="0" distL="0" distR="0" simplePos="0" locked="0" layoutInCell="1" allowOverlap="1" relativeHeight="23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39" name="Frame1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aggregate amount of principal indebtedness evidenced by all of the Accelsius Convertible Notes issued and sold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aggregate amount of principal indebtedness evidenced by all of the Accelsius Convertible Notes issued and sold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0" name="Frame1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40175" cy="293370"/>
                <wp:effectExtent l="0" t="0" r="0" b="0"/>
                <wp:wrapNone/>
                <wp:docPr id="1641" name="Frame1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0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total amount of interest accrued and due to the ESG Fund in 2024 was $0.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total amount of interest accrued and due to the ESG Fund in 2024 was $0.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642" name="Frame1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June 2, 2023, the Series I Note Purchase Agreement was amended and restated to permit Accelsius to issue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June 2, 2023, the Series I Note Purchase Agreement was amended and restated to permit Accelsius to issue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3" name="Frame1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44" name="Frame1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sell additional Accelsius Convertible Notes to such persons or entities (including to the ESG Fund if the ESG Fund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sell additional Accelsius Convertible Notes to such persons or entities (including to the ESG Fund if the ESG Fund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5" name="Frame1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46" name="Frame1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desires to acquire additional Accelsius Convertible Notes) as determined by Accelsius, until the earlier of (i) such time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desires to acquire additional Accelsius Convertible Notes) as determined by Accelsius, until the earlier of (i) such time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7" name="Frame1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48" name="Frame1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due to the ESG Fund in the fiscal year ended December 31, 2023 was approximately $500. As of December 31,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due to the ESG Fund in the fiscal year ended December 31, 2023 was approximately $500. As of December 31,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49" name="Frame1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50" name="Frame1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note purchase agreement equals a total of $6,000 or (ii) July 31, 2023. In March 2024, the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note purchase agreement equals a total of $6,000 or (ii) July 31, 2023. In March 2024, the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1" name="Frame1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52" name="Frame1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Notes were converted into 693,480 Accelsius Series A units at a conversion price of $9.74 per unit. Since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Notes were converted into 693,480 Accelsius Series A units at a conversion price of $9.74 per unit. Since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3" name="Frame1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54" name="Frame1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of the Accelsius Convertible Notes, the largest aggregate amount of principal amount outstanding was approximately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of the Accelsius Convertible Notes, the largest aggregate amount of principal amount outstanding was approximately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5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5" name="Frame1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1000" cy="146685"/>
                <wp:effectExtent l="0" t="0" r="0" b="0"/>
                <wp:wrapNone/>
                <wp:docPr id="1656" name="Frame1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$6,000.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$6,000.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7" name="Frame1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58" name="Frame1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59" name="Frame1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among Accelsius, the ESG Fund and the other parties thereto, Accelsius issued a convertible promissory note to the ESG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among Accelsius, the ESG Fund and the other parties thereto, Accelsius issued a convertible promissory note to the ESG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0" name="Frame1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61" name="Frame1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Fund in an aggregate principal amount of $4,000 (the “Accelsius Convertible Notes”). The Accelsius Convertible Notes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Fund in an aggregate principal amount of $4,000 (the “Accelsius Convertible Notes”). The Accelsius Convertible Notes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2" name="Frame1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63" name="Frame1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 interest at a rate of 8% per year and are convertible into equity securities of Accelsius issued in a bona fide 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 interest at a rate of 8% per year and are convertible into equity securities of Accelsius issued in a bona fide 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4" name="Frame1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65" name="Frame1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offering for investment purposes at a conversion price equal to the lesser of 80% of the per unit price paid by the investors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offering for investment purposes at a conversion price equal to the lesser of 80% of the per unit price paid by the investors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2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666" name="Frame1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18, 2022, pursuant to a note purchase agreement (the “Series I Note Purchase Agreement”), by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18, 2022, pursuant to a note purchase agreement (the “Series I Note Purchase Agreement”), by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67" name="Frame1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purchasing such equity in the such offering or (b) the quotient of $200,000 divided by the aggregate number of outstanding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purchasing such equity in the such offering or (b) the quotient of $200,000 divided by the aggregate number of outstanding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68" name="Frame1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69" name="Frame1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Class A Units and Accelsius Incentive Units (as defined below) as of immediately prior to the initial closing of such equity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Class A Units and Accelsius Incentive Units (as defined below) as of immediately prior to the initial closing of such equity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0" name="Frame1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71" name="Frame1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securities. The Accelsius Convertible Notes mature on the earlier of August 18, 2025 or the date on which a change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securities. The Accelsius Convertible Notes mature on the earlier of August 18, 2025 or the date on which a change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2" name="Frame1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73" name="Frame1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control transaction (as defined in the Accelsius Convertible Notes) is consummated. The total amount of interest accrued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control transaction (as defined in the Accelsius Convertible Notes) is consummated. The total amount of interest accrued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4" name="Frame1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21</w:t>
      </w:r>
      <w:r>
        <mc:AlternateContent>
          <mc:Choice Requires="wps">
            <w:drawing>
              <wp:anchor behindDoc="0" distT="0" distB="0" distL="0" distR="0" simplePos="0" locked="0" layoutInCell="1" allowOverlap="1" relativeHeight="236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675" name="Frame19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February 1, 2023, the ESG Fund purchased 23,712 Class A Series 2 Units of Accelsius for aggregate proceeds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February 1, 2023, the ESG Fund purchased 23,712 Class A Series 2 Units of Accelsius for aggregate proceeds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6" name="Frame19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8085" cy="293370"/>
                <wp:effectExtent l="0" t="0" r="0" b="0"/>
                <wp:wrapNone/>
                <wp:docPr id="1677" name="Frame19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8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approximately $100.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3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approximately $100.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Other Related Party 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Investor Rights Agreement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Lock-Up Agreements</w:t>
      </w:r>
      <w:r>
        <mc:AlternateContent>
          <mc:Choice Requires="wps">
            <w:drawing>
              <wp:anchor behindDoc="0" distT="0" distB="0" distL="0" distR="0" simplePos="0" locked="0" layoutInCell="1" allowOverlap="1" relativeHeight="236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678" name="Frame19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terms of the Business Combination Agreement, at the Closing, Innventure and Founding Investors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terms of the Business Combination Agreement, at the Closing, Innventure and Founding Investors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79" name="Frame19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35705" cy="146685"/>
                <wp:effectExtent l="0" t="0" r="0" b="0"/>
                <wp:wrapNone/>
                <wp:docPr id="1680" name="Frame19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57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entered into the Investor Rights Agreement. See the section entitled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4.1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entered into the Investor Rights Agreement. See the section entitled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7">
                <wp:simplePos x="0" y="0"/>
                <wp:positionH relativeFrom="page">
                  <wp:posOffset>4478655</wp:posOffset>
                </wp:positionH>
                <wp:positionV relativeFrom="line">
                  <wp:posOffset>635</wp:posOffset>
                </wp:positionV>
                <wp:extent cx="2549525" cy="146685"/>
                <wp:effectExtent l="0" t="0" r="0" b="0"/>
                <wp:wrapNone/>
                <wp:docPr id="1681" name="Frame19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95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Nominations—Agreements to Nominate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75pt;height:11.55pt;mso-wrap-distance-left:0pt;mso-wrap-distance-right:0pt;mso-wrap-distance-top:0pt;mso-wrap-distance-bottom:0pt;margin-top:0pt;mso-position-vertical:top;mso-position-vertical-relative:text;margin-left:352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Nominations—Agreements to Nominate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2" name="Frame19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05510" cy="293370"/>
                <wp:effectExtent l="0" t="0" r="0" b="0"/>
                <wp:wrapNone/>
                <wp:docPr id="1683" name="Frame19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0">
                <wp:simplePos x="0" y="0"/>
                <wp:positionH relativeFrom="page">
                  <wp:posOffset>1648460</wp:posOffset>
                </wp:positionH>
                <wp:positionV relativeFrom="line">
                  <wp:posOffset>635</wp:posOffset>
                </wp:positionV>
                <wp:extent cx="1744345" cy="321945"/>
                <wp:effectExtent l="0" t="0" r="0" b="0"/>
                <wp:wrapNone/>
                <wp:docPr id="1684" name="Frame1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345" cy="3219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Item 10 for more information.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7.35pt;height:25.35pt;mso-wrap-distance-left:0pt;mso-wrap-distance-right:0pt;mso-wrap-distance-top:0pt;mso-wrap-distance-bottom:0pt;margin-top:0pt;mso-position-vertical:top;mso-position-vertical-relative:text;margin-left:12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Item 10 for more information.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1">
                <wp:simplePos x="0" y="0"/>
                <wp:positionH relativeFrom="page">
                  <wp:posOffset>3392805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5" name="Frame1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67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Employee Family Relationship</w:t>
      </w:r>
      <w:r>
        <mc:AlternateContent>
          <mc:Choice Requires="wps">
            <w:drawing>
              <wp:anchor behindDoc="0" distT="0" distB="0" distL="0" distR="0" simplePos="0" locked="0" layoutInCell="1" allowOverlap="1" relativeHeight="241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6" name="Frame2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7" name="Frame2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688" name="Frame2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consummation of Learn CW’s initial public offering until the earlier of (A) one year after the completion of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consummation of Learn CW’s initial public offering until the earlier of (A) one year after the completion of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89" name="Frame2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690" name="Frame2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Class B ordinary shares of Learn CW, par value $0.0001 per share (the “Founder Shares”), outstanding prior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Class B ordinary shares of Learn CW, par value $0.0001 per share (the “Founder Shares”), outstanding prior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1" name="Frame2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1692" name="Frame2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Sponsor LLC (the “Sponsor”), pursuant to which the Sponsor and certain Insiders (as defined therein) agreed not to transfer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Sponsor LLC (the “Sponsor”), pursuant to which the Sponsor and certain Insiders (as defined therein) agreed not to transfer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3" name="Frame2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94" name="Frame2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Letter Agreement”), dated October 7, 2021, among Learn CW and its officers, directors, director nominees and the CWAM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Letter Agreement”), dated October 7, 2021, among Learn CW and its officers, directors, director nominees and the CWAM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695" name="Frame2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Combination and (B) the date following the completion of the Business Combination on which Learn CW completes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Combination and (B) the date following the completion of the Business Combination on which Learn CW completes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696" name="Frame2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Learn CW’s initial public offering, Learn CW entered into a Letter Agreement (the “2021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Learn CW’s initial public offering, Learn CW entered into a Letter Agreement (the “2021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1645" cy="293370"/>
                <wp:effectExtent l="0" t="0" r="0" b="0"/>
                <wp:wrapNone/>
                <wp:docPr id="1697" name="Frame2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property.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property.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698" name="Frame2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699" name="Frame2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public stockholders of Innventure having the right to exchange their shares of Common Stock for cash securities or other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public stockholders of Innventure having the right to exchange their shares of Common Stock for cash securities or other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0" name="Frame2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01" name="Frame2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merger, liquidation, stock exchange, reorganization or other similar transaction after the Closing that results in all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merger, liquidation, stock exchange, reorganization or other similar transaction after the Closing that results in all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2" name="Frame2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03" name="Frame2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30-trading day period commencing at least 150 days after the Closing or (ii) the date which Innventure completes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30-trading day period commencing at least 150 days after the Closing or (ii) the date which Innventure completes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4" name="Frame2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05" name="Frame2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liquidation, merger, share exchange or other similar transaction that results in all of Learn CW’s shareholders having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liquidation, merger, share exchange or other similar transaction that results in all of Learn CW’s shareholders having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6" name="Frame2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07" name="Frame2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right to exchange their Learn CW Class A ordinary shares, par value $0.0001 per share (the “Ordinary Shares”), for cash,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right to exchange their Learn CW Class A ordinary shares, par value $0.0001 per share (the “Ordinary Shares”), for cash,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7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08" name="Frame20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09" name="Frame20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securities or other property.  The Founder Shares and the Ordinary Shares were each converted into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securities or other property.  The Founder Shares and the Ordinary Shares were each converted into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2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0" name="Frame20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1711" name="Frame20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at the Closing. Pursuant to the terms of the 2021 Letter Agreement, and notwithstanding the foregoing, if, subsequent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at the Closing. Pursuant to the terms of the 2021 Letter Agreement, and notwithstanding the foregoing, if, subsequent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2" name="Frame20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13" name="Frame20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the Closing, the closing price of the Common Stock equals or exceeds $12.00 per share (as adjusted for share sub-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the Closing, the closing price of the Common Stock equals or exceeds $12.00 per share (as adjusted for share sub-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14" name="Frame20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divisions, share capitalizations, share consolidations, reorganizations, recapitalizations and the like) for any 20 trading days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divisions, share capitalizations, share consolidations, reorganizations, recapitalizations and the like) for any 20 trading days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5" name="Frame20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16" name="Frame20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within any 30-trading day period commencing at least 150 days after the Business Combination, the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within any 30-trading day period commencing at least 150 days after the Business Combination, the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7" name="Frame20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845175" cy="293370"/>
                <wp:effectExtent l="0" t="0" r="0" b="0"/>
                <wp:wrapNone/>
                <wp:docPr id="1718" name="Frame20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51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held by the parties to the 2021 Letter Agreement or their permitted transferees will be released from lock-up.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0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held by the parties to the 2021 Letter Agreement or their permitted transferees will be released from lock-up.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19" name="Frame19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720" name="Frame19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until the end of the period beginning on the date of the Closing and ending on the date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until the end of the period beginning on the date of the Closing and ending on the date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1" name="Frame19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22" name="Frame19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membership interests, warrants or other equity interests of Innventure LLC were prohibited from transferring any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membership interests, warrants or other equity interests of Innventure LLC were prohibited from transferring any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3" name="Frame19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24" name="Frame19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consideration (including any Earnout Shares, as defined in the Business Combination Agreement) to former holders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consideration (including any Earnout Shares, as defined in the Business Combination Agreement) to former holders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5" name="Frame19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726" name="Frame19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Innventure’s Certificate of Incorporation, the holders of shares of Common Stock issued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Innventure’s Certificate of Incorporation, the holders of shares of Common Stock issued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01820" cy="293370"/>
                <wp:effectExtent l="0" t="0" r="0" b="0"/>
                <wp:wrapNone/>
                <wp:docPr id="1727" name="Frame19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18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lapsed with respect to the shares of Common Stock held by the MSA Lock-Up Parties.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6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lapsed with respect to the shares of Common Stock held by the MSA Lock-Up Parties.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89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28" name="Frame19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29" name="Frame19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Combination.  On April 1, 2025, the restrictions pursuant to the lock-up under the Member Support Agreement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Combination.  On April 1, 2025, the restrictions pursuant to the lock-up under the Member Support Agreement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0" name="Frame19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31" name="Frame1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day lock-up period following the Closing with respect to any shares of Common Stock received as consideration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day lock-up period following the Closing with respect to any shares of Common Stock received as consideration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32" name="Frame1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and Holdco  pursuant to which the MSA Lock-Up Parties agreed to, among other things, be subject to a 180-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and Holdco  pursuant to which the MSA Lock-Up Parties agreed to, among other things, be subject to a 180-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3" name="Frame1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1734" name="Frame1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MSA Lock-Up Parties”) entered into a Member Support Agreement (the “Member Support Agreement”) with Learn CW,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MSA Lock-Up Parties”) entered into a Member Support Agreement (the “Member Support Agreement”) with Learn CW,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5" name="Frame1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736" name="Frame1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entry into the Business Combination Agreement, certain members of Innventure LLC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entry into the Business Combination Agreement, certain members of Innventure LLC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37" name="Frame19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opening of the first trading window at least 180 days after the Closing.  On April 1, 2025, the restrictions pursuant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opening of the first trading window at least 180 days after the Closing.  On April 1, 2025, the restrictions pursuant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38" name="Frame19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39" name="Frame19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lock-up under the Certificate of Incorporation lapsed with respect to the shares of Common Stock held by the former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lock-up under the Certificate of Incorporation lapsed with respect to the shares of Common Stock held by the former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0" name="Frame19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11980" cy="293370"/>
                <wp:effectExtent l="0" t="0" r="0" b="0"/>
                <wp:wrapNone/>
                <wp:docPr id="1741" name="Frame19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19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membership interests, warrants, or other equity interests of Innventure LLC.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7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membership interests, warrants, or other equity interests of Innventure LLC.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742" name="Frame19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entry into the Business Combination Agreement, certain insiders of Innventure entered into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entry into the Business Combination Agreement, certain insiders of Innventure entered into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3" name="Frame19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44" name="Frame19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lock-up agreements, pursuant to which such persons have agreed to restrictions on the transfer of their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lock-up agreements, pursuant to which such persons have agreed to restrictions on the transfer of their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5" name="Frame1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746" name="Frame19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Stock, subject to certain exceptions, for a period ending upon the earlier of (A) the expiration of one year after the Closing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Stock, subject to certain exceptions, for a period ending upon the earlier of (A) the expiration of one year after the Closing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7" name="Frame2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293370"/>
                <wp:effectExtent l="0" t="0" r="0" b="0"/>
                <wp:wrapNone/>
                <wp:docPr id="1748" name="Frame2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(B) subsequent to the Closing, (i) if the closing price of Common Stock equals or exceeds $12.00 per share (as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(B) subsequent to the Closing, (i) if the closing price of Common Stock equals or exceeds $12.00 per share (as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49" name="Frame2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50" name="Frame2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share subdivisions, share capitalizations, reorganizations, recapitalizations and the like) for any 20 trading days within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share subdivisions, share capitalizations, reorganizations, recapitalizations and the like) for any 20 trading days within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1" name="Frame2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Aircraft Time Sharing Agreements</w:t>
      </w:r>
      <w:r>
        <mc:AlternateContent>
          <mc:Choice Requires="wps">
            <w:drawing>
              <wp:anchor behindDoc="0" distT="0" distB="0" distL="0" distR="0" simplePos="0" locked="0" layoutInCell="1" allowOverlap="1" relativeHeight="24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752" name="Frame20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Colin Scott (the son of Dr. John Scott, our Chief Strategy Officer) is an employee of Innventure and serves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Colin Scott (the son of Dr. John Scott, our Chief Strategy Officer) is an employee of Innventure and serves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3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3" name="Frame20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54" name="Frame2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Accelsius board of directors. Mr. Colin Scott earned $325 and $216 for the years ended December 31, 2024 and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Accelsius board of directors. Mr. Colin Scott earned $325 and $216 for the years ended December 31, 2024 and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5" name="Frame2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44525" cy="293370"/>
                <wp:effectExtent l="0" t="0" r="0" b="0"/>
                <wp:wrapNone/>
                <wp:docPr id="1756" name="Frame2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5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0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22</w:t>
      </w:r>
      <w:r>
        <mc:AlternateContent>
          <mc:Choice Requires="wps">
            <w:drawing>
              <wp:anchor behindDoc="0" distT="0" distB="0" distL="0" distR="0" simplePos="0" locked="0" layoutInCell="1" allowOverlap="1" relativeHeight="24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757" name="Frame2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May 6, 2024, Innventure LLC entered into aircraft time sharing agreements with entities affiliated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May 6, 2024, Innventure LLC entered into aircraft time sharing agreements with entities affiliated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58" name="Frame2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59" name="Frame2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Michael Otworth and John Scott, each of whom owns a partial interest in a private airplane, whereby they, as partial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Michael Otworth and John Scott, each of whom owns a partial interest in a private airplane, whereby they, as partial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0" name="Frame2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Bridge Financing</w:t>
      </w:r>
      <w:r>
        <mc:AlternateContent>
          <mc:Choice Requires="wps">
            <w:drawing>
              <wp:anchor behindDoc="0" distT="0" distB="0" distL="0" distR="0" simplePos="0" locked="0" layoutInCell="1" allowOverlap="1" relativeHeight="24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61" name="Frame2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owners of the plane, would be reimbursed for its use by Innventure LLC and its employees and directors.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owners of the plane, would be reimbursed for its use by Innventure LLC and its employees and directors.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2" name="Frame2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63" name="Frame2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reimbursements are only to be granted for Innventure LLC business use. The aircraft time sharing agreements each have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reimbursements are only to be granted for Innventure LLC business use. The aircraft time sharing agreements each have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4" name="Frame2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65" name="Frame2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initial term of one year and automatically renew for one month terms until terminated by either party. Each agreement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initial term of one year and automatically renew for one month terms until terminated by either party. Each agreement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6" name="Frame2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67" name="Frame2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terminated by either party with 30 days’ prior written notice. In 2024, Innventure LLC made reimbursements to each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terminated by either party with 30 days’ prior written notice. In 2024, Innventure LLC made reimbursements to each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68" name="Frame2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69" name="Frame2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Otworth and Dr. Scott in the amounts of $142 and $122, respectively. Mr. Otworth was the Executive Chairman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Otworth and Dr. Scott in the amounts of $142 and $122, respectively. Mr. Otworth was the Executive Chairman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0" name="Frame2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71" name="Frame2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and is now Innventure’s Executive Chairman. Dr. Scott was the Chief Strategy Officer of Innventure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and is now Innventure’s Executive Chairman. Dr. Scott was the Chief Strategy Officer of Innventure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2" name="Frame2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21255" cy="293370"/>
                <wp:effectExtent l="0" t="0" r="0" b="0"/>
                <wp:wrapNone/>
                <wp:docPr id="1773" name="Frame2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is now Innventure’s Chief Strategy Officer.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is now Innventure’s Chief Strategy Officer.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23</w:t>
      </w:r>
      <w:r>
        <mc:AlternateContent>
          <mc:Choice Requires="wps">
            <w:drawing>
              <wp:anchor behindDoc="0" distT="0" distB="0" distL="0" distR="0" simplePos="0" locked="0" layoutInCell="1" allowOverlap="1" relativeHeight="25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4" name="Frame2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775" name="Frame2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1, 2024, the Company and Dr. John Scott agreed to amend and restate the Scott Bridge Note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1, 2024, the Company and Dr. John Scott agreed to amend and restate the Scott Bridge Note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95035" cy="293370"/>
                <wp:effectExtent l="0" t="0" r="0" b="0"/>
                <wp:wrapNone/>
                <wp:docPr id="1776" name="Frame2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50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for the issuance to the Glockner Lender of 1,392,059 shares 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2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for the issuance to the Glockner Lender of 1,392,059 shares 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7" name="Frame2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78" name="Frame2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Bridge Note and any loan documentation executed in connection with the A&amp;R Glockner Bridge Note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Bridge Note and any loan documentation executed in connection with the A&amp;R Glockner Bridge Note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79" name="Frame2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80" name="Frame2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full and otherwise terminated all loans and other obligations of Innventure LLC to the Glockner Lender under the A&amp;R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full and otherwise terminated all loans and other obligations of Innventure LLC to the Glockner Lender under the A&amp;R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1" name="Frame2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82" name="Frame2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 partner, Bellringer Consulting Group LLC. On March 20, 2025, the Glockner Lender agreed to deem as repaid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 partner, Bellringer Consulting Group LLC. On March 20, 2025, the Glockner Lender agreed to deem as repaid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3" name="Frame2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84" name="Frame2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Bridge Note. As described above, Mr. Donnally serves as the managing member of the Glockner Lender’s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Bridge Note. As described above, Mr. Donnally serves as the managing member of the Glockner Lender’s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5" name="Frame2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786" name="Frame2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are met. The Company also agreed to pay the Glockner Lender $1,000 as a loan fee in connection with entry into the A&amp;R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are met. The Company also agreed to pay the Glockner Lender $1,000 as a loan fee in connection with entry into the A&amp;R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1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7" name="Frame2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88" name="Frame2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the A&amp;R Glockner Bridge Note, such failure will not constitute an event of default unless certain other conditions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the A&amp;R Glockner Bridge Note, such failure will not constitute an event of default unless certain other conditions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89" name="Frame2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90" name="Frame2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day of each calendar month, beginning on November 1, 2024. In the event of a failure to pay any amount due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day of each calendar month, beginning on November 1, 2024. In the event of a failure to pay any amount due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1" name="Frame2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792" name="Frame2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of the A&amp;R Glockner Bridge Note, such note will bear interest at 15.99% per annum, payable in arrears on the first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of the A&amp;R Glockner Bridge Note, such note will bear interest at 15.99% per annum, payable in arrears on the first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3" name="Frame2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794" name="Frame2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its expected working capital needs, as determined by the Company in its reasonable discretion. From and after the issuance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its expected working capital needs, as determined by the Company in its reasonable discretion. From and after the issuance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5" name="Frame2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3">
                <wp:simplePos x="0" y="0"/>
                <wp:positionH relativeFrom="page">
                  <wp:posOffset>3954780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6" name="Frame2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11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11830" cy="293370"/>
                <wp:effectExtent l="0" t="0" r="0" b="0"/>
                <wp:wrapNone/>
                <wp:docPr id="1797" name="Frame2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226,334 shares of Series C Preferred Stock on March 24,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226,334 shares of Series C Preferred Stock on March 24,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798" name="Frame2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799" name="Frame2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A&amp;R Scott Bridge Note in exchange for (i) Dr. Scott’s receipt in cash of $195 and (ii) the issuance to Dr. Scott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A&amp;R Scott Bridge Note in exchange for (i) Dr. Scott’s receipt in cash of $195 and (ii) the issuance to Dr. Scott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0" name="Frame2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01" name="Frame2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to Dr. Scott under the A&amp;R Scott Bridge Note and any loan documentation executed in connection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to Dr. Scott under the A&amp;R Scott Bridge Note and any loan documentation executed in connection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2" name="Frame2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03" name="Frame2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20, 2025, Dr. Scott agreed to deem as repaid in full and otherwise terminated all loans and other obligations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20, 2025, Dr. Scott agreed to deem as repaid in full and otherwise terminated all loans and other obligations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4" name="Frame2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05" name="Frame2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Company also agreed to pay Dr. John Scott, the Company’s Chief Strategy Officer, $1,000 under the Scott Bridge Note.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Company also agreed to pay Dr. John Scott, the Company’s Chief Strategy Officer, $1,000 under the Scott Bridge Note.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6" name="Frame2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07" name="Frame2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A&amp;R Scott Bridge Note, such failure will not constitute an event of default unless certain other conditions are met.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A&amp;R Scott Bridge Note, such failure will not constitute an event of default unless certain other conditions are met.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08" name="Frame2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09" name="Frame2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A&amp;R Scott Bridge Note accrued at a rate of 13.5% per annum. In the event of a failure to pay any amount due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A&amp;R Scott Bridge Note accrued at a rate of 13.5% per annum. In the event of a failure to pay any amount due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0" name="Frame2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11" name="Frame2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A&amp;R Scott Bridge Note accrued at a rate of 11.5% per annum, and from and after October 1, 2024, interest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A&amp;R Scott Bridge Note accrued at a rate of 11.5% per annum, and from and after October 1, 2024, interest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2" name="Frame2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13" name="Frame2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borrowings are due at maturity on January 31, 2025. From August 22, 2024 to but excluding October 1, 2024, interest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borrowings are due at maturity on January 31, 2025. From August 22, 2024 to but excluding October 1, 2024, interest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4" name="Frame2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15" name="Frame2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amended, the “A&amp;R Scott Bridge Note”). The A&amp;R Scott Bridge Note was reissued in the principal amount of $1,000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amended, the “A&amp;R Scott Bridge Note”). The A&amp;R Scott Bridge Note was reissued in the principal amount of $1,000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16" name="Frame2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Bridge Note, advances under the note shall be made in multiple installments as follows: (i) $3,000 on August 20,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Bridge Note, advances under the note shall be made in multiple installments as follows: (i) $3,000 on August 20,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17" name="Frame2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Innventure, is the Managing Member of Bellringer Consulting Group, LLC, the General Partner of the Glockner Lender,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Innventure, is the Managing Member of Bellringer Consulting Group, LLC, the General Partner of the Glockner Lender,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18" name="Frame2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19" name="Frame2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Innventure’s Class B-1 Preferred Units. James Donnally was a director of Innventure LLC and is now a director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Innventure’s Class B-1 Preferred Units. James Donnally was a director of Innventure LLC and is now a director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0" name="Frame2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21" name="Frame2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be re-borrowed. Glockner Enterprises is affiliated with persons or entities that collectively own greater than 10%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be re-borrowed. Glockner Enterprises is affiliated with persons or entities that collectively own greater than 10%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2" name="Frame2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23" name="Frame2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(iii) $4,000 on September 3, 2024 (and was received on September 3, 2024). Amounts that are borrowed and repaid may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(iii) $4,000 on September 3, 2024 (and was received on September 3, 2024). Amounts that are borrowed and repaid may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4" name="Frame2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25" name="Frame2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(and was received on August 20, 2024), (ii) $3,000 on August 27, 2024 (and was received on August 27, 2024)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(and was received on August 20, 2024), (ii) $3,000 on August 27, 2024 (and was received on August 27, 2024)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7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6" name="Frame2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7" name="Frame2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28" name="Frame2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29" name="Frame2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Bridge Note carries a loan fee of $1,000 and does not bear interest except during an event of default. Pursuant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Bridge Note carries a loan fee of $1,000 and does not bear interest except during an event of default. Pursuant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0" name="Frame2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31" name="Frame2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and loan fee were due upon the later of October 15, 2024 or the first business day following Closing. The Glockner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and loan fee were due upon the later of October 15, 2024 or the first business day following Closing. The Glockner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2" name="Frame2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833" name="Frame2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affiliated with Glockner Enterprises, as bridge financing until the Closing of the Transactions. The outstanding principal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affiliated with Glockner Enterprises, as bridge financing until the Closing of the Transactions. The outstanding principal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4" name="Frame2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35" name="Frame2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borrowed $10,000 from Glockner Family Venture Fund, LP (the “Glockner Lender”), a Florida limited partnership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borrowed $10,000 from Glockner Family Venture Fund, LP (the “Glockner Lender”), a Florida limited partnership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6" name="Frame2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7" name="Frame2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38" name="Frame2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the Company has sufficient capital to be able to repay all amounts outstanding under such note and otherwise meet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the Company has sufficient capital to be able to repay all amounts outstanding under such note and otherwise meet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39" name="Frame2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40" name="Frame2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$10,000 and such borrowings are due upon the earlier of January 31, 2025 and the first business day following the date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$10,000 and such borrowings are due upon the earlier of January 31, 2025 and the first business day following the date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1" name="Frame2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42" name="Frame2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amended, the “A&amp;R Glockner Bridge Note”). The A&amp;R Glockner Bridge Note was issued in the principal amount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amended, the “A&amp;R Glockner Bridge Note”). The A&amp;R Glockner Bridge Note was issued in the principal amount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3" name="Frame2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844" name="Frame2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1, 2024, the Company and the Glockner Lender amended and restated the Glockner Bridge Note (as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1, 2024, the Company and the Glockner Lender amended and restated the Glockner Bridge Note (as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37485" cy="293370"/>
                <wp:effectExtent l="0" t="0" r="0" b="0"/>
                <wp:wrapNone/>
                <wp:docPr id="1845" name="Frame2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74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Note has terms identical to the Glockner Bridge Note.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Note has terms identical to the Glockner Bridge Note.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46" name="Frame2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47" name="Frame2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 annum, amounts will be advanced under the Scott Bridge Note upon written request and, otherwise, the Scott Bridge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 annum, amounts will be advanced under the Scott Bridge Note upon written request and, otherwise, the Scott Bridge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48" name="Frame2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20, 2024, pursuant to an unsecured promissory note (the “Glockner Bridge Note”), Innventure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20, 2024, pursuant to an unsecured promissory note (the “Glockner Bridge Note”), Innventure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49" name="Frame2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rate of eleven and half percent (11.5%) per annum plus, in the case of an event of default, an additional two percent (2%)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rate of eleven and half percent (11.5%) per annum plus, in the case of an event of default, an additional two percent (2%)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0" name="Frame2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51" name="Frame2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borrowed $2,000 from Dr. John Scott, Innventure’s Chief Strategy Officer. Interest will accrue on the Scott Bridge Note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borrowed $2,000 from Dr. John Scott, Innventure’s Chief Strategy Officer. Interest will accrue on the Scott Bridge Note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2" name="Frame2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53" name="Frame2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August 22, 2024, pursuant to an unsecured promissory note (the “Scott Bridge Note”), Innventure LLC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August 22, 2024, pursuant to an unsecured promissory note (the “Scott Bridge Note”), Innventure LLC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77235" cy="293370"/>
                <wp:effectExtent l="0" t="0" r="0" b="0"/>
                <wp:wrapNone/>
                <wp:docPr id="1854" name="Frame2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72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making with respect to equity or debt investments in Innventure.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8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making with respect to equity or debt investments in Innventure.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55" name="Frame2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Glockner Enterprises from 1996 to 2023. Mr. Donnally currently has no authority over the Glockner Lender’s decision-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Glockner Enterprises from 1996 to 2023. Mr. Donnally currently has no authority over the Glockner Lender’s decision-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6" name="Frame2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57" name="Frame2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equity holder of the Glockner Lender, and previously served as the Vice President and Chief Financial Officer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equity holder of the Glockner Lender, and previously served as the Vice President and Chief Financial Officer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Review, Approval or Ratification of Transactions with Related Parties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Limitation of Liability and Indemnification of Directors and Executive Officers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254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58" name="Frame2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has the primary responsibility for reviewing and approving or disapproving “related party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has the primary responsibility for reviewing and approving or disapproving “related party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59" name="Frame2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60" name="Frame2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transactions,” which are transactions between the Company and related parties in which the aggregate amount involved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transactions,” which are transactions between the Company and related parties in which the aggregate amount involved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1" name="Frame2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862" name="Frame2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exceeds or may be expected to exceed $120 and in which a related party has or will have a direct or indirect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exceeds or may be expected to exceed $120 and in which a related party has or will have a direct or indirect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3" name="Frame2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1864" name="Frame2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interest. The written charter of the Audit Committee provides that the Audit Committee will review and approve in advance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interest. The written charter of the Audit Committee provides that the Audit Committee will review and approve in advance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5" name="Frame2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72565" cy="293370"/>
                <wp:effectExtent l="0" t="0" r="0" b="0"/>
                <wp:wrapNone/>
                <wp:docPr id="1866" name="Frame2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5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related party transaction.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5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related party transaction.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Related Party Transaction Policy</w:t>
      </w:r>
      <w:r>
        <mc:AlternateContent>
          <mc:Choice Requires="wps">
            <w:drawing>
              <wp:anchor behindDoc="0" distT="0" distB="0" distL="0" distR="0" simplePos="0" locked="0" layoutInCell="1" allowOverlap="1" relativeHeight="255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867" name="Frame2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has entered into indemnification agreements with each of Innventure’s directors and executive officers,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has entered into indemnification agreements with each of Innventure’s directors and executive officers,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68" name="Frame2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869" name="Frame2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form of which is attached as an exhibit to our 2024 Annual Report, filed with the SEC on April 14, 2025.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form of which is attached as an exhibit to our 2024 Annual Report, filed with the SEC on April 14, 2025.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0" name="Frame2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71" name="Frame2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indemnification agreements require Innventure to indemnify its directors and executive officers to the fullest extent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indemnification agreements require Innventure to indemnify its directors and executive officers to the fullest extent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2" name="Frame2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09065" cy="293370"/>
                <wp:effectExtent l="0" t="0" r="0" b="0"/>
                <wp:wrapNone/>
                <wp:docPr id="1873" name="Frame2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0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permitted by Delaware law.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0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permitted by Delaware law.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24</w:t>
      </w:r>
      <w:r>
        <mc:AlternateContent>
          <mc:Choice Requires="wps">
            <w:drawing>
              <wp:anchor behindDoc="0" distT="0" distB="0" distL="0" distR="0" simplePos="0" locked="0" layoutInCell="1" allowOverlap="1" relativeHeight="257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4" name="Frame2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0">
                <wp:simplePos x="0" y="0"/>
                <wp:positionH relativeFrom="page">
                  <wp:posOffset>4735195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5" name="Frame2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7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992245" cy="293370"/>
                <wp:effectExtent l="0" t="0" r="0" b="0"/>
                <wp:wrapNone/>
                <wp:docPr id="1876" name="Frame2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2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director, as applicable, under the rules and regulations of the SEC and Nasdaq.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4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director, as applicable, under the rules and regulations of the SEC and Nasdaq.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7" name="Frame2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78" name="Frame2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transaction would compromise the director or director nominee’s status as an “independent” or “non-employee”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transaction would compromise the director or director nominee’s status as an “independent” or “non-employee”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79" name="Frame2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880" name="Frame2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approval of a related party transaction involving a non-employee director or director nominee, should consider whether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approval of a related party transaction involving a non-employee director or director nominee, should consider whether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1" name="Frame2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882" name="Frame2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addition, the related party transaction policy provides that the Audit Committee, in connection with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addition, the related party transaction policy provides that the Audit Committee, in connection with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470910" cy="293370"/>
                <wp:effectExtent l="0" t="0" r="0" b="0"/>
                <wp:wrapNone/>
                <wp:docPr id="1883" name="Frame2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09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to follow in its ongoing dealings with the related party.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3.3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to follow in its ongoing dealings with the related party.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4" name="Frame2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8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1885" name="Frame2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a related party transaction will be ongoing, the Audit Committee may establish guidelines for Innventure’s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a related party transaction will be ongoing, the Audit Committee may establish guidelines for Innventure’s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886" name="Frame2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052695" cy="293370"/>
                <wp:effectExtent l="0" t="0" r="0" b="0"/>
                <wp:wrapNone/>
                <wp:docPr id="1887" name="Frame2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26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potential disclosure obligations of Innventure in connection with such related party transaction;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7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potential disclosure obligations of Innventure in connection with such related party transaction;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88" name="Frame2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889" name="Frame2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all material information regarding such related party transaction, the interest of the related party and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all material information regarding such related party transaction, the interest of the related party and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890" name="Frame2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has adopted a formal written policy for the review and approval of transactions with related parties.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has adopted a formal written policy for the review and approval of transactions with related parties.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1891" name="Frame2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its review of any related party transaction, Innventure shall provide the Audit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its review of any related party transaction, Innventure shall provide the Audit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892" name="Frame2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892550" cy="293370"/>
                <wp:effectExtent l="0" t="0" r="0" b="0"/>
                <wp:wrapNone/>
                <wp:docPr id="1893" name="Frame2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25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circumstances and the extent of the related party’s interest in the transaction;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6.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circumstances and the extent of the related party’s interest in the transaction;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4" name="Frame2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7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895" name="Frame2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than terms generally available in a transaction with an unaffiliated third-party under the same or similar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than terms generally available in a transaction with an unaffiliated third-party under the same or similar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6" name="Frame2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1897" name="Frame2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it deems appropriate, whether the related party transaction is on terms no less favorable to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it deems appropriate, whether the related party transaction is on terms no less favorable to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898" name="Frame2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1899" name="Frame2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reviewing any related party transaction, the Audit Committee will take into account, among other factors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reviewing any related party transaction, the Audit Committee will take into account, among other factors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900" name="Frame2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262120" cy="293370"/>
                <wp:effectExtent l="0" t="0" r="0" b="0"/>
                <wp:wrapNone/>
                <wp:docPr id="1901" name="Frame2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21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shall review the material facts of all related party transactions;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5.6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shall review the material facts of all related party transactions;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1902" name="Frame2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75535" cy="293370"/>
                <wp:effectExtent l="0" t="0" r="0" b="0"/>
                <wp:wrapNone/>
                <wp:docPr id="1903" name="Frame2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55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policy requires, among other things, that: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policy requires, among other things, that: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6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4" name="Frame2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PROPOSAL TWO—RATIFY BDO USA, P.C. AS OUR INDEPENDENT REGISTERED PUBLIC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ACCOUNTING FIRM FOR THE FISCAL YEAR ENDING DECEMBER 21, 2025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259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905" name="Frame2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Audit Committee has appointed BDO USA, P.C. (“BDO”) as our independent registered public accounting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Audit Committee has appointed BDO USA, P.C. (“BDO”) as our independent registered public accounting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6" name="Frame2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07" name="Frame2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firm for the fiscal year ending December 31, 2025, and we are submitting that appointment to our stockholders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firm for the fiscal year ending December 31, 2025, and we are submitting that appointment to our stockholders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08" name="Frame2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09" name="Frame2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ratification on an advisory basis at the meeting.  Although shareholder ratification of BDO’s appointment is not legally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ratification on an advisory basis at the meeting.  Although shareholder ratification of BDO’s appointment is not legally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0" name="Frame2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11" name="Frame2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required, we are submitting this matter to our stockholders, as a matter of good corporate practice.  In determining whether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required, we are submitting this matter to our stockholders, as a matter of good corporate practice.  In determining whether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2" name="Frame2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13" name="Frame2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appoint BDO as our independent registered public accounting firm, the Audit Committee considered a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appoint BDO as our independent registered public accounting firm, the Audit Committee considered a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4" name="Frame2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15" name="Frame2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factors, including, among others, the firm’s qualifications, industry expertise, prior performance, control procedures,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factors, including, among others, the firm’s qualifications, industry expertise, prior performance, control procedures,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6" name="Frame2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917" name="Frame2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proposed staffing and the reasonableness of its fees on an absolute basis and as compared with fees paid by comparable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proposed staffing and the reasonableness of its fees on an absolute basis and as compared with fees paid by comparable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18" name="Frame2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4040" cy="293370"/>
                <wp:effectExtent l="0" t="0" r="0" b="0"/>
                <wp:wrapNone/>
                <wp:docPr id="1919" name="Frame2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0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companies.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companies.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Vote Required</w:t>
      </w:r>
      <w:r>
        <mc:AlternateContent>
          <mc:Choice Requires="wps">
            <w:drawing>
              <wp:anchor behindDoc="0" distT="0" distB="0" distL="0" distR="0" simplePos="0" locked="0" layoutInCell="1" allowOverlap="1" relativeHeight="260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809240" cy="146685"/>
                <wp:effectExtent l="0" t="0" r="0" b="0"/>
                <wp:wrapNone/>
                <wp:docPr id="1920" name="Frame2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2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1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7">
                <wp:simplePos x="0" y="0"/>
                <wp:positionH relativeFrom="page">
                  <wp:posOffset>4009390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1921" name="Frame22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15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8">
                <wp:simplePos x="0" y="0"/>
                <wp:positionH relativeFrom="page">
                  <wp:posOffset>4277360</wp:posOffset>
                </wp:positionH>
                <wp:positionV relativeFrom="line">
                  <wp:posOffset>635</wp:posOffset>
                </wp:positionV>
                <wp:extent cx="2751455" cy="175260"/>
                <wp:effectExtent l="0" t="0" r="0" b="0"/>
                <wp:wrapNone/>
                <wp:docPr id="1922" name="Frame2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145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ratification of the appointment of BDO as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6.65pt;height:13.8pt;mso-wrap-distance-left:0pt;mso-wrap-distance-right:0pt;mso-wrap-distance-top:0pt;mso-wrap-distance-bottom:0pt;margin-top:0pt;mso-position-vertical:top;mso-position-vertical-relative:text;margin-left:336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ratification of the appointment of BDO as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0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3" name="Frame22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00270" cy="293370"/>
                <wp:effectExtent l="0" t="0" r="0" b="0"/>
                <wp:wrapNone/>
                <wp:docPr id="1924" name="Frame22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02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registered public accounting firm for the fiscal year ending December 31,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0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registered public accounting firm for the fiscal year ending December 31,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1925" name="Frame22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stockholders fail to vote on an advisory basis in favor of the appointment, the Audit Committee will reconsider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stockholders fail to vote on an advisory basis in favor of the appointment, the Audit Committee will reconsider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6" name="Frame2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27" name="Frame22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whether to retain BDO and may appoint that firm or another without re-submitting the matter to the stockholders.  Even if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whether to retain BDO and may appoint that firm or another without re-submitting the matter to the stockholders.  Even if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28" name="Frame2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29" name="Frame22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ratify the appointment, the Audit Committee may, in its discretion, select a different independent registered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ratify the appointment, the Audit Committee may, in its discretion, select a different independent registered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0" name="Frame2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31" name="Frame22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public accounting firm at any time during the year if it determines that such a change would be in the Company’s best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public accounting firm at any time during the year if it determines that such a change would be in the Company’s best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2" name="Frame2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4660" cy="293370"/>
                <wp:effectExtent l="0" t="0" r="0" b="0"/>
                <wp:wrapNone/>
                <wp:docPr id="1933" name="Frame22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Audit Matters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262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1934" name="Frame2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ratification of the appointment of BDO as our independent registered public accounting firm for the fiscal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ratification of the appointment of BDO as our independent registered public accounting firm for the fiscal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5" name="Frame22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36" name="Frame2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year ending December 31, 2025 requires the affirmative vote of the majority of the votes cast (meaning the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year ending December 31, 2025 requires the affirmative vote of the majority of the votes cast (meaning the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7" name="Frame22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38" name="Frame2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voted “for” the proposal must exceed the number of shares voted “against” the proposal). Abstentions and broker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voted “for” the proposal must exceed the number of shares voted “against” the proposal). Abstentions and broker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39" name="Frame22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40" name="Frame22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non-votes, if any, are not considered votes cast for the foregoing purpose, and will have no effect on the vote for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non-votes, if any, are not considered votes cast for the foregoing purpose, and will have no effect on the vote for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1" name="Frame22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68630" cy="293370"/>
                <wp:effectExtent l="0" t="0" r="0" b="0"/>
                <wp:wrapNone/>
                <wp:docPr id="1942" name="Frame22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29">
                <wp:simplePos x="0" y="0"/>
                <wp:positionH relativeFrom="page">
                  <wp:posOffset>1211580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3" name="Frame22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95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25</w:t>
      </w:r>
      <w:r>
        <mc:AlternateContent>
          <mc:Choice Requires="wps">
            <w:drawing>
              <wp:anchor behindDoc="0" distT="0" distB="0" distL="0" distR="0" simplePos="0" locked="0" layoutInCell="1" allowOverlap="1" relativeHeight="264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44" name="Frame2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18540" cy="293370"/>
                <wp:effectExtent l="0" t="0" r="0" b="0"/>
                <wp:wrapNone/>
                <wp:docPr id="1945" name="Frame2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85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they desire to do so.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they desire to do so.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6" name="Frame22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47" name="Frame2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representatives will be available to respond to appropriate questions and will have an opportunity to make a statement if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representatives will be available to respond to appropriate questions and will have an opportunity to make a statement if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48" name="Frame22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1949" name="Frame2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BDO has advised us that one or more of its partners will be present at the meeting. We understand that these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BDO has advised us that one or more of its partners will be present at the meeting. We understand that these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428625" cy="131445"/>
                <wp:effectExtent l="0" t="0" r="0" b="0"/>
                <wp:wrapNone/>
                <wp:docPr id="1950" name="Frame22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31, 2023.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.7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31, 2023.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51" name="Frame2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1952" name="Frame22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Includes fees for all services other than those covered above under “Audit Fees.” No such fees existed for the year ended December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Includes fees for all services other than those covered above under “Audit Fees.” No such fees existed for the year ended December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087755" cy="262890"/>
                <wp:effectExtent l="0" t="0" r="0" b="0"/>
                <wp:wrapNone/>
                <wp:docPr id="1953" name="Frame22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7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can reasonably provide.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5.6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can reasonably provide.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54" name="Frame2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1955" name="Frame22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and consents for securities offerings and for other services that only the Company’s independent registered public accounting firm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and consents for securities offerings and for other services that only the Company’s independent registered public accounting firm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1956" name="Frame2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1957" name="Frame22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of the consolidated financial statements included in the Company’s Quarterly Report on Form 10-Q, issuances of comfort letters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of the consolidated financial statements included in the Company’s Quarterly Report on Form 10-Q, issuances of comfort letters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958" name="Frame22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sets forth the amount of audit fees, audit-related fees, tax fees, and all other fees billed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sets forth the amount of audit fees, audit-related fees, tax fees, and all other fees billed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1959" name="Frame22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Includes fees for professional services rendered for the audit of the Company’s annual consolidated financial statements and review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Includes fees for professional services rendered for the audit of the Company’s annual consolidated financial statements and review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1960" name="Frame22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32755" cy="293370"/>
                <wp:effectExtent l="0" t="0" r="0" b="0"/>
                <wp:wrapNone/>
                <wp:docPr id="1961" name="Frame22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27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registered public accounting firm to the Company in 2024 after the completion of the Business Combination.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registered public accounting firm to the Company in 2024 after the completion of the Business Combination.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2" name="Frame22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63" name="Frame22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pre-approved all services and fees charged by BDO USA, P.C. as the Company’s independent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pre-approved all services and fees charged by BDO USA, P.C. as the Company’s independent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4" name="Frame22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65" name="Frame22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Audit Committee considers the provision of such non-audit services when evaluating the accounting firm’s independence.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Audit Committee considers the provision of such non-audit services when evaluating the accounting firm’s independence.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6" name="Frame22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67" name="Frame22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Company by the independent registered public accounting firm are pre-approved by the Audit Committee, and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Company by the independent registered public accounting firm are pre-approved by the Audit Committee, and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68" name="Frame22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969" name="Frame22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services by BDO USA, P.C. for the years ended December 31, 2024 and 2023. All audit and non-audit services provided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services by BDO USA, P.C. for the years ended December 31, 2024 and 2023. All audit and non-audit services provided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3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0" name="Frame22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Change in Auditor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Report of the Audit Committee of the Board</w:t>
      </w:r>
      <w:r>
        <mc:AlternateContent>
          <mc:Choice Requires="wps">
            <w:drawing>
              <wp:anchor behindDoc="0" distT="0" distB="0" distL="0" distR="0" simplePos="0" locked="0" layoutInCell="1" allowOverlap="1" relativeHeight="26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1" name="Frame2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82390" cy="293370"/>
                <wp:effectExtent l="0" t="0" r="0" b="0"/>
                <wp:wrapNone/>
                <wp:docPr id="1972" name="Frame2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23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event that it was unable to complete a business combination by that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5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event that it was unable to complete a business combination by that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973" name="Frame23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years ended December 31, 2023 and 2022, and the subsequent interim period through October 2,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years ended December 31, 2023 and 2022, and the subsequent interim period through October 2,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4" name="Frame2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75" name="Frame2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 were no (i) disagreements with Marcum on any matter of accounting principles or practices, financial statement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 were no (i) disagreements with Marcum on any matter of accounting principles or practices, financial statement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6" name="Frame2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1977" name="Frame2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disclosure, or auditing scope or procedure, which disagreements if not resolved to their satisfaction, would have caused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disclosure, or auditing scope or procedure, which disagreements if not resolved to their satisfaction, would have caused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78" name="Frame2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79" name="Frame23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them to make reference to the subject matter of the disagreement in connection with their report, or (ii) reportable events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them to make reference to the subject matter of the disagreement in connection with their report, or (ii) reportable events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0" name="Frame2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55900" cy="293370"/>
                <wp:effectExtent l="0" t="0" r="0" b="0"/>
                <wp:wrapNone/>
                <wp:docPr id="1981" name="Frame2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5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(as described in Item 304(a)(1)(v) of Regulation S-K).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(as described in Item 304(a)(1)(v) of Regulation S-K).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1982" name="Frame2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years ended December 31, 2023 and 2022, and the subsequent interim period through October 2, 2024,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years ended December 31, 2023 and 2022, and the subsequent interim period through October 2, 2024,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3" name="Frame2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84" name="Frame2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neither Learn CW nor anyone on its behalf consulted BDO regarding either (i) the application of accounting principles to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neither Learn CW nor anyone on its behalf consulted BDO regarding either (i) the application of accounting principles to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5" name="Frame23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986" name="Frame2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specified transaction, either completed or proposed, or the type of audit opinion that might be rendered on Learn CW’s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specified transaction, either completed or proposed, or the type of audit opinion that might be rendered on Learn CW’s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7" name="Frame2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88" name="Frame2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financial statements, and neither a written report nor oral advice was provided to Learn CW that BDO concluded was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financial statements, and neither a written report nor oral advice was provided to Learn CW that BDO concluded was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89" name="Frame2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1990" name="Frame2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important factor considered by Learn CW in reaching a decision as to any accounting, auditing or financial reporting issue,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important factor considered by Learn CW in reaching a decision as to any accounting, auditing or financial reporting issue,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1" name="Frame23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1992" name="Frame2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(ii) any matter that was either the subject of a “disagreement” or a “reportable event,” each as defined in Regulation S-K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(ii) any matter that was either the subject of a “disagreement” or a “reportable event,” each as defined in Regulation S-K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3" name="Frame2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508885" cy="293370"/>
                <wp:effectExtent l="0" t="0" r="0" b="0"/>
                <wp:wrapNone/>
                <wp:docPr id="1994" name="Frame2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Item 304(a)(1)(iv) and 304(a)(1)(v), respectively.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7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Item 304(a)(1)(iv) and 304(a)(1)(v), respectively.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5" name="Frame2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6" name="Frame2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1997" name="Frame22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approved and the Board ratified, the appointment of BDO as the Company’s independent registered public accounting firm,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approved and the Board ratified, the appointment of BDO as the Company’s independent registered public accounting firm,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998" name="Frame2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1999" name="Frame22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to satisfactory completion of their client acceptance procedures.  BDO served as Innventure’s independent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to satisfactory completion of their client acceptance procedures.  BDO served as Innventure’s independent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0" name="Frame2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01" name="Frame2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registered public accounting firm prior to the Business Combination.  Accordingly, following the filing of the Company’s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registered public accounting firm prior to the Business Combination.  Accordingly, following the filing of the Company’s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2" name="Frame2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03" name="Frame2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Quarterly Report on Form 10-Q for the quarter ended September 30, 2023, we dismissed Marcum, LLP (“Marcum”)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Quarterly Report on Form 10-Q for the quarter ended September 30, 2023, we dismissed Marcum, LLP (“Marcum”)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4" name="Frame2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42335" cy="293370"/>
                <wp:effectExtent l="0" t="0" r="0" b="0"/>
                <wp:wrapNone/>
                <wp:docPr id="2005" name="Frame2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3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Learn CW’s and our independent registered public accounting firm.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Learn CW’s and our independent registered public accounting firm.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6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006" name="Frame2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reports of Marcum on Learn CW’s balance sheets as of December 31, 2023 and 2022 and the related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reports of Marcum on Learn CW’s balance sheets as of December 31, 2023 and 2022 and the related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007" name="Frame22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2, 2024, in connection with the consummation of the Business Combination, the Audit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2, 2024, in connection with the consummation of the Business Combination, the Audit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08" name="Frame2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statements of operations, changes in stockholders’ equity and cash flows for the years ended December 31, 2023 and 2022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statements of operations, changes in stockholders’ equity and cash flows for the years ended December 31, 2023 and 2022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09" name="Frame2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10" name="Frame2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the related notes (collectively referred to as the “Learn CW financial statements”) did not contain any adverse opinion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the related notes (collectively referred to as the “Learn CW financial statements”) did not contain any adverse opinion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1" name="Frame2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011545" cy="293370"/>
                <wp:effectExtent l="0" t="0" r="0" b="0"/>
                <wp:wrapNone/>
                <wp:docPr id="2012" name="Frame2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15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or a disclaimer of opinion, nor were they qualified or modified as to uncertainty, audit scope, or accounting principles.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3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or a disclaimer of opinion, nor were they qualified or modified as to uncertainty, audit scope, or accounting principles.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013" name="Frame2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reports of Marcum on the Learn CW financial statements contained an explanatory paragraph which noted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reports of Marcum on the Learn CW financial statements contained an explanatory paragraph which noted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4" name="Frame2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293370"/>
                <wp:effectExtent l="0" t="0" r="0" b="0"/>
                <wp:wrapNone/>
                <wp:docPr id="2015" name="Frame2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 there was substantial doubt as to Learn CW’s ability to continue as a going concern as Learn CW had no approved plan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 there was substantial doubt as to Learn CW’s ability to continue as a going concern as Learn CW had no approved plan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16" name="Frame22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17" name="Frame2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place to extend the business combination deadline and fund operations for any period of time after October 13, 2024,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place to extend the business combination deadline and fund operations for any period of time after October 13, 2024,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26</w:t>
      </w:r>
      <w:r>
        <mc:AlternateContent>
          <mc:Choice Requires="wps">
            <w:drawing>
              <wp:anchor behindDoc="0" distT="0" distB="0" distL="0" distR="0" simplePos="0" locked="0" layoutInCell="1" allowOverlap="1" relativeHeight="27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18" name="Frame2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registered public accounting firm the accounting firm’s independence. Based on the foregoing, the Audit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registered public accounting firm the accounting firm’s independence. Based on the foregoing, the Audit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32095" cy="293370"/>
                <wp:effectExtent l="0" t="0" r="0" b="0"/>
                <wp:wrapNone/>
                <wp:docPr id="2019" name="Frame2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20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before or after the date hereof and irrespective of any general incorporation language in any such filing.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before or after the date hereof and irrespective of any general incorporation language in any such filing.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20" name="Frame2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21" name="Frame2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reference in any filing of Innventure under the Securities Act of 1933, as amended, or the Exchange Act, whether made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reference in any filing of Innventure under the Securities Act of 1933, as amended, or the Exchange Act, whether made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22" name="Frame2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023" name="Frame2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material in this report is not “soliciting material,” is not deemed “filed” with the SEC and is not to be incorporated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material in this report is not “soliciting material,” is not deemed “filed” with the SEC and is not to be incorporated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3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975360" cy="293370"/>
                <wp:effectExtent l="0" t="0" r="0" b="0"/>
                <wp:wrapNone/>
                <wp:docPr id="2024" name="Frame2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Elizabeth Williams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8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Elizabeth Williams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2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975995" cy="293370"/>
                <wp:effectExtent l="0" t="0" r="0" b="0"/>
                <wp:wrapNone/>
                <wp:docPr id="2025" name="Frame2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9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Daniel J. Hennessy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6.85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Daniel J. Hennessy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1">
                <wp:simplePos x="0" y="0"/>
                <wp:positionH relativeFrom="page">
                  <wp:posOffset>1657350</wp:posOffset>
                </wp:positionH>
                <wp:positionV relativeFrom="line">
                  <wp:posOffset>635</wp:posOffset>
                </wp:positionV>
                <wp:extent cx="1367155" cy="293370"/>
                <wp:effectExtent l="0" t="0" r="0" b="0"/>
                <wp:wrapNone/>
                <wp:docPr id="2026" name="Frame2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1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James O. Donnally (Chair)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65pt;height:23.1pt;mso-wrap-distance-left:0pt;mso-wrap-distance-right:0pt;mso-wrap-distance-top:0pt;mso-wrap-distance-bottom:0pt;margin-top:0pt;mso-position-vertical:top;mso-position-vertical-relative:text;margin-left:13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James O. Donnally (Chair)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7190" cy="293370"/>
                <wp:effectExtent l="0" t="0" r="0" b="0"/>
                <wp:wrapNone/>
                <wp:docPr id="2027" name="Frame2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Report.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Report.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28" name="Frame2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29" name="Frame2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has recommended to the Board that the audited financial statements be included in Innventure’s 2024 Annual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has recommended to the Board that the audited financial statements be included in Innventure’s 2024 Annual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0" name="Frame2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031" name="Frame2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Audit Committee has reviewed and discussed the audited financial statements for the year ended December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Audit Committee has reviewed and discussed the audited financial statements for the year ended December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2" name="Frame2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33" name="Frame2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accountant’s communications with the Audit Committee concerning independence, and has discussed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accountant’s communications with the Audit Committee concerning independence, and has discussed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4" name="Frame2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35" name="Frame2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independent registered public accounting firm required by applicable requirements of the PCAOB regarding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independent registered public accounting firm required by applicable requirements of the PCAOB regarding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6" name="Frame2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37" name="Frame2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(“PCAOB”) and the SEC. The Audit Committee has also received the written disclosures and the letter from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(“PCAOB”) and the SEC. The Audit Committee has also received the written disclosures and the letter from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38" name="Frame2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39" name="Frame2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matters required to be discussed by the applicable requirements of the Public Company Accounting Oversight Board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matters required to be discussed by the applicable requirements of the Public Company Accounting Oversight Board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0" name="Frame2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41" name="Frame23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31, 2024 with management. The Audit Committee has discussed with the independent registered public accounting firm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31, 2024 with management. The Audit Committee has discussed with the independent registered public accounting firm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0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2" name="Frame2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PROPOSAL THREE—SEPA SHARE ISSUANCE PROPOSAL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Background</w:t>
      </w:r>
      <w:r>
        <mc:AlternateContent>
          <mc:Choice Requires="wps">
            <w:drawing>
              <wp:anchor behindDoc="0" distT="0" distB="0" distL="0" distR="0" simplePos="0" locked="0" layoutInCell="1" allowOverlap="1" relativeHeight="272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2043" name="Frame2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seeking approval of the potential issuance of a number of shares of Common Stock to Yorkville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seeking approval of the potential issuance of a number of shares of Common Stock to Yorkville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4" name="Frame2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045" name="Frame2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SEPA Exchange Cap (as defined below). As of the Record Date, we had issued 208,993 shares of Common Stock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SEPA Exchange Cap (as defined below). As of the Record Date, we had issued 208,993 shares of Common Stock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6" name="Frame2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187825" cy="293370"/>
                <wp:effectExtent l="0" t="0" r="0" b="0"/>
                <wp:wrapNone/>
                <wp:docPr id="2047" name="Frame2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78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pursuant to the SEPA at prices ranging from $11.93 to $12.86 per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9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pursuant to the SEPA at prices ranging from $11.93 to $12.86 per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4">
                <wp:simplePos x="0" y="0"/>
                <wp:positionH relativeFrom="page">
                  <wp:posOffset>4930775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8" name="Frame2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88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27</w:t>
      </w:r>
      <w:r>
        <mc:AlternateContent>
          <mc:Choice Requires="wps">
            <w:drawing>
              <wp:anchor behindDoc="0" distT="0" distB="0" distL="0" distR="0" simplePos="0" locked="0" layoutInCell="1" allowOverlap="1" relativeHeight="27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49" name="Frame2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50" name="Frame2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Advance shall be used as an Advance Payment (as defined in the Convertible Debentures), provided that, if all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Advance shall be used as an Advance Payment (as defined in the Convertible Debentures), provided that, if all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1" name="Frame2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293370"/>
                <wp:effectExtent l="0" t="0" r="0" b="0"/>
                <wp:wrapNone/>
                <wp:docPr id="2052" name="Frame2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agreed by Yorkville, (1) we may only request an Option 2 Pricing Period in such Advance, and, (2) all of the proceeds from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agreed by Yorkville, (1) we may only request an Option 2 Pricing Period in such Advance, and, (2) all of the proceeds from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3" name="Frame2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54" name="Frame2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any amounts remain outstanding under the Convertible Debentures, if we request an Advance then, unless otherwise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any amounts remain outstanding under the Convertible Debentures, if we request an Advance then, unless otherwise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5" name="Frame2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293370"/>
                <wp:effectExtent l="0" t="0" r="0" b="0"/>
                <wp:wrapNone/>
                <wp:docPr id="2056" name="Frame2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entry into the Securities Purchase Agreement (as defined below), we agreed that for so long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entry into the Securities Purchase Agreement (as defined below), we agreed that for so long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5750" cy="146685"/>
                <wp:effectExtent l="0" t="0" r="0" b="0"/>
                <wp:wrapNone/>
                <wp:docPr id="2057" name="Frame2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.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58" name="Frame2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59" name="Frame2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filed a post-effective amendment to the registration statement on April 15, 2025, which was declared effective on April 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filed a post-effective amendment to the registration statement on April 15, 2025, which was declared effective on April 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0" name="Frame2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61" name="Frame2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registration statement on November 4, 2024, and received notice of effectiveness on November 12, 2024. Furthermore, 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registration statement on November 4, 2024, and received notice of effectiveness on November 12, 2024. Furthermore, 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2" name="Frame2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63" name="Frame2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Advance under the Securities Act, and that the Registration Statement is declared effective by the SEC. We filed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Advance under the Securities Act, and that the Registration Statement is declared effective by the SEC. We filed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4" name="Frame2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65" name="Frame2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conditions, including that a registration statement be filed with the SEC, registering the shares to be issued pursuant to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conditions, including that a registration statement be filed with the SEC, registering the shares to be issued pursuant to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6" name="Frame2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067" name="Frame2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Yorkville’s obligation to purchase shares of Common Stock pursuant to the SEPA is subject to a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Yorkville’s obligation to purchase shares of Common Stock pursuant to the SEPA is subject to a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56995" cy="293370"/>
                <wp:effectExtent l="0" t="0" r="0" b="0"/>
                <wp:wrapNone/>
                <wp:docPr id="2068" name="Frame2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9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equal to $375,000.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6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equal to $375,000.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69" name="Frame2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70" name="Frame2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terms and subject to the conditions set forth in the SEPA, we paid Yorkville certain fees, including a commitment fee in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terms and subject to the conditions set forth in the SEPA, we paid Yorkville certain fees, including a commitment fee in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1" name="Frame2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852170" cy="293370"/>
                <wp:effectExtent l="0" t="0" r="0" b="0"/>
                <wp:wrapNone/>
                <wp:docPr id="2072" name="Frame2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reference herein.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reference herein.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3" name="Frame2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074" name="Frame2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information concerning the SEPA is contained in our 2024 Annual Report and is incorporated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information concerning the SEPA is contained in our 2024 Annual Report and is incorporated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64810" cy="293370"/>
                <wp:effectExtent l="0" t="0" r="0" b="0"/>
                <wp:wrapNone/>
                <wp:docPr id="2075" name="Frame2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48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statement is at least 200% of the aggregate principal amount outstanding under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0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statement is at least 200% of the aggregate principal amount outstanding under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6" name="Frame2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77" name="Frame2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issuable under the SEPA that remain registered for resale by Yorkville pursuant to an effective registration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issuable under the SEPA that remain registered for resale by Yorkville pursuant to an effective registration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78" name="Frame2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79" name="Frame2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principal amount outstanding under the Convertible Debentures, and (D) the market value of the number of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principal amount outstanding under the Convertible Debentures, and (D) the market value of the number of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0" name="Frame2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081" name="Frame2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available for issuance under the Convertible Debenture Exchange Cap (as defined below) is at least 200% of the aggregate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available for issuance under the Convertible Debenture Exchange Cap (as defined below) is at least 200% of the aggregate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2" name="Frame2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83" name="Frame2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subject Advance shall have been repaid, (C) the market value of the number of shares of Common Stock that remain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subject Advance shall have been repaid, (C) the market value of the number of shares of Common Stock that remain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4" name="Frame2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85" name="Frame2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 that have come due and that are coming due within 31 calendar days following the closing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 that have come due and that are coming due within 31 calendar days following the closing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6" name="Frame2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087" name="Frame2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aggregate principal amount outstanding under the Convertible Debentures, (B) all monthly payments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aggregate principal amount outstanding under the Convertible Debentures, (B) all monthly payments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88" name="Frame2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2089" name="Frame2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paid to us: (A) the Commitment Amount remaining available (after taking into account the subject Advance) exceeds 110%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paid to us: (A) the Commitment Amount remaining available (after taking into account the subject Advance) exceeds 110%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0" name="Frame2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91" name="Frame2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conditions have been satisfied with respect to any Advance, then then the proceeds of such Advance shall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conditions have been satisfied with respect to any Advance, then then the proceeds of such Advance shall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2" name="Frame2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093" name="Frame2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Advance may be for the greater of (i) 100% of the aggregate daily trading volume of the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Advance may be for the greater of (i) 100% of the aggregate daily trading volume of the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765675" cy="293370"/>
                <wp:effectExtent l="0" t="0" r="0" b="0"/>
                <wp:wrapNone/>
                <wp:docPr id="2094" name="Frame2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56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on Nasdaq, for such period as reported by Bloomberg L.P. through its “AQR” function.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75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on Nasdaq, for such period as reported by Bloomberg L.P. through its “AQR” function.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5" name="Frame2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096" name="Frame2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Bloomberg L.P. during regular trading hours or, for a specified period, the volume weighted average price of the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Bloomberg L.P. during regular trading hours or, for a specified period, the volume weighted average price of the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7" name="Frame2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098" name="Frame2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trading day, the daily volume weighted average price of the Common Stock for such date on Nasdaq as reported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trading day, the daily volume weighted average price of the Common Stock for such date on Nasdaq as reported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099" name="Frame2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0" name="Frame2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SEPA (an “Advance”) below which we will not be obligated to make any sales to Yorkville. “VWAP” means, for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SEPA (an “Advance”) below which we will not be obligated to make any sales to Yorkville. “VWAP” means, for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1" name="Frame2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2" name="Frame2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Pricing Period”). We may also specify a certain minimum acceptable price per share in each sale that we request under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Pricing Period”). We may also specify a certain minimum acceptable price per share in each sale that we request under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3" name="Frame2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4" name="Frame2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(ii) 97% of the lowest daily VWAP during the applicable three consecutive trading day pricing period (the “Option 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(ii) 97% of the lowest daily VWAP during the applicable three consecutive trading day pricing period (the “Option 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5" name="Frame2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06" name="Frame2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95% of the daily VWAP (as defined below) during the applicable one-day pricing period (the “Option 1 Pricing Period”)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95% of the daily VWAP (as defined below) during the applicable one-day pricing period (the “Option 1 Pricing Period”)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7" name="Frame2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08" name="Frame2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purchased at a purchase price determined by multiplying the market price of the shares of Common Stock by either 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purchased at a purchase price determined by multiplying the market price of the shares of Common Stock by either 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4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09" name="Frame2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10" name="Frame2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request any time during the 36 months following the Closing of the Business Combination. At our option, the shares would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request any time during the 36 months following the Closing of the Business Combination. At our option, the shares would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1" name="Frame2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12" name="Frame2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obligation, to sell to Yorkville up to $75.0 million (the “Commitment Amount”) of shares of Common Stock at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obligation, to sell to Yorkville up to $75.0 million (the “Commitment Amount”) of shares of Common Stock at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3" name="Frame2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4" name="Frame2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115" name="Frame2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consideration for Yorkville’s commitment to purchase shares of Common Stock at our direction upon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consideration for Yorkville’s commitment to purchase shares of Common Stock at our direction upon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33750" cy="293370"/>
                <wp:effectExtent l="0" t="0" r="0" b="0"/>
                <wp:wrapNone/>
                <wp:docPr id="2116" name="Frame2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under the SEPA equals or exceeds certain minimum prices.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2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under the SEPA equals or exceeds certain minimum prices.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7" name="Frame2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18" name="Frame2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SEPA Exchange Cap in accordance with the rules of Nasdaq or the average price of all applicable sales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SEPA Exchange Cap in accordance with the rules of Nasdaq or the average price of all applicable sales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19" name="Frame2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20" name="Frame2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Cap will not apply under certain circumstances, including if our stockholders have approved issuances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Cap will not apply under certain circumstances, including if our stockholders have approved issuances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1" name="Frame2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22" name="Frame2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outstanding as of the date of the Closing of the Business Combination (the “SEPA Exchange Cap”). The SEPA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outstanding as of the date of the Closing of the Business Combination (the “SEPA Exchange Cap”). The SEPA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3" name="Frame2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24" name="Frame2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under the SEPA without obtaining stockholder approval, or 19.99% of the shares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under the SEPA without obtaining stockholder approval, or 19.99% of the shares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3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25" name="Frame2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24, 2023, we entered into the SEPA with Yorkville. Pursuant to the SEPA, we have the right, but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24, 2023, we entered into the SEPA with Yorkville. Pursuant to the SEPA, we have the right, but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26" name="Frame2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the applicable Nasdaq Listing Rules and pursuant to the SEPA, Yorkville may not purchase more than 9,899,582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the applicable Nasdaq Listing Rules and pursuant to the SEPA, Yorkville may not purchase more than 9,899,582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7" name="Frame2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28" name="Frame2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affiliates having beneficial ownership of more than 9.99% of the then outstanding shares of Common Stock. Moreover,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affiliates having beneficial ownership of more than 9.99% of the then outstanding shares of Common Stock. Moreover,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29" name="Frame2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30" name="Frame2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previous issuances and sales of shares of Common Stock to Yorkville under the SEPA, it would result in Yorkville and 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previous issuances and sales of shares of Common Stock to Yorkville under the SEPA, it would result in Yorkville and 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1" name="Frame2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32" name="Frame2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may not issue shares of Common Stock to Yorkville pursuant to the SEPA to the extent that, as a result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may not issue shares of Common Stock to Yorkville pursuant to the SEPA to the extent that, as a result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9">
                <wp:simplePos x="0" y="0"/>
                <wp:positionH relativeFrom="page">
                  <wp:posOffset>4760595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3" name="Frame2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74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017645" cy="293370"/>
                <wp:effectExtent l="0" t="0" r="0" b="0"/>
                <wp:wrapNone/>
                <wp:docPr id="2134" name="Frame2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7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five trading days preceding the Advance notice or (ii) $10.0 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five trading days preceding the Advance notice or (ii) $10.0 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Reasons for Seeking Stockholder Approval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Effect on Current Stockholders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286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5" name="Frame24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6" name="Frame2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27655" cy="293370"/>
                <wp:effectExtent l="0" t="0" r="0" b="0"/>
                <wp:wrapNone/>
                <wp:docPr id="2137" name="Frame2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 of Nasdaq Listing Rules 5635(d) and 5635(b).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2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 of Nasdaq Listing Rules 5635(d) and 5635(b).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138" name="Frame2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determined that the SEPA and our ability to issue the shares of Common Stock thereunder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determined that the SEPA and our ability to issue the shares of Common Stock thereunder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39" name="Frame2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40" name="Frame2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excess of the SEPA Exchange Cap are in the best interests of the Company and its stockholders because the ability to sell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excess of the SEPA Exchange Cap are in the best interests of the Company and its stockholders because the ability to sell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1" name="Frame2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42" name="Frame2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to Yorkville provides us with a reliable source of capital for general corporate purposes, which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to Yorkville provides us with a reliable source of capital for general corporate purposes, which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3" name="Frame2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44" name="Frame2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may include, but are not limited to, funding working capital, capital expenditures and operating expenses, including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may include, but are not limited to, funding working capital, capital expenditures and operating expenses, including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5" name="Frame2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46" name="Frame24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expenses for the Innventure Companies and, together with the subsidiary companies that we may found, fund, and operate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expenses for the Innventure Companies and, together with the subsidiary companies that we may found, fund, and operate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47" name="Frame24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26945" cy="293370"/>
                <wp:effectExtent l="0" t="0" r="0" b="0"/>
                <wp:wrapNone/>
                <wp:docPr id="2148" name="Frame24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going forward, the “Operating Companies”.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5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going forward, the “Operating Companies”.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49" name="Frame24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cannot predict the price of the Common Stock at any future date, and therefore cannot predict the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cannot predict the price of the Common Stock at any future date, and therefore cannot predict the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50" name="Frame2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Closing of the Business Combination. Stockholder approval of this Proposal 3 will constitute stockholder approval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Closing of the Business Combination. Stockholder approval of this Proposal 3 will constitute stockholder approval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51" name="Frame24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to be issued under the SEPA or whether the applicable price for any such shares will be greater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to be issued under the SEPA or whether the applicable price for any such shares will be greater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2" name="Frame24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53130" cy="293370"/>
                <wp:effectExtent l="0" t="0" r="0" b="0"/>
                <wp:wrapNone/>
                <wp:docPr id="2153" name="Frame24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31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than the Minimum Price under the applicable Nasdaq Listing Rules.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1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than the Minimum Price under the applicable Nasdaq Listing Rules.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54" name="Frame24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Therefore, we are seeking stockholder approval under this Proposal 3 to issue shares of Common Stock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Therefore, we are seeking stockholder approval under this Proposal 3 to issue shares of Common Stock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5" name="Frame24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56" name="Frame24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SEPA Exchange Cap, if necessary, to Yorkville under the terms of the SEPA. The failure of our stockholders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SEPA Exchange Cap, if necessary, to Yorkville under the terms of the SEPA. The failure of our stockholders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7" name="Frame24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58" name="Frame24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approve this Proposal 3 will prevent us from selling, at less than the Minimum Price, shares of Common Stock to Yorkville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approve this Proposal 3 will prevent us from selling, at less than the Minimum Price, shares of Common Stock to Yorkville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59" name="Frame24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60" name="Frame24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excess of the SEPA Exchange Cap. However, it would be possible to sell shares to Yorkville in excess of the SEPA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excess of the SEPA Exchange Cap. However, it would be possible to sell shares to Yorkville in excess of the SEPA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1" name="Frame24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62" name="Frame24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Cap if the sale of shares covered by any Advance is equal to or greater than the Minimum Price for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Cap if the sale of shares covered by any Advance is equal to or greater than the Minimum Price for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3" name="Frame24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10860" cy="293370"/>
                <wp:effectExtent l="0" t="0" r="0" b="0"/>
                <wp:wrapNone/>
                <wp:docPr id="2164" name="Frame25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0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Advance. As of the close of business on the Record Date, the price of the Common Stock was $4.42 per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Advance. As of the close of business on the Record Date, the price of the Common Stock was $4.42 per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5" name="Frame2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6" name="Frame2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67" name="Frame2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a transaction (or a series of related transactions) other than a public offering involving the sale, issuance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a transaction (or a series of related transactions) other than a public offering involving the sale, issuance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68" name="Frame2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69" name="Frame2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potential issuance of Common Stock (or securities convertible into or exercisable for Common Stock) equal to 20%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potential issuance of Common Stock (or securities convertible into or exercisable for Common Stock) equal to 20%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0" name="Frame2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71" name="Frame2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more of the shares of Common Stock or 20% or more of the voting power outstanding before the issuance at a price that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more of the shares of Common Stock or 20% or more of the voting power outstanding before the issuance at a price that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2" name="Frame2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73" name="Frame2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less than the lower of (i) the Nasdaq Official Closing Price (as reflected on Nasdaq.com) immediately preceding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less than the lower of (i) the Nasdaq Official Closing Price (as reflected on Nasdaq.com) immediately preceding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4" name="Frame2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75" name="Frame2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signing of the binding agreement; or (ii) the average Nasdaq Official Closing Price of the Common Stock (as reflected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signing of the binding agreement; or (ii) the average Nasdaq Official Closing Price of the Common Stock (as reflected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6" name="Frame2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177" name="Frame2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Nasdaq.com) for the five trading days immediately preceding the signing of the binding agreement (the “Minimum Price”).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Nasdaq.com) for the five trading days immediately preceding the signing of the binding agreement (the “Minimum Price”).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78" name="Frame2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79" name="Frame2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23, 2023, the date immediately preceding the date of the execution of the SEPA, our Common Stock was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23, 2023, the date immediately preceding the date of the execution of the SEPA, our Common Stock was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2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80" name="Frame2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5635(d), stockholder approval is required prior to the issuance of securities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5635(d), stockholder approval is required prior to the issuance of securities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48715" cy="293370"/>
                <wp:effectExtent l="0" t="0" r="0" b="0"/>
                <wp:wrapNone/>
                <wp:docPr id="2181" name="Frame2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87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yet trading on Nasdaq.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yet trading on Nasdaq.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182" name="Frame2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5635(b), stockholder approval is required prior to the issuance of securities when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5635(b), stockholder approval is required prior to the issuance of securities when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3" name="Frame2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184" name="Frame2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or potential issuance will result in a change of control of a company. This rule does not specifically define when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or potential issuance will result in a change of control of a company. This rule does not specifically define when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5" name="Frame2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86" name="Frame2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in control of a company may be deemed to occur for this purpose; however, Nasdaq suggests in its guidance that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in control of a company may be deemed to occur for this purpose; however, Nasdaq suggests in its guidance that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7" name="Frame2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88" name="Frame2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of control would occur, subject to certain limited exceptions, if after a transaction an investor (or a group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of control would occur, subject to certain limited exceptions, if after a transaction an investor (or a group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89" name="Frame2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96890" cy="293370"/>
                <wp:effectExtent l="0" t="0" r="0" b="0"/>
                <wp:wrapNone/>
                <wp:docPr id="2190" name="Frame2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6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investors) would own or have the right to acquire 20% or more of a company’s then-outstanding capital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investors) would own or have the right to acquire 20% or more of a company’s then-outstanding capital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91" name="Frame2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Until this Proposal 3 is approved by our stockholders, Yorkville may not purchase more than 9,899,582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Until this Proposal 3 is approved by our stockholders, Yorkville may not purchase more than 9,899,582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2" name="Frame2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193" name="Frame2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pursuant to the SEPA, representing 19.99% of the shares of Common Stock outstanding as of the date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pursuant to the SEPA, representing 19.99% of the shares of Common Stock outstanding as of the date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5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4" name="Frame2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28</w:t>
      </w:r>
      <w:r>
        <mc:AlternateContent>
          <mc:Choice Requires="wps">
            <w:drawing>
              <wp:anchor behindDoc="0" distT="0" distB="0" distL="0" distR="0" simplePos="0" locked="0" layoutInCell="1" allowOverlap="1" relativeHeight="288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195" name="Frame25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Upon stockholder approval of this Proposal 3, the issuance of shares of Common Stock under the SEPA will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Upon stockholder approval of this Proposal 3, the issuance of shares of Common Stock under the SEPA will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6" name="Frame25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197" name="Frame25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subject to the SEPA Exchange Cap and such issuance of shares would dilute, and thereby reduce, each existing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subject to the SEPA Exchange Cap and such issuance of shares would dilute, and thereby reduce, each existing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198" name="Frame25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199" name="Frame25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stockholder’s proportionate ownership in the Common Stock. Because the number of shares of Common Stock that may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stockholder’s proportionate ownership in the Common Stock. Because the number of shares of Common Stock that may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0" name="Frame25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01" name="Frame25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issued to Yorkville pursuant to the SEPA is determined based on the price of our Common Stock at the time of issuance,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issued to Yorkville pursuant to the SEPA is determined based on the price of our Common Stock at the time of issuance,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2" name="Frame25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03" name="Frame25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exact magnitude of the dilutive effect cannot be conclusively determined. However, the dilutive effect may be material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exact magnitude of the dilutive effect cannot be conclusively determined. However, the dilutive effect may be material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4" name="Frame25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395730" cy="293370"/>
                <wp:effectExtent l="0" t="0" r="0" b="0"/>
                <wp:wrapNone/>
                <wp:docPr id="2205" name="Frame25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57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our current stockholders.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9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our current stockholders.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2">
                <wp:simplePos x="0" y="0"/>
                <wp:positionH relativeFrom="page">
                  <wp:posOffset>2138680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6" name="Frame25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6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Consequences of Non-Approval</w:t>
      </w:r>
      <w:r>
        <mc:AlternateContent>
          <mc:Choice Requires="wps">
            <w:drawing>
              <wp:anchor behindDoc="0" distT="0" distB="0" distL="0" distR="0" simplePos="0" locked="0" layoutInCell="1" allowOverlap="1" relativeHeight="289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207" name="Frame2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illustrative purposes only, the table below shows the maximum number of shares of Common Stock that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illustrative purposes only, the table below shows the maximum number of shares of Common Stock that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08" name="Frame25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09" name="Frame2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would be issuable under the SEPA at various assumed effective sale prices per share. This example is based on the original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would be issuable under the SEPA at various assumed effective sale prices per share. This example is based on the original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0" name="Frame2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44420" cy="293370"/>
                <wp:effectExtent l="0" t="0" r="0" b="0"/>
                <wp:wrapNone/>
                <wp:docPr id="2211" name="Frame2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44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SEPA Commitment Amount of $75.0 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4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SEPA Commitment Amount of $75.0 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289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212" name="Frame2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this Proposal 3 is not approved by our stockholders at the Annual Meeting, it may impair our working capital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this Proposal 3 is not approved by our stockholders at the Annual Meeting, it may impair our working capital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9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3" name="Frame2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14" name="Frame2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our ability to fund capital expenditures and operating expenses, including the expenses for the Innventure Companies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our ability to fund capital expenditures and operating expenses, including the expenses for the Innventure Companies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5" name="Frame2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16" name="Frame2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the Operating Companies. Our Board has determined that the SEPA, with such modifications, amendments, or changes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the Operating Companies. Our Board has determined that the SEPA, with such modifications, amendments, or changes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7" name="Frame2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2218" name="Frame2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(consistent with the intent and purpose of this proposal) agreed upon by the parties to the SEPA, and in accordance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(consistent with the intent and purpose of this proposal) agreed upon by the parties to the SEPA, and in accordance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19" name="Frame2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20" name="Frame2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 approval requirements of Nasdaq Listing Rules 5635(d) and 5635(b) is in the best interests of us and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 approval requirements of Nasdaq Listing Rules 5635(d) and 5635(b) is in the best interests of us and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1" name="Frame2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22" name="Frame2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because the flexibility to issue shares of Common Stock in excess of the SEPA Exchange Cap provides 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because the flexibility to issue shares of Common Stock in excess of the SEPA Exchange Cap provides 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0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3" name="Frame2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45610" cy="293370"/>
                <wp:effectExtent l="0" t="0" r="0" b="0"/>
                <wp:wrapNone/>
                <wp:docPr id="2224" name="Frame2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56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a reliable source of capital for working capital and general corporate purposes.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4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a reliable source of capital for working capital and general corporate purposes.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1">
                <wp:simplePos x="0" y="0"/>
                <wp:positionH relativeFrom="page">
                  <wp:posOffset>4988560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5" name="Frame2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9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Vote Required</w:t>
      </w:r>
      <w:r>
        <mc:AlternateContent>
          <mc:Choice Requires="wps">
            <w:drawing>
              <wp:anchor behindDoc="0" distT="0" distB="0" distL="0" distR="0" simplePos="0" locked="0" layoutInCell="1" allowOverlap="1" relativeHeight="291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874010" cy="146685"/>
                <wp:effectExtent l="0" t="0" r="0" b="0"/>
                <wp:wrapNone/>
                <wp:docPr id="2226" name="Frame2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0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3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3">
                <wp:simplePos x="0" y="0"/>
                <wp:positionH relativeFrom="page">
                  <wp:posOffset>4074160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2227" name="Frame2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4">
                <wp:simplePos x="0" y="0"/>
                <wp:positionH relativeFrom="page">
                  <wp:posOffset>4342130</wp:posOffset>
                </wp:positionH>
                <wp:positionV relativeFrom="line">
                  <wp:posOffset>635</wp:posOffset>
                </wp:positionV>
                <wp:extent cx="2686685" cy="175260"/>
                <wp:effectExtent l="0" t="0" r="0" b="0"/>
                <wp:wrapNone/>
                <wp:docPr id="2228" name="Frame2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6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potential issuance of a number of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5pt;height:13.8pt;mso-wrap-distance-left:0pt;mso-wrap-distance-right:0pt;mso-wrap-distance-top:0pt;mso-wrap-distance-bottom:0pt;margin-top:0pt;mso-position-vertical:top;mso-position-vertical-relative:text;margin-left:34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potential issuance of a number of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29" name="Frame2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01060" cy="293370"/>
                <wp:effectExtent l="0" t="0" r="0" b="0"/>
                <wp:wrapNone/>
                <wp:docPr id="2230" name="Frame2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10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to Yorkville in excess of the SEPA Exchange Cap.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to Yorkville in excess of the SEPA Exchange Cap.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29</w:t>
      </w:r>
      <w:r>
        <mc:AlternateContent>
          <mc:Choice Requires="wps">
            <w:drawing>
              <wp:anchor behindDoc="0" distT="0" distB="0" distL="0" distR="0" simplePos="0" locked="0" layoutInCell="1" allowOverlap="1" relativeHeight="291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231" name="Frame2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approval of the potential issuance of a number of shares of Common Stock to Yorkville in excess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approval of the potential issuance of a number of shares of Common Stock to Yorkville in excess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2" name="Frame2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33" name="Frame2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SEPA Exchange Cap requires the affirmative vote of the majority of the votes cast (meaning the number of shares voted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SEPA Exchange Cap requires the affirmative vote of the majority of the votes cast (meaning the number of shares voted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4" name="Frame2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2235" name="Frame2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for” the proposal must exceed the number of shares voted “against” the proposal). Abstentions and broker non-votes, if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for” the proposal must exceed the number of shares voted “against” the proposal). Abstentions and broker non-votes, if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6" name="Frame2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37" name="Frame2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any, are not considered votes cast for the foregoing purpose, and will have no effect on the vote for this proposal.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any, are not considered votes cast for the foregoing purpose, and will have no effect on the vote for this proposal.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38" name="Frame2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39" name="Frame2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Subsequent to the date of this proxy statement, we intend to enter into voting agreements with holders of a majority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Subsequent to the date of this proxy statement, we intend to enter into voting agreements with holders of a majority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0" name="Frame2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41" name="Frame2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voting power of our Common Stock to grant us an irrevocable proxy to vote their shares of Common Stock in favor of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voting power of our Common Stock to grant us an irrevocable proxy to vote their shares of Common Stock in favor of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2" name="Frame2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0" cy="146685"/>
                <wp:effectExtent l="0" t="0" r="0" b="0"/>
                <wp:wrapNone/>
                <wp:docPr id="2243" name="Frame2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 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 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44" name="Frame2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applicable Nasdaq Listing Rules, the shares of Common Stock issued pursuant to the SEPA, of which there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applicable Nasdaq Listing Rules, the shares of Common Stock issued pursuant to the SEPA, of which there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5" name="Frame2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006725" cy="293370"/>
                <wp:effectExtent l="0" t="0" r="0" b="0"/>
                <wp:wrapNone/>
                <wp:docPr id="2246" name="Frame2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7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were 208,993 shares, are not entitled to vote on Proposal 3.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6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were 208,993 shares, are not entitled to vote on Proposal 3.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PROPOSAL FOUR—CONVERTIBLE DEBENTURES SHARE ISSUANCE PROPOSAL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Background</w:t>
      </w:r>
      <w:r>
        <mc:AlternateContent>
          <mc:Choice Requires="wps">
            <w:drawing>
              <wp:anchor behindDoc="0" distT="0" distB="0" distL="0" distR="0" simplePos="0" locked="0" layoutInCell="1" allowOverlap="1" relativeHeight="293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6760" cy="146685"/>
                <wp:effectExtent l="0" t="0" r="0" b="0"/>
                <wp:wrapNone/>
                <wp:docPr id="2247" name="Frame2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67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are seeking approval of the potential issuance of a number of shares of Common Stock to Yorkville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are seeking approval of the potential issuance of a number of shares of Common Stock to Yorkville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48" name="Frame2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49" name="Frame2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Convertible Debentures Exchange Cap (as defined below). As of the Record Date, no shares of Common Stock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Convertible Debentures Exchange Cap (as defined below). As of the Record Date, no shares of Common Stock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0" name="Frame2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51" name="Frame2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been issued to Yorkville upon conversion of any amounts under the Convertible Debentures and the outstanding aggregate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been issued to Yorkville upon conversion of any amounts under the Convertible Debentures and the outstanding aggregate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2" name="Frame2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404235" cy="293370"/>
                <wp:effectExtent l="0" t="0" r="0" b="0"/>
                <wp:wrapNone/>
                <wp:docPr id="2253" name="Frame2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42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principal amount of the Convertible Debentures was $20.0 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8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principal amount of the Convertible Debentures was $20.0 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0">
                <wp:simplePos x="0" y="0"/>
                <wp:positionH relativeFrom="page">
                  <wp:posOffset>4147185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4" name="Frame2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26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30</w:t>
      </w:r>
      <w:r>
        <mc:AlternateContent>
          <mc:Choice Requires="wps">
            <w:drawing>
              <wp:anchor behindDoc="0" distT="0" distB="0" distL="0" distR="0" simplePos="0" locked="0" layoutInCell="1" allowOverlap="1" relativeHeight="29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55" name="Frame26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Exchange Cap in accordance with the rules of Nasdaq or we obtain a written opinion from an outside law firm that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Exchange Cap in accordance with the rules of Nasdaq or we obtain a written opinion from an outside law firm that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256" name="Frame2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day, and (ii) the VWAP of the Common Stock was less than the Conversion Price on the day the Redemption Notice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day, and (ii) the VWAP of the Common Stock was less than the Conversion Price on the day the Redemption Notice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7" name="Frame2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58" name="Frame2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whole or in part, so long as (i) the Redemption Notice is delivered to Yorkville after the close of trading hours on a trading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whole or in part, so long as (i) the Redemption Notice is delivered to Yorkville after the close of trading hours on a trading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59" name="Frame2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60" name="Frame2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which we, upon 10 trading days’ prior written notice to Yorkville (the “Redemption Notice”), may redeem in cash,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which we, upon 10 trading days’ prior written notice to Yorkville (the “Redemption Notice”), may redeem in cash,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1" name="Frame2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62" name="Frame26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provide us, subject to certain conditions, with an optional redemption right pursuant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provide us, subject to certain conditions, with an optional redemption right pursuant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8">
                <wp:simplePos x="0" y="0"/>
                <wp:positionH relativeFrom="page">
                  <wp:posOffset>1983740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3" name="Frame2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56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40790" cy="293370"/>
                <wp:effectExtent l="0" t="0" r="0" b="0"/>
                <wp:wrapNone/>
                <wp:docPr id="2264" name="Frame2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7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approval is not required.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7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approval is not required.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5" name="Frame2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6" name="Frame2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7" name="Frame26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268" name="Frame26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circumstances, including if our stockholders have approved issuances in excess of the Convertible Debentures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circumstances, including if our stockholders have approved issuances in excess of the Convertible Debentures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69" name="Frame26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2270" name="Frame26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 (the “Convertible Debentures Exchange Cap”). The Convertible Debentures Exchange Cap will not apply under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 (the “Convertible Debentures Exchange Cap”). The Convertible Debentures Exchange Cap will not apply under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1" name="Frame26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72" name="Frame26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Stock, or 19.99% of the shares of Common Stock outstanding as of the date of the Securities Purchase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Stock, or 19.99% of the shares of Common Stock outstanding as of the date of the Securities Purchase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3" name="Frame26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274" name="Frame26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Nasdaq, the aggregate number of shares of Common Stock that we may issue in a transaction is 9,415,549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Nasdaq, the aggregate number of shares of Common Stock that we may issue in a transaction is 9,415,549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5" name="Frame26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276" name="Frame26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less than 65 days’ prior notice to us. Additionally, in compliance with our obligations under the rules and regulations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less than 65 days’ prior notice to us. Additionally, in compliance with our obligations under the rules and regulations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7" name="Frame2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78" name="Frame2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79" name="Frame26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Agreement”) pursuant to which we are required to file a registration statement registering the resale by Yorkville of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Agreement”) pursuant to which we are required to file a registration statement registering the resale by Yorkville of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0" name="Frame2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81" name="Frame26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April 14, 2025, we and Yorkville entered into a registration rights agreement (the “Registration Rights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April 14, 2025, we and Yorkville entered into a registration rights agreement (the “Registration Rights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3">
                <wp:simplePos x="0" y="0"/>
                <wp:positionH relativeFrom="page">
                  <wp:posOffset>5213985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2" name="Frame2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10.5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471035" cy="293370"/>
                <wp:effectExtent l="0" t="0" r="0" b="0"/>
                <wp:wrapNone/>
                <wp:docPr id="2283" name="Frame2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10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amount being paid) and (iii) any accrued and unpaid interest as of each installment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2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amount being paid) and (iii) any accrued and unpaid interest as of each installment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4" name="Frame2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85" name="Frame2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(i) the installment principal amount set forth on the Repayment Schedule, (ii) a 5% payment premium (of the principal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(i) the installment principal amount set forth on the Repayment Schedule, (ii) a 5% payment premium (of the principal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6" name="Frame2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87" name="Frame2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Schedule”) on which the Company shall repay a portion of the outstanding balance of the Convertible Debentures equal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Schedule”) on which the Company shall repay a portion of the outstanding balance of the Convertible Debentures equal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88" name="Frame26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289" name="Frame2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include a monthly repayment schedule of installment dates (the “Repayment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include a monthly repayment schedule of installment dates (the “Repayment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74645" cy="293370"/>
                <wp:effectExtent l="0" t="0" r="0" b="0"/>
                <wp:wrapNone/>
                <wp:docPr id="2290" name="Frame2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after the twelve-month anniversary of the Issuance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after the twelve-month anniversary of the Issuance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1" name="Frame2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292" name="Frame2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issuance date of the Convertible Debentures (the “Issuance Date”), and 10% of the principal amount being redeemed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issuance date of the Convertible Debentures (the “Issuance Date”), and 10% of the principal amount being redeemed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3" name="Frame2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94" name="Frame2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(c) a redemption premium of 5% of the principal amount being redeemed on or before the twelve-month anniversary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(c) a redemption premium of 5% of the principal amount being redeemed on or before the twelve-month anniversary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5" name="Frame2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96" name="Frame2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redeemed, (b) all accrued and unpaid interest under the applicable Convertible Debenture as of the date of such redemption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redeemed, (b) all accrued and unpaid interest under the applicable Convertible Debenture as of the date of such redemption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7" name="Frame2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298" name="Frame2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given, any of the outstanding principal and interest thereon at a redemption price equal to (a) the principal amount being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given, any of the outstanding principal and interest thereon at a redemption price equal to (a) the principal amount being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299" name="Frame25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00" name="Frame26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occurrence and during the continuance of an event of default (as defined in the Convertible Debentures). The Convertible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occurrence and during the continuance of an event of default (as defined in the Convertible Debentures). The Convertible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1" name="Frame26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02" name="Frame25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which may be extended at the option of Yorkville. The interest rate will increase to an annual rate of 18.0% upon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which may be extended at the option of Yorkville. The interest rate will increase to an annual rate of 18.0% upon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3" name="Frame25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04" name="Frame25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bear interest at an annual rate of 0.0%, and have a maturity date of July 14, 2026,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bear interest at an annual rate of 0.0%, and have a maturity date of July 14, 2026,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47360" cy="293370"/>
                <wp:effectExtent l="0" t="0" r="0" b="0"/>
                <wp:wrapNone/>
                <wp:docPr id="2305" name="Frame25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73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Annual Meeting or irrevocable proxies to do the same by a majority of the voting power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6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Annual Meeting or irrevocable proxies to do the same by a majority of the voting power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6" name="Frame25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07" name="Frame25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SEC and (ii) the Company has received approval of this Proposal 4 either through affirmative votes for this Proposal 4 at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SEC and (ii) the Company has received approval of this Proposal 4 either through affirmative votes for this Proposal 4 at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08" name="Frame25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293370"/>
                <wp:effectExtent l="0" t="0" r="0" b="0"/>
                <wp:wrapNone/>
                <wp:docPr id="2309" name="Frame25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registration statement is filed with the SEC registering the resale of the Conversion Shares and is declared effective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registration statement is filed with the SEC registering the resale of the Conversion Shares and is declared effective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0" name="Frame26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2311" name="Frame25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$10.0 million in principal amount of Convertible Debentures (the “Second Convertible Debenture”) after both (i)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$10.0 million in principal amount of Convertible Debentures (the “Second Convertible Debenture”) after both (i)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2" name="Frame25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13" name="Frame25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a Convertible Debenture in the principal amount of $20.0 million. Yorkville will purchase and we will issue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a Convertible Debenture in the principal amount of $20.0 million. Yorkville will purchase and we will issue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4" name="Frame25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75260"/>
                <wp:effectExtent l="0" t="0" r="0" b="0"/>
                <wp:wrapNone/>
                <wp:docPr id="2315" name="Frame25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Debentures”). On April 14, 2025, pursuant to the Securities Purchase Agreement, we sold and issued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Debentures”). On April 14, 2025, pursuant to the Securities Purchase Agreement, we sold and issued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6" name="Frame25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17" name="Frame25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subject to certain conditions and limitations, in the aggregate principal amount of up to $30.0 million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subject to certain conditions and limitations, in the aggregate principal amount of up to $30.0 million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18" name="Frame25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19" name="Frame25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in connection with our issuance and sale to Yorkville of convertible debentures, convertible into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in connection with our issuance and sale to Yorkville of convertible debentures, convertible into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0" name="Frame25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1" name="Frame26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22" name="Frame26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Common Stock after giving effect to such conversion; provided that this limitation may be waived by Yorkville upon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Common Stock after giving effect to such conversion; provided that this limitation may be waived by Yorkville upon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3" name="Frame26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24" name="Frame26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would result in Yorkville and its affiliates having beneficial ownership of more than 4.99% of the then outstanding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would result in Yorkville and its affiliates having beneficial ownership of more than 4.99% of the then outstanding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5" name="Frame26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26" name="Frame26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Convertible Debentures may not be converted into shares of Common Stock to the extent such conversion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Convertible Debentures may not be converted into shares of Common Stock to the extent such conversion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32890" cy="293370"/>
                <wp:effectExtent l="0" t="0" r="0" b="0"/>
                <wp:wrapNone/>
                <wp:docPr id="2327" name="Frame26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2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 to the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 to the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28" name="Frame26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29" name="Frame26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appropriate adjustment in the event of any stock dividend, stock split, combination or other similar recapitalization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appropriate adjustment in the event of any stock dividend, stock split, combination or other similar recapitalization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0" name="Frame26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31" name="Frame26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the ten consecutive trading days immediately preceding the applicable Reset Date. The Conversion Price is subject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the ten consecutive trading days immediately preceding the applicable Reset Date. The Conversion Price is subject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332" name="Frame2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March 25, 2025, we entered into a securities purchase agreement (the “Securities Purchase Agreement”)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March 25, 2025, we entered into a securities purchase agreement (the “Securities Purchase Agreement”)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333" name="Frame26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(downwards only) to the lower of (i) the Conversion Price then in effect, or (ii) the average VWAP of the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(downwards only) to the lower of (i) the Conversion Price then in effect, or (ii) the average VWAP of the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4" name="Frame26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35" name="Frame26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that, on each of October 14, 2025 and January 14, 2026 (each, a “Reset Date”), the Conversion Price shall be adjusted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that, on each of October 14, 2025 and January 14, 2026 (each, a “Reset Date”), the Conversion Price shall be adjusted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6" name="Frame26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37" name="Frame26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from time to time into the Common Stock at a conversion price equal to $10.00 (the “Conversion Price”), provided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from time to time into the Common Stock at a conversion price equal to $10.00 (the “Conversion Price”), provided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38" name="Frame26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39" name="Frame26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together with any interest or other amounts outstanding under the Convertible Debentures, may be converted at any time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together with any interest or other amounts outstanding under the Convertible Debentures, may be converted at any time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0" name="Frame26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41" name="Frame26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Debentures provide a conversion right, at Yorkville’s option, in which any portion of the principal amount of the debt,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Debentures provide a conversion right, at Yorkville’s option, in which any portion of the principal amount of the debt,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Reasons for Seeking Stockholder Approval</w:t>
      </w:r>
      <w:r>
        <mc:AlternateContent>
          <mc:Choice Requires="wps">
            <w:drawing>
              <wp:anchor behindDoc="0" distT="0" distB="0" distL="0" distR="0" simplePos="0" locked="0" layoutInCell="1" allowOverlap="1" relativeHeight="30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42" name="Frame26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issuable upon conversion of the Convertible Debentures. We filed the registration statement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issuable upon conversion of the Convertible Debentures. We filed the registration statement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2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3" name="Frame2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559810" cy="293370"/>
                <wp:effectExtent l="0" t="0" r="0" b="0"/>
                <wp:wrapNone/>
                <wp:docPr id="2344" name="Frame2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98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April 15, 2025 and received notice of effectiveness on April 23,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0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April 15, 2025 and received notice of effectiveness on April 23,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45" name="Frame2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Additional information concerning the Securities Purchase Agreement, Registration Rights Agreement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Additional information concerning the Securities Purchase Agreement, Registration Rights Agreement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6" name="Frame2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47" name="Frame26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 is contained in our Current Reports on Form 8-K filed with the SEC on March 26, 2025 and April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 is contained in our Current Reports on Form 8-K filed with the SEC on March 26, 2025 and April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48" name="Frame2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20340" cy="293370"/>
                <wp:effectExtent l="0" t="0" r="0" b="0"/>
                <wp:wrapNone/>
                <wp:docPr id="2349" name="Frame2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3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14, 2025, which are incorporated by reference herein.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4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14, 2025, which are incorporated by reference herein.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6">
                <wp:simplePos x="0" y="0"/>
                <wp:positionH relativeFrom="page">
                  <wp:posOffset>3463290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0" name="Frame2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72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Effect on Current Stockholders</w:t>
      </w:r>
      <w:r>
        <mc:AlternateContent>
          <mc:Choice Requires="wps">
            <w:drawing>
              <wp:anchor behindDoc="0" distT="0" distB="0" distL="0" distR="0" simplePos="0" locked="0" layoutInCell="1" allowOverlap="1" relativeHeight="30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06370" cy="293370"/>
                <wp:effectExtent l="0" t="0" r="0" b="0"/>
                <wp:wrapNone/>
                <wp:docPr id="2351" name="Frame27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6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prepayments pursuant to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3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prepayments pursuant to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2" name="Frame27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53" name="Frame27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more than 9,415,549 shares of Common Stock, representing 19.99% of the outstanding shares of Common Stock as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more than 9,415,549 shares of Common Stock, representing 19.99% of the outstanding shares of Common Stock as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4" name="Frame27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55" name="Frame27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date of the Securities Purchase Agreement. Stockholder approval of this Proposal 4 will constitute stockholder approval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date of the Securities Purchase Agreement. Stockholder approval of this Proposal 4 will constitute stockholder approval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6" name="Frame27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827655" cy="293370"/>
                <wp:effectExtent l="0" t="0" r="0" b="0"/>
                <wp:wrapNone/>
                <wp:docPr id="2357" name="Frame27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6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 of Nasdaq Listing Rules 5635(d) and 5635(b).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2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 of Nasdaq Listing Rules 5635(d) and 5635(b).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358" name="Frame27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determined that the Securities Purchase Agreement and the Convertible Debentures and our ability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determined that the Securities Purchase Agreement and the Convertible Debentures and our ability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59" name="Frame27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60" name="Frame27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to issue the shares of Common Stock thereunder in excess of the Convertible Debentures Exchange Cap are in the best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to issue the shares of Common Stock thereunder in excess of the Convertible Debentures Exchange Cap are in the best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1" name="Frame27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62" name="Frame27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interests of the Company and its stockholders because it will decrease the likelihood that we will have to make monthly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interests of the Company and its stockholders because it will decrease the likelihood that we will have to make monthly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3" name="Frame27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364" name="Frame27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Until this Proposal 4 is approved by our stockholders, Yorkville may not convert its Convertible Debentures into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Until this Proposal 4 is approved by our stockholders, Yorkville may not convert its Convertible Debentures into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65" name="Frame27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cannot predict the price of the Common Stock at any future date, and therefore cannot predict the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cannot predict the price of the Common Stock at any future date, and therefore cannot predict the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6" name="Frame2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89985" cy="293370"/>
                <wp:effectExtent l="0" t="0" r="0" b="0"/>
                <wp:wrapNone/>
                <wp:docPr id="2367" name="Frame27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9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shares of Common Stock to be issued under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0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shares of Common Stock to be issued under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68" name="Frame2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Therefore, we are seeking stockholder approval under this Proposal 4 to issue shares of Common Stock in excess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Therefore, we are seeking stockholder approval under this Proposal 4 to issue shares of Common Stock in excess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69" name="Frame2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70" name="Frame2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Convertible Debentures Exchange Cap, if necessary, to Yorkville under the terms of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Convertible Debentures Exchange Cap, if necessary, to Yorkville under the terms of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1" name="Frame2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72" name="Frame2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failure of our stockholders to approve this Proposal 4 will prevent us from issuing shares of Common Stock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failure of our stockholders to approve this Proposal 4 will prevent us from issuing shares of Common Stock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3" name="Frame2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74" name="Frame2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Yorkville in excess of the Convertible Debentures Exchange Cap, which may require us to make monthly prepayments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Yorkville in excess of the Convertible Debentures Exchange Cap, which may require us to make monthly prepayments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5" name="Frame27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981065" cy="293370"/>
                <wp:effectExtent l="0" t="0" r="0" b="0"/>
                <wp:wrapNone/>
                <wp:docPr id="2376" name="Frame2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10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described above. As of the close of business on the Record Date, the price of the Common Stock was $4.42 per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0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described above. As of the close of business on the Record Date, the price of the Common Stock was $4.42 per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7" name="Frame2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78" name="Frame2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79" name="Frame2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a transaction (or a series of related transactions) other than a public offering involving the sale, issuance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a transaction (or a series of related transactions) other than a public offering involving the sale, issuance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0" name="Frame2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81" name="Frame2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potential issuance of Common Stock (or securities convertible into or exercisable for Common Stock) equal to 20%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potential issuance of Common Stock (or securities convertible into or exercisable for Common Stock) equal to 20%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2" name="Frame2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83" name="Frame2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more of the shares of Common Stock or 20% or more of the voting power outstanding before the issuance at a price that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more of the shares of Common Stock or 20% or more of the voting power outstanding before the issuance at a price that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4" name="Frame2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385" name="Frame2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less than the lower of (i) the Nasdaq Official Closing Price (as reflected on Nasdaq.com) immediately preceding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less than the lower of (i) the Nasdaq Official Closing Price (as reflected on Nasdaq.com) immediately preceding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6" name="Frame2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87" name="Frame2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signing of the binding agreement; or (ii) the Minimum Price. On March 24, 2025, the date immediately preceding the date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signing of the binding agreement; or (ii) the Minimum Price. On March 24, 2025, the date immediately preceding the date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88" name="Frame26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89" name="Frame2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the execution of the Securities Purchase Agreement, the closing price of the Common Stock was $7.93 and the average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the execution of the Securities Purchase Agreement, the closing price of the Common Stock was $7.93 and the average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3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90" name="Frame2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5635(d), stockholder approval is required prior to the issuance of securities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5635(d), stockholder approval is required prior to the issuance of securities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67375" cy="293370"/>
                <wp:effectExtent l="0" t="0" r="0" b="0"/>
                <wp:wrapNone/>
                <wp:docPr id="2391" name="Frame2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73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closing price of the Common Stock for the five trading days immediately preceding March 25, 2025 was $7.77.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6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closing price of the Common Stock for the five trading days immediately preceding March 25, 2025 was $7.77.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2">
                <wp:simplePos x="0" y="0"/>
                <wp:positionH relativeFrom="page">
                  <wp:posOffset>6410325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2" name="Frame2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04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393" name="Frame2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Nasdaq Listing Rule 5635(b), stockholder approval is required prior to the issuance of securities when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Nasdaq Listing Rule 5635(b), stockholder approval is required prior to the issuance of securities when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4" name="Frame2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395" name="Frame2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issuance or potential issuance will result in a change of control of a company. This rule does not specifically define when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issuance or potential issuance will result in a change of control of a company. This rule does not specifically define when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6" name="Frame26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397" name="Frame2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in control of a company may be deemed to occur for this purpose; however, Nasdaq suggests in its guidance that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in control of a company may be deemed to occur for this purpose; however, Nasdaq suggests in its guidance that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398" name="Frame2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399" name="Frame2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change of control would occur, subject to certain limited exceptions, if after a transaction an investor (or a group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change of control would occur, subject to certain limited exceptions, if after a transaction an investor (or a group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0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0" name="Frame2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596890" cy="293370"/>
                <wp:effectExtent l="0" t="0" r="0" b="0"/>
                <wp:wrapNone/>
                <wp:docPr id="2401" name="Frame27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6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investors) would own or have the right to acquire 20% or more of a company’s then-outstanding capital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investors) would own or have the right to acquire 20% or more of a company’s then-outstanding capital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62">
                <wp:simplePos x="0" y="0"/>
                <wp:positionH relativeFrom="page">
                  <wp:posOffset>6339840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2" name="Frame27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49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31</w:t>
      </w:r>
      <w:r>
        <mc:AlternateContent>
          <mc:Choice Requires="wps">
            <w:drawing>
              <wp:anchor behindDoc="0" distT="0" distB="0" distL="0" distR="0" simplePos="0" locked="0" layoutInCell="1" allowOverlap="1" relativeHeight="30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699510" cy="293370"/>
                <wp:effectExtent l="0" t="0" r="0" b="0"/>
                <wp:wrapNone/>
                <wp:docPr id="2403" name="Frame2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95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However, the dilutive effect may be material to our current stockholders.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1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However, the dilutive effect may be material to our current stockholders.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4" name="Frame2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05" name="Frame2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conversion of the original aggregate principal amount of $30.0 million and does not reflect the conversion of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conversion of the original aggregate principal amount of $30.0 million and does not reflect the conversion of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6" name="Frame2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407" name="Frame2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$10.00 per share, thereby resulting in the issuance of more than 9,415,549 shares of Common Stock. This example is based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$10.00 per share, thereby resulting in the issuance of more than 9,415,549 shares of Common Stock. This example is based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08" name="Frame2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09" name="Frame2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issuable upon conversion of Convertible Debentures if we issue securities at an effective price per share that is lower than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issuable upon conversion of Convertible Debentures if we issue securities at an effective price per share that is lower than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0" name="Frame2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411" name="Frame2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illustrative purposes only, the table below shows the number of shares of Common Stock that would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illustrative purposes only, the table below shows the number of shares of Common Stock that would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00">
                <wp:simplePos x="0" y="0"/>
                <wp:positionH relativeFrom="page">
                  <wp:posOffset>4442460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2" name="Frame2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349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8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413" name="Frame2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Upon stockholder approval of this Proposal 4, the issuance of shares of Common Stock under the Convertible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Upon stockholder approval of this Proposal 4, the issuance of shares of Common Stock under the Convertible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4" name="Frame2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15" name="Frame2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our Common Stock at the time of issuance, the exact magnitude of the dilutive effect cannot be conclusively determined.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our Common Stock at the time of issuance, the exact magnitude of the dilutive effect cannot be conclusively determined.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6" name="Frame2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17" name="Frame27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Common Stock that may be issued to Yorkville pursuant to the Convertible Debentures is determined based on the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Common Stock that may be issued to Yorkville pursuant to the Convertible Debentures is determined based on the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18" name="Frame2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19" name="Frame2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thereby reduce, each existing stockholder’s proportionate ownership in the Common Stock. Because the number of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thereby reduce, each existing stockholder’s proportionate ownership in the Common Stock. Because the number of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0" name="Frame2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21" name="Frame2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Debentures will not be subject to the Convertible Debentures Exchange Cap and such issuance of shares would dilute,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Debentures will not be subject to the Convertible Debentures Exchange Cap and such issuance of shares would dilute,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9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2" name="Frame2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Consequences of Non-Approval</w:t>
      </w:r>
      <w:r>
        <mc:AlternateContent>
          <mc:Choice Requires="wps">
            <w:drawing>
              <wp:anchor behindDoc="0" distT="0" distB="0" distL="0" distR="0" simplePos="0" locked="0" layoutInCell="1" allowOverlap="1" relativeHeight="31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23" name="Frame2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accrued but unpaid interest. As of the Record Date, the outstanding aggregate principal amount of the Convertible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accrued but unpaid interest. As of the Record Date, the outstanding aggregate principal amount of the Convertible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4" name="Frame2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54480" cy="293370"/>
                <wp:effectExtent l="0" t="0" r="0" b="0"/>
                <wp:wrapNone/>
                <wp:docPr id="2425" name="Frame2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44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Debentures was $20.0 million.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2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Debentures was $20.0 million.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Board Recommendation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12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426" name="Frame2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accordance with the stockholder approval requirements of Nasdaq Listing Rules 5635(d) and 5635(b), is in the best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accordance with the stockholder approval requirements of Nasdaq Listing Rules 5635(d) and 5635(b), is in the best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29225" cy="293370"/>
                <wp:effectExtent l="0" t="0" r="0" b="0"/>
                <wp:wrapNone/>
                <wp:docPr id="2427" name="Frame27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 received by us upon issuance of the Second Convertible Debenture will not be made available to 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1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 received by us upon issuance of the Second Convertible Debenture will not be made available to 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28" name="Frame27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29" name="Frame27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purchase, and we will not issue, the Second Convertible Debenture. Accordingly, the additional $10.0 million of funds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purchase, and we will not issue, the Second Convertible Debenture. Accordingly, the additional $10.0 million of funds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0" name="Frame27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431" name="Frame27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Furthermore, if this Proposal 4 is not approved by our stockholders at the Annual Meeting, Yorkville will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Furthermore, if this Proposal 4 is not approved by our stockholders at the Annual Meeting, Yorkville will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7">
                <wp:simplePos x="0" y="0"/>
                <wp:positionH relativeFrom="page">
                  <wp:posOffset>2769235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2" name="Frame27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18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26285" cy="293370"/>
                <wp:effectExtent l="0" t="0" r="0" b="0"/>
                <wp:wrapNone/>
                <wp:docPr id="2433" name="Frame2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2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Convertible Debentures.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Convertible Debentures.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4" name="Frame2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35" name="Frame2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interests of us and our stockholders because it will decrease the likelihood we will have to make monthly prepayments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interests of us and our stockholders because it will decrease the likelihood we will have to make monthly prepayments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6" name="Frame2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437" name="Frame2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this Proposal 4 is not approved by our stockholders at the Annual Meeting, we may be required to make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this Proposal 4 is not approved by our stockholders at the Annual Meeting, we may be required to make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38" name="Frame2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2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39" name="Frame2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amendments, or changes (consistent with the intent and purpose of this proposal) agreed upon by the parties thereto, and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amendments, or changes (consistent with the intent and purpose of this proposal) agreed upon by the parties thereto, and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0" name="Frame2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41" name="Frame2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has determined that the Securities Purchase Agreement and Convertible Debentures, with such modifications,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has determined that the Securities Purchase Agreement and Convertible Debentures, with such modifications,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2" name="Frame2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43" name="Frame2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expenditures and operating expenses, including the expenses for the Innventure Companies and the Operating Companies.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expenditures and operating expenses, including the expenses for the Innventure Companies and the Operating Companies.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4" name="Frame2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45" name="Frame2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monthly prepayments as described above, which may impair our working capital and our ability to fund capital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monthly prepayments as described above, which may impair our working capital and our ability to fund capital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1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46" name="Frame2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Vote Required</w:t>
      </w:r>
      <w:r>
        <mc:AlternateContent>
          <mc:Choice Requires="wps">
            <w:drawing>
              <wp:anchor behindDoc="0" distT="0" distB="0" distL="0" distR="0" simplePos="0" locked="0" layoutInCell="1" allowOverlap="1" relativeHeight="313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2874010" cy="146685"/>
                <wp:effectExtent l="0" t="0" r="0" b="0"/>
                <wp:wrapNone/>
                <wp:docPr id="2447" name="Frame27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0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Board unanimously recommends that you vote “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26.3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Board unanimously recommends that you vote “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4">
                <wp:simplePos x="0" y="0"/>
                <wp:positionH relativeFrom="page">
                  <wp:posOffset>4074160</wp:posOffset>
                </wp:positionH>
                <wp:positionV relativeFrom="line">
                  <wp:posOffset>635</wp:posOffset>
                </wp:positionV>
                <wp:extent cx="267970" cy="146685"/>
                <wp:effectExtent l="0" t="0" r="0" b="0"/>
                <wp:wrapNone/>
                <wp:docPr id="2448" name="Frame27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/>
                                <w:i w:val="false"/>
                                <w:caps w:val="false"/>
                                <w:smallCaps w:val="false"/>
                                <w:sz w:val="20"/>
                                <w:u w:val="single"/>
                              </w:rPr>
                              <w:t>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.1pt;height:11.55pt;mso-wrap-distance-left:0pt;mso-wrap-distance-right:0pt;mso-wrap-distance-top:0pt;mso-wrap-distance-bottom:0pt;margin-top:0pt;mso-position-vertical:top;mso-position-vertical-relative:text;margin-left:32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</w:pPr>
                      <w:r>
                        <w:rPr>
                          <w:rFonts w:ascii="Times New Roman;sans-serif" w:hAnsi="Times New Roman;sans-serif"/>
                          <w:b/>
                          <w:i w:val="false"/>
                          <w:caps w:val="false"/>
                          <w:smallCaps w:val="false"/>
                          <w:sz w:val="20"/>
                          <w:u w:val="single"/>
                        </w:rPr>
                        <w:t>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5">
                <wp:simplePos x="0" y="0"/>
                <wp:positionH relativeFrom="page">
                  <wp:posOffset>4342130</wp:posOffset>
                </wp:positionH>
                <wp:positionV relativeFrom="line">
                  <wp:posOffset>635</wp:posOffset>
                </wp:positionV>
                <wp:extent cx="2686685" cy="175260"/>
                <wp:effectExtent l="0" t="0" r="0" b="0"/>
                <wp:wrapNone/>
                <wp:docPr id="2449" name="Frame27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668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” 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potential issuance of a number of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55pt;height:13.8pt;mso-wrap-distance-left:0pt;mso-wrap-distance-right:0pt;mso-wrap-distance-top:0pt;mso-wrap-distance-bottom:0pt;margin-top:0pt;mso-position-vertical:top;mso-position-vertical-relative:text;margin-left:341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” 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potential issuance of a number of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0" name="Frame27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299585" cy="293370"/>
                <wp:effectExtent l="0" t="0" r="0" b="0"/>
                <wp:wrapNone/>
                <wp:docPr id="2451" name="Frame27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5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 to Yorkville in excess of the Convertible Debentures Exchange Cap.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8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 to Yorkville in excess of the Convertible Debentures Exchange Cap.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32</w:t>
      </w:r>
      <w:r>
        <mc:AlternateContent>
          <mc:Choice Requires="wps">
            <w:drawing>
              <wp:anchor behindDoc="0" distT="0" distB="0" distL="0" distR="0" simplePos="0" locked="0" layoutInCell="1" allowOverlap="1" relativeHeight="31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452" name="Frame27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approval of the potential issuance of a number of shares of Common Stock to Yorkville in excess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approval of the potential issuance of a number of shares of Common Stock to Yorkville in excess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3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3" name="Frame27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54" name="Frame27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Debentures Exchange Cap requires the affirmative vote of the majority of the votes cast (meaning the 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Debentures Exchange Cap requires the affirmative vote of the majority of the votes cast (meaning the 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5" name="Frame27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56" name="Frame28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shares voted “for” the proposal must exceed the number of shares voted “against” the proposal). Abstentions and broker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shares voted “for” the proposal must exceed the number of shares voted “against” the proposal). Abstentions and broker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7" name="Frame28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58" name="Frame28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non-votes, if any, are not considered votes cast for the foregoing purpose, and will have no effect on the vote for this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non-votes, if any, are not considered votes cast for the foregoing purpose, and will have no effect on the vote for this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59" name="Frame28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60" name="Frame28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proposal.  Subsequent to the date of this proxy statement, we intend to enter into voting agreements with holders of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proposal.  Subsequent to the date of this proxy statement, we intend to enter into voting agreements with holders of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61" name="Frame28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62" name="Frame28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majority in voting power of our Common Stock to grant us an irrevocable proxy to vote their shares of Common Stock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majority in voting power of our Common Stock to grant us an irrevocable proxy to vote their shares of Common Stock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4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63" name="Frame28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223645" cy="293370"/>
                <wp:effectExtent l="0" t="0" r="0" b="0"/>
                <wp:wrapNone/>
                <wp:docPr id="2464" name="Frame28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3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favor of this Proposal 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favor of this Proposal 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465" name="Frame28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Under applicable Nasdaq Listing Rules, the shares of Common Stock issued pursuant to conversion of all or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Under applicable Nasdaq Listing Rules, the shares of Common Stock issued pursuant to conversion of all or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66" name="Frame28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591685" cy="293370"/>
                <wp:effectExtent l="0" t="0" r="0" b="0"/>
                <wp:wrapNone/>
                <wp:docPr id="2467" name="Frame28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6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portion of the Convertible Debentures, if applicable, are not entitled to vote on Proposal 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1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portion of the Convertible Debentures, if applicable, are not entitled to vote on Proposal 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EXECUTIVE AND DIRECTOR COMPENSATION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2024 Business Combination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16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468" name="Frame28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Gregory W. (Bill) Haskell was Innventure’s principal executive officer for the entirety of 2024. The two most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Gregory W. (Bill) Haskell was Innventure’s principal executive officer for the entirety of 2024. The two most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959610" cy="293370"/>
                <wp:effectExtent l="0" t="0" r="0" b="0"/>
                <wp:wrapNone/>
                <wp:docPr id="2469" name="Frame28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6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John Scott, Chief Strategy Officer.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3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John Scott, Chief Strategy Officer.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470" name="Frame28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075180" cy="293370"/>
                <wp:effectExtent l="0" t="0" r="0" b="0"/>
                <wp:wrapNone/>
                <wp:docPr id="2471" name="Frame28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1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Mike Otworth, Executive Chairman;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3.4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Mike Otworth, Executive Chairman;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472" name="Frame28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3347085" cy="293370"/>
                <wp:effectExtent l="0" t="0" r="0" b="0"/>
                <wp:wrapNone/>
                <wp:docPr id="2473" name="Frame28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0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Gregory W. (Bill) Haskell, Chief Executive Officer and Manager;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3.5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Gregory W. (Bill) Haskell, Chief Executive Officer and Manager;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474" name="Frame28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178935" cy="293370"/>
                <wp:effectExtent l="0" t="0" r="0" b="0"/>
                <wp:wrapNone/>
                <wp:docPr id="2475" name="Frame28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89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Therefore, for the fiscal year ended December 31, 2024, Innventure’s NEOs were: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29.0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Therefore, for the fiscal year ended December 31, 2024, Innventure’s NEOs were: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70785" cy="293370"/>
                <wp:effectExtent l="0" t="0" r="0" b="0"/>
                <wp:wrapNone/>
                <wp:docPr id="2476" name="Frame28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07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Haskell) were Mike Otworth and Dr. John Scott.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4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Haskell) were Mike Otworth and Dr. John Scott.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77" name="Frame28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78" name="Frame28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highly compensated executive officers of Innventure that were serving in such capacity at the end of 2024 (other than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highly compensated executive officers of Innventure that were serving in such capacity at the end of 2024 (other than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79" name="Frame28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207385" cy="293370"/>
                <wp:effectExtent l="0" t="0" r="0" b="0"/>
                <wp:wrapNone/>
                <wp:docPr id="2480" name="Frame28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All dollar amounts (“$”) in this section reflect actual amounts.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2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All dollar amounts (“$”) in this section reflect actual amounts.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371090" cy="293370"/>
                <wp:effectExtent l="0" t="0" r="0" b="0"/>
                <wp:wrapNone/>
                <wp:docPr id="2481" name="Frame28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our named executive officers (the “NEOs”).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6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our named executive officers (the “NEOs”).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2" name="Frame28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83" name="Frame28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Innventure’s principal executive officer and its two other most highly compensated executive officers are referred to herein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Innventure’s principal executive officer and its two other most highly compensated executive officers are referred to herein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4" name="Frame28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85" name="Frame28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disclosure for Innventure’s principal executive officer and its two other most highly compensated executive officers.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disclosure for Innventure’s principal executive officer and its two other most highly compensated executive officers.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6" name="Frame28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87" name="Frame28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such term is defined in the rules promulgated under the Securities Act, which, in general, require compensation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such term is defined in the rules promulgated under the Securities Act, which, in general, require compensation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88" name="Frame28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489" name="Frame28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executive compensation disclosure rules applicable to “emerging growth companies” and “smaller reporting companies”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executive compensation disclosure rules applicable to “emerging growth companies” and “smaller reporting companies”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0" name="Frame28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5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491" name="Frame28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an emerging growth company and smaller reporting company, Innventure has opted to comply with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an emerging growth company and smaller reporting company, Innventure has opted to comply with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2024 Summary Compensation Table</w:t>
      </w:r>
      <w:r>
        <mc:AlternateContent>
          <mc:Choice Requires="wps">
            <w:drawing>
              <wp:anchor behindDoc="0" distT="0" distB="0" distL="0" distR="0" simplePos="0" locked="0" layoutInCell="1" allowOverlap="1" relativeHeight="317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492" name="Frame28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October 2, 2024, we consummated our Business Combination. The information provided in this disclosure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October 2, 2024, we consummated our Business Combination. The information provided in this disclosure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3" name="Frame28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94" name="Frame28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reflects both compensation from Innventure LLC (up until the date of the Business Combination, as applicable)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reflects both compensation from Innventure LLC (up until the date of the Business Combination, as applicable)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5" name="Frame28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496" name="Frame28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compensation from the Company (from the date of the Business Combination through the end of 2024). Messrs. Haskell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compensation from the Company (from the date of the Business Combination through the end of 2024). Messrs. Haskell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7" name="Frame28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498" name="Frame28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Otworth and Dr. Scott are still serving as executive officers of Innventure following the consummation of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Otworth and Dr. Scott are still serving as executive officers of Innventure following the consummation of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499" name="Frame28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94055" cy="293370"/>
                <wp:effectExtent l="0" t="0" r="0" b="0"/>
                <wp:wrapNone/>
                <wp:docPr id="2500" name="Frame28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Combination.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Combination.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33</w:t>
      </w:r>
      <w:r>
        <mc:AlternateContent>
          <mc:Choice Requires="wps">
            <w:drawing>
              <wp:anchor behindDoc="0" distT="0" distB="0" distL="0" distR="0" simplePos="0" locked="0" layoutInCell="1" allowOverlap="1" relativeHeight="320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189855" cy="233680"/>
                <wp:effectExtent l="0" t="0" r="0" b="0"/>
                <wp:wrapNone/>
                <wp:docPr id="2501" name="Frame29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985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 in this column for Mr. Haskell represents a transaction bonus earned in connection with the Business Combination.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8.6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 in this column for Mr. Haskell represents a transaction bonus earned in connection with the Business Combination.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103755" cy="233680"/>
                <wp:effectExtent l="0" t="0" r="0" b="0"/>
                <wp:wrapNone/>
                <wp:docPr id="2502" name="Frame29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75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section had an aggregate grant date fair value of $0.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5.6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section had an aggregate grant date fair value of $0.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03" name="Frame29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04" name="Frame29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awards disclosed in this column, see “2024 Equity-Based Compensation” below. The Refinity Incentive Units (as defined below) discussed in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awards disclosed in this column, see “2024 Equity-Based Compensation” below. The Refinity Incentive Units (as defined below) discussed in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05" name="Frame29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06" name="Frame29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consolidated financial statements included in our 2024 Annual Report, filed with the SEC on April 14, 2025. For more information regarding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consolidated financial statements included in our 2024 Annual Report, filed with the SEC on April 14, 2025. For more information regarding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07" name="Frame29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08" name="Frame29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Codification (“FASB ASC”) Topic 718. For information regarding the assumptions used in calculating the value of these awards, see Note 14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Codification (“FASB ASC”) Topic 718. For information regarding the assumptions used in calculating the value of these awards, see Note 14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09" name="Frame29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10" name="Frame29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Units granted by Accelsius to him in 2024, each calculated in accordance with Financial Accounting Standards Board Accounting Standards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Units granted by Accelsius to him in 2024, each calculated in accordance with Financial Accounting Standards Board Accounting Standards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11" name="Frame29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16840"/>
                <wp:effectExtent l="0" t="0" r="0" b="0"/>
                <wp:wrapNone/>
                <wp:docPr id="2512" name="Frame29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Company to the NEOs in 2024 and, with respect to Mr. Otworth, the amount includes the aggregate grant date fair value of the Accelsius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Company to the NEOs in 2024 and, with respect to Mr. Otworth, the amount includes the aggregate grant date fair value of the Accelsius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13" name="Frame29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14" name="Frame29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amounts in this column reflect the aggregate grant date fair value of service-based restricted stock unit (“RSU”) awards granted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amounts in this column reflect the aggregate grant date fair value of service-based restricted stock unit (“RSU”) awards granted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15" name="Frame29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(3)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(3)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516" name="Frame28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provides information regarding the compensation of Innventure’s NEOs for 2024 and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provides information regarding the compensation of Innventure’s NEOs for 2024 and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0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17" name="Frame29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(2)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(2)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978150" cy="233680"/>
                <wp:effectExtent l="0" t="0" r="0" b="0"/>
                <wp:wrapNone/>
                <wp:docPr id="2518" name="Frame29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with respect to Mr. Otworth’s consulting services to Innventure for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4.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with respect to Mr. Otworth’s consulting services to Innventure for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19" name="Frame29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520" name="Frame29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Mr. Otworth, the amount in this column for 2024 represents payments to Sugar Grove Ventures, LLC (a company 100% owned by Mr. Otworth)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Mr. Otworth, the amount in this column for 2024 represents payments to Sugar Grove Ventures, LLC (a company 100% owned by Mr. Otworth)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21" name="Frame29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522" name="Frame29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Corporate Development Group (a company 100% owned by Dr. Scott) with respect to Dr. Scott’s consulting services to Innventure during 2024.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Corporate Development Group (a company 100% owned by Dr. Scott) with respect to Dr. Scott’s consulting services to Innventure during 2024.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23" name="Frame29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16840"/>
                <wp:effectExtent l="0" t="0" r="0" b="0"/>
                <wp:wrapNone/>
                <wp:docPr id="2524" name="Frame29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 in this column for 2024 for Mr. Haskell represents base salary earned during 2024. For Dr. Scott, the amount represents payments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 in this column for 2024 for Mr. Haskell represents base salary earned during 2024. For Dr. Scott, the amount represents payments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25" name="Frame29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(1)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(1)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526" name="Frame29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90">
                <wp:simplePos x="0" y="0"/>
                <wp:positionH relativeFrom="page">
                  <wp:posOffset>1433195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27" name="Frame28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12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90245" cy="293370"/>
                <wp:effectExtent l="0" t="0" r="0" b="0"/>
                <wp:wrapNone/>
                <wp:docPr id="2528" name="Frame28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2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applicable.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4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applicable.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8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29" name="Frame28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Narrative Disclosure to 2024 Summary Compensation Table</w:t>
      </w:r>
      <w:r>
        <mc:AlternateContent>
          <mc:Choice Requires="wps">
            <w:drawing>
              <wp:anchor behindDoc="0" distT="0" distB="0" distL="0" distR="0" simplePos="0" locked="0" layoutInCell="1" allowOverlap="1" relativeHeight="32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30" name="Frame29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(6)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(6)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370965" cy="233680"/>
                <wp:effectExtent l="0" t="0" r="0" b="0"/>
                <wp:wrapNone/>
                <wp:docPr id="2531" name="Frame29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96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consulting services to Innventure.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9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consulting services to Innventure.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32" name="Frame29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533" name="Frame29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Development Group, pursuant to which Dr. Scott, the founder and principal of Corporate Development Group, provided strategic guidance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Development Group, pursuant to which Dr. Scott, the founder and principal of Corporate Development Group, provided strategic guidance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34" name="Frame29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35" name="Frame29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Dr. Scott provided services to Innventure in a consulting capacity during 2024 through a contract between Innventure LLC and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Dr. Scott provided services to Innventure in a consulting capacity during 2024 through a contract between Innventure LLC and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36" name="Frame29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34365" cy="233680"/>
                <wp:effectExtent l="0" t="0" r="0" b="0"/>
                <wp:wrapNone/>
                <wp:docPr id="2537" name="Frame29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Ventures, LLC.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.9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Ventures, LLC.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38" name="Frame29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16840"/>
                <wp:effectExtent l="0" t="0" r="0" b="0"/>
                <wp:wrapNone/>
                <wp:docPr id="2539" name="Frame29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Mr. Otworth provided services to Innventure in a consulting capacity during 2024 through a contract between Innventure LLC and Sugar Grove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Mr. Otworth provided services to Innventure in a consulting capacity during 2024 through a contract between Innventure LLC and Sugar Grove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40" name="Frame29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(4)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(4)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775960" cy="233680"/>
                <wp:effectExtent l="0" t="0" r="0" b="0"/>
                <wp:wrapNone/>
                <wp:docPr id="2541" name="Frame29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596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 in this column represents matching contributions provided by Innventure under the 401(k) Plan (as defined and described below).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4.8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 in this column represents matching contributions provided by Innventure under the 401(k) Plan (as defined and described below).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8110" cy="233680"/>
                <wp:effectExtent l="0" t="0" r="0" b="0"/>
                <wp:wrapNone/>
                <wp:docPr id="2542" name="Frame29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(5)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.3pt;height:18.4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(5)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528310" cy="233680"/>
                <wp:effectExtent l="0" t="0" r="0" b="0"/>
                <wp:wrapNone/>
                <wp:docPr id="2543" name="Frame29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83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April 14, 2025. For more information regarding the awards disclosed in this column, see “2024 Equity-Based Compensation” below.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5.3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April 14, 2025. For more information regarding the awards disclosed in this column, see “2024 Equity-Based Compensation” below.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44" name="Frame29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45" name="Frame29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calculating the value of these awards, see Note 14 to the consolidated financial statements included in our 2024 Annual Report, filed with the SEC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calculating the value of these awards, see Note 14 to the consolidated financial statements included in our 2024 Annual Report, filed with the SEC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46" name="Frame29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547" name="Frame29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Company to the NEOs in 2024, each calculated in accordance with FASB ASC Topic 718. For information regarding the assumptions used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Company to the NEOs in 2024, each calculated in accordance with FASB ASC Topic 718. For information regarding the assumptions used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548" name="Frame29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1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549" name="Frame29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amounts in this column reflect the aggregate grant date fair values of option awards and stock appreciation right awards (“SARs”) granted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amounts in this column reflect the aggregate grant date fair values of option awards and stock appreciation right awards (“SARs”) granted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Key 2024 Named Executive Officer Compensation Components and Decisions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  <w:t>2024 Base Salary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  <w:t>2024 Bonus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23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550" name="Frame29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Pursuant to the terms of their employment or consulting arrangements, as applicable, the NEOs were entitled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Pursuant to the terms of their employment or consulting arrangements, as applicable, the NEOs were entitled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1" name="Frame29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16095" cy="293370"/>
                <wp:effectExtent l="0" t="0" r="0" b="0"/>
                <wp:wrapNone/>
                <wp:docPr id="2552" name="Frame29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0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base salaries or service fees, as applicable, at the following annual rates during 2024: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base salaries or service fees, as applicable, at the following annual rates during 2024: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553" name="Frame29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We did not modify the base salary or service fee rates of any of the NEOs during 2024. However, we increased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We did not modify the base salary or service fee rates of any of the NEOs during 2024. However, we increased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4" name="Frame29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50895" cy="293370"/>
                <wp:effectExtent l="0" t="0" r="0" b="0"/>
                <wp:wrapNone/>
                <wp:docPr id="2555" name="Frame29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08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base salary and service fee rates of the NEOs in January 2025.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3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base salary and service fee rates of the NEOs in January 2025.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34</w:t>
      </w:r>
      <w:r>
        <mc:AlternateContent>
          <mc:Choice Requires="wps">
            <w:drawing>
              <wp:anchor behindDoc="0" distT="0" distB="0" distL="0" distR="0" simplePos="0" locked="0" layoutInCell="1" allowOverlap="1" relativeHeight="325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6" name="Frame30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593215" cy="293370"/>
                <wp:effectExtent l="0" t="0" r="0" b="0"/>
                <wp:wrapNone/>
                <wp:docPr id="2557" name="Frame30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2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5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58" name="Frame30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559" name="Frame30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Haskell also earned a cash bonus of $2,500,000 in connection with the successful consummation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Haskell also earned a cash bonus of $2,500,000 in connection with the successful consummation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451735" cy="293370"/>
                <wp:effectExtent l="0" t="0" r="0" b="0"/>
                <wp:wrapNone/>
                <wp:docPr id="2560" name="Frame30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73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applicable service requirements have lapsed.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0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applicable service requirements have lapsed.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1" name="Frame30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62" name="Frame30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payment.  Such amounts are expected to be disclosed in a future Summary Compensation Table once payment is made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payment.  Such amounts are expected to be disclosed in a future Summary Compensation Table once payment is made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3" name="Frame30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564" name="Frame30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$255,000 for Dr. Scott. Payout of such amounts is generally contingent on the NEO’s continued service through the date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$255,000 for Dr. Scott. Payout of such amounts is generally contingent on the NEO’s continued service through the date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5" name="Frame30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66" name="Frame30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bonus, which corresponds to the following payout amounts: $255,000 for Mr. Haskell; $255,000 for Mr. Otworth;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bonus, which corresponds to the following payout amounts: $255,000 for Mr. Haskell; $255,000 for Mr. Otworth;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67" name="Frame30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568" name="Frame30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(or Board, as applicable), determined that each NEO notionally earned a payout percentage of 85% of the target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(or Board, as applicable), determined that each NEO notionally earned a payout percentage of 85% of the target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569" name="Frame29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of Messrs. Haskell and Otworth and Dr. Scott is eligible for a target 2024 annual bonus opportunity equal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of Messrs. Haskell and Otworth and Dr. Scott is eligible for a target 2024 annual bonus opportunity equal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570" name="Frame30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bonus goals were achieved (as shown in the table above) and that the stretch goal was not achieved. As such,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bonus goals were achieved (as shown in the table above) and that the stretch goal was not achieved. As such,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71" name="Frame30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572" name="Frame30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2025, the Compensation Committee (and the Board with respect to Mr. Haskell) determined that 85%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2025, the Compensation Committee (and the Board with respect to Mr. Haskell) determined that 85%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5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167255" cy="293370"/>
                <wp:effectExtent l="0" t="0" r="0" b="0"/>
                <wp:wrapNone/>
                <wp:docPr id="2573" name="Frame30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7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have resulted in an additional 50% payout.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have resulted in an additional 50% payout.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74" name="Frame30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8">
                <wp:simplePos x="0" y="0"/>
                <wp:positionH relativeFrom="page">
                  <wp:posOffset>5191125</wp:posOffset>
                </wp:positionH>
                <wp:positionV relativeFrom="line">
                  <wp:posOffset>635</wp:posOffset>
                </wp:positionV>
                <wp:extent cx="1837690" cy="146685"/>
                <wp:effectExtent l="0" t="0" r="0" b="0"/>
                <wp:wrapNone/>
                <wp:docPr id="2575" name="Frame30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6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) operating company), which would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4.7pt;height:11.55pt;mso-wrap-distance-left:0pt;mso-wrap-distance-right:0pt;mso-wrap-distance-top:0pt;mso-wrap-distance-bottom:0pt;margin-top:0pt;mso-position-vertical:top;mso-position-vertical-relative:text;margin-left:408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) operating company), which would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926840" cy="146685"/>
                <wp:effectExtent l="0" t="0" r="0" b="0"/>
                <wp:wrapNone/>
                <wp:docPr id="2576" name="Frame29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68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2024 bonuses were also subject to a stretch goal (formation of a new (5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9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2024 bonuses were also subject to a stretch goal (formation of a new (5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996815" cy="293370"/>
                <wp:effectExtent l="0" t="0" r="0" b="0"/>
                <wp:wrapNone/>
                <wp:docPr id="2577" name="Frame29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68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LLC. The 2024 bonus goals and applicable weighting percentages are set forth on the table below: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3.4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LLC. The 2024 bonus goals and applicable weighting percentages are set forth on the table below: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78" name="Frame29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579" name="Frame29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$300,000 based on Innventure’s performance against certain goals established by the board of directors of Innventure,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$300,000 based on Innventure’s performance against certain goals established by the board of directors of Innventure,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4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0" name="Frame29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/>
          <w:strike w:val="false"/>
          <w:dstrike w:val="false"/>
          <w:sz w:val="20"/>
          <w:u w:val="none"/>
          <w:effect w:val="none"/>
          <w:shd w:fill="E4E4E4" w:val="clear"/>
        </w:rPr>
        <w:t>2024 Equity-Based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Policies and Practices Related to the Grant of Certain Equity Awards</w:t>
      </w:r>
      <w:r>
        <mc:AlternateContent>
          <mc:Choice Requires="wps">
            <w:drawing>
              <wp:anchor behindDoc="0" distT="0" distB="0" distL="0" distR="0" simplePos="0" locked="0" layoutInCell="1" allowOverlap="1" relativeHeight="33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581" name="Frame30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Holdings have received the return of an amount specified with respect to the Refinity Incentive Unit award (the “Refinity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Holdings have received the return of an amount specified with respect to the Refinity Incentive Unit award (the “Refinity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582" name="Frame30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March 2024, Accelsius granted 100,000 Class C Units of Accelsius (“Accelsius Incentive Units”) to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March 2024, Accelsius granted 100,000 Class C Units of Accelsius (“Accelsius Incentive Units”) to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4">
                <wp:simplePos x="0" y="0"/>
                <wp:positionH relativeFrom="page">
                  <wp:posOffset>2959735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3" name="Frame30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33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216785" cy="293370"/>
                <wp:effectExtent l="0" t="0" r="0" b="0"/>
                <wp:wrapNone/>
                <wp:docPr id="2584" name="Frame30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7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Refinity Holdings or one of its subsidiaries.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4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Refinity Holdings or one of its subsidiaries.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5" name="Frame30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586" name="Frame30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one-year anniversary of the grant date and 9.375% vesting quarterly thereafter, subject to each NEO’s continued service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one-year anniversary of the grant date and 9.375% vesting quarterly thereafter, subject to each NEO’s continued service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7" name="Frame30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588" name="Frame30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Distribution Threshold”). The Refinity Incentive Units generally vest over a three-year period, with 25% vesting on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Distribution Threshold”). The Refinity Incentive Units generally vest over a three-year period, with 25% vesting on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89" name="Frame30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0" name="Frame30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1" name="Frame30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592" name="Frame30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entitle the holders thereof to participate in distributions of Refinity Holdings after certain members of Refinity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entitle the holders thereof to participate in distributions of Refinity Holdings after certain members of Refinity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3" name="Frame30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594" name="Frame30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have any voting rights with respect to such Refinity Incentive Units except as required by law. The Refinity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have any voting rights with respect to such Refinity Incentive Units except as required by law. The Refinity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5" name="Frame30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293370"/>
                <wp:effectExtent l="0" t="0" r="0" b="0"/>
                <wp:wrapNone/>
                <wp:docPr id="2596" name="Frame30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are intended to be “profits interests” for U.S. federal income tax purposes, and holders of Refinity Incentive Units did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are intended to be “profits interests” for U.S. federal income tax purposes, and holders of Refinity Incentive Units did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0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597" name="Frame30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598" name="Frame30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Incentive Units”) to each of our NEOs pursuant to the Refinity Holdings PI Unit Incentive Plan. The Refinity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Incentive Units”) to each of our NEOs pursuant to the Refinity Holdings PI Unit Incentive Plan. The Refinity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599" name="Frame30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Otworth. The Accelsius Incentive Units are intended to be “profits interests” for U.S. federal income tax purposes,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Otworth. The Accelsius Incentive Units are intended to be “profits interests” for U.S. federal income tax purposes,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0" name="Frame30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1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601" name="Frame30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holders of Accelsius Incentive Units do not have any voting rights with respect to such Accelsius Incentive Units except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holders of Accelsius Incentive Units do not have any voting rights with respect to such Accelsius Incentive Units except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2" name="Frame30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03" name="Frame30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required by law. The Accelsius Incentive Units entitle the holders thereof to participate in distributions of Accelsius after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required by law. The Accelsius Incentive Units entitle the holders thereof to participate in distributions of Accelsius after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4" name="Frame30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05" name="Frame30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certain members of Accelsius have received the return of an amount specified with respect to the Accelsius Incentive Unit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certain members of Accelsius have received the return of an amount specified with respect to the Accelsius Incentive Unit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6" name="Frame30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07" name="Frame30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(the “Accelsius Distribution Threshold”). Mr. Otworth’s Accelsius Incentive Units were granted with an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(the “Accelsius Distribution Threshold”). Mr. Otworth’s Accelsius Incentive Units were granted with an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08" name="Frame30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09" name="Frame30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Distribution Threshold of $4.41. The Accelsius Incentive Units generally vest over a three-year period, with 25% vesting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Distribution Threshold of $4.41. The Accelsius Incentive Units generally vest over a three-year period, with 25% vesting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0" name="Frame30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2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11" name="Frame30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the grant date and 9.375% vesting quarterly beginning on the one-year anniversary of the grant date, subject to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the grant date and 9.375% vesting quarterly beginning on the one-year anniversary of the grant date, subject to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2" name="Frame30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397250" cy="293370"/>
                <wp:effectExtent l="0" t="0" r="0" b="0"/>
                <wp:wrapNone/>
                <wp:docPr id="2613" name="Frame30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72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Otworth’s continued service to Accelsius or one of its subsidiaries.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67.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Otworth’s continued service to Accelsius or one of its subsidiaries.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3">
                <wp:simplePos x="0" y="0"/>
                <wp:positionH relativeFrom="page">
                  <wp:posOffset>6479540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4" name="Frame30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10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5" name="Frame30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16" name="Frame30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Compensation Plan (the “2024 Plan”). The 2024 Plan allows for equity compensation awards to our directors, employees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Compensation Plan (the “2024 Plan”). The 2024 Plan allows for equity compensation awards to our directors, employees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17" name="Frame30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786255" cy="293370"/>
                <wp:effectExtent l="0" t="0" r="0" b="0"/>
                <wp:wrapNone/>
                <wp:docPr id="2618" name="Frame30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certain other service providers.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certain other service providers.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19" name="Frame30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December 2024, the Compensation Committee approved equity incentive awards for the NEOs consisting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December 2024, the Compensation Committee approved equity incentive awards for the NEOs consisting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20" name="Frame30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033645" cy="293370"/>
                <wp:effectExtent l="0" t="0" r="0" b="0"/>
                <wp:wrapNone/>
                <wp:docPr id="2621" name="Frame30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36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service-based RSUs and stock options under the 2024 Plan. Awards for our NEOs were as follows: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6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service-based RSUs and stock options under the 2024 Plan. Awards for our NEOs were as follows: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622" name="Frame30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2623" name="Frame30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928995" cy="262890"/>
                <wp:effectExtent l="0" t="0" r="0" b="0"/>
                <wp:wrapNone/>
                <wp:docPr id="2624" name="Frame30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89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 options set forth in the table above were granted with an exercise price of $12.20, the closing stock price on the date of grant.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6.8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 options set forth in the table above were granted with an exercise price of $12.20, the closing stock price on the date of grant.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25" name="Frame30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general, the options and RSUs granted to Mr. Otworth and Dr. Scott vest on October 2, 2025, or, if earlier, 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general, the options and RSUs granted to Mr. Otworth and Dr. Scott vest on October 2, 2025, or, if earlier, 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7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26" name="Frame30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27" name="Frame30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same date that the lock-up set forth in the contractual lock-up agreement entered into by such individual on October 24,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same date that the lock-up set forth in the contractual lock-up agreement entered into by such individual on October 24,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28" name="Frame30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36590" cy="293370"/>
                <wp:effectExtent l="0" t="0" r="0" b="0"/>
                <wp:wrapNone/>
                <wp:docPr id="2629" name="Frame30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65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2023 terminates pursuant to its terms, subject to each NEO’s continuous service until the applicable vesting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2023 terminates pursuant to its terms, subject to each NEO’s continuous service until the applicable vesting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630" name="Frame30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connection with the Business Combination, we adopted the Innventure, Inc. 2024 Equity and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connection with the Business Combination, we adopted the Innventure, Inc. 2024 Equity and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31" name="Frame30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December 2024, the Compensation Committee also approved a grant of 150,000 SARs (the “Accelsius SARs”)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December 2024, the Compensation Committee also approved a grant of 150,000 SARs (the “Accelsius SARs”)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2" name="Frame30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33" name="Frame30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each of Mr. Otworth and Dr. Scott. The Accelsius SARs each represent the right of the participant to receive a number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each of Mr. Otworth and Dr. Scott. The Accelsius SARs each represent the right of the participant to receive a number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4" name="Frame30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35" name="Frame30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shares of Common Stock with a value equal to the appreciation in the value of a Class A Common Unit of Accelsius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shares of Common Stock with a value equal to the appreciation in the value of a Class A Common Unit of Accelsius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8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6" name="Frame30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37" name="Frame30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over a base price of $12.175. In general, the Accelsius SARs will be automatically exercised upon the earliest to occur of: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over a base price of $12.175. In general, the Accelsius SARs will be automatically exercised upon the earliest to occur of: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38" name="Frame30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39" name="Frame30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(i) the 24-month anniversary of the grant date, (ii) the participant’s death, or (iii) the participant’s “disability” (as defined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(i) the 24-month anniversary of the grant date, (ii) the participant’s death, or (iii) the participant’s “disability” (as defined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0" name="Frame30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41" name="Frame30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applicable award agreement). The Compensation Committee may, in its discretion, determine that the participant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applicable award agreement). The Compensation Committee may, in its discretion, determine that the participant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2" name="Frame30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08505" cy="293370"/>
                <wp:effectExtent l="0" t="0" r="0" b="0"/>
                <wp:wrapNone/>
                <wp:docPr id="2643" name="Frame30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85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receive cash instead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receive cash instead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644" name="Frame30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December 11, 2024, Refinity Holdings granted 109,000 Class PI Units of Refinity Holdings (“Refinity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December 11, 2024, Refinity Holdings granted 109,000 Class PI Units of Refinity Holdings (“Refinity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9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5" name="Frame30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35</w:t>
      </w:r>
      <w:r>
        <mc:AlternateContent>
          <mc:Choice Requires="wps">
            <w:drawing>
              <wp:anchor behindDoc="0" distT="0" distB="0" distL="0" distR="0" simplePos="0" locked="0" layoutInCell="1" allowOverlap="1" relativeHeight="333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646" name="Frame30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Compensation Committee approves equity awards granted to our NEOs on or before the grant date, but grants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Compensation Committee approves equity awards granted to our NEOs on or before the grant date, but grants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3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47" name="Frame30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09550" cy="146685"/>
                <wp:effectExtent l="0" t="0" r="0" b="0"/>
                <wp:wrapNone/>
                <wp:docPr id="2648" name="Frame30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are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6.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are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5">
                <wp:simplePos x="0" y="0"/>
                <wp:positionH relativeFrom="page">
                  <wp:posOffset>952500</wp:posOffset>
                </wp:positionH>
                <wp:positionV relativeFrom="line">
                  <wp:posOffset>635</wp:posOffset>
                </wp:positionV>
                <wp:extent cx="2583180" cy="146685"/>
                <wp:effectExtent l="0" t="0" r="0" b="0"/>
                <wp:wrapNone/>
                <wp:docPr id="2649" name="Frame3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 currently made on a predetermined schedule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3.4pt;height:11.55pt;mso-wrap-distance-left:0pt;mso-wrap-distance-right:0pt;mso-wrap-distance-top:0pt;mso-wrap-distance-bottom:0pt;margin-top:0pt;mso-position-vertical:top;mso-position-vertical-relative:text;margin-left: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 currently made on a predetermined schedule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6">
                <wp:simplePos x="0" y="0"/>
                <wp:positionH relativeFrom="page">
                  <wp:posOffset>3535680</wp:posOffset>
                </wp:positionH>
                <wp:positionV relativeFrom="line">
                  <wp:posOffset>635</wp:posOffset>
                </wp:positionV>
                <wp:extent cx="31750" cy="146685"/>
                <wp:effectExtent l="0" t="0" r="0" b="0"/>
                <wp:wrapNone/>
                <wp:docPr id="2650" name="Frame3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1.55pt;mso-wrap-distance-left:0pt;mso-wrap-distance-right:0pt;mso-wrap-distance-top:0pt;mso-wrap-distance-bottom:0pt;margin-top:0pt;mso-position-vertical:top;mso-position-vertical-relative:text;margin-left:278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7">
                <wp:simplePos x="0" y="0"/>
                <wp:positionH relativeFrom="page">
                  <wp:posOffset>3567430</wp:posOffset>
                </wp:positionH>
                <wp:positionV relativeFrom="line">
                  <wp:posOffset>635</wp:posOffset>
                </wp:positionV>
                <wp:extent cx="54610" cy="175260"/>
                <wp:effectExtent l="0" t="0" r="0" b="0"/>
                <wp:wrapNone/>
                <wp:docPr id="2651" name="Frame3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3pt;height:13.8pt;mso-wrap-distance-left:0pt;mso-wrap-distance-right:0pt;mso-wrap-distance-top:0pt;mso-wrap-distance-bottom:0pt;margin-top:0pt;mso-position-vertical:top;mso-position-vertical-relative:text;margin-left:280.9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8">
                <wp:simplePos x="0" y="0"/>
                <wp:positionH relativeFrom="page">
                  <wp:posOffset>3622040</wp:posOffset>
                </wp:positionH>
                <wp:positionV relativeFrom="line">
                  <wp:posOffset>635</wp:posOffset>
                </wp:positionV>
                <wp:extent cx="1657985" cy="146685"/>
                <wp:effectExtent l="0" t="0" r="0" b="0"/>
                <wp:wrapNone/>
                <wp:docPr id="2652" name="Frame3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9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The Compensation Committee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0.55pt;height:11.55pt;mso-wrap-distance-left:0pt;mso-wrap-distance-right:0pt;mso-wrap-distance-top:0pt;mso-wrap-distance-bottom:0pt;margin-top:0pt;mso-position-vertical:top;mso-position-vertical-relative:text;margin-left:285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The Compensation Committee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39">
                <wp:simplePos x="0" y="0"/>
                <wp:positionH relativeFrom="page">
                  <wp:posOffset>5280025</wp:posOffset>
                </wp:positionH>
                <wp:positionV relativeFrom="line">
                  <wp:posOffset>635</wp:posOffset>
                </wp:positionV>
                <wp:extent cx="715645" cy="146685"/>
                <wp:effectExtent l="0" t="0" r="0" b="0"/>
                <wp:wrapNone/>
                <wp:docPr id="2653" name="Frame3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does not take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6.35pt;height:11.55pt;mso-wrap-distance-left:0pt;mso-wrap-distance-right:0pt;mso-wrap-distance-top:0pt;mso-wrap-distance-bottom:0pt;margin-top:0pt;mso-position-vertical:top;mso-position-vertical-relative:text;margin-left:415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does not take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0">
                <wp:simplePos x="0" y="0"/>
                <wp:positionH relativeFrom="page">
                  <wp:posOffset>5995670</wp:posOffset>
                </wp:positionH>
                <wp:positionV relativeFrom="line">
                  <wp:posOffset>635</wp:posOffset>
                </wp:positionV>
                <wp:extent cx="1032510" cy="146685"/>
                <wp:effectExtent l="0" t="0" r="0" b="0"/>
                <wp:wrapNone/>
                <wp:docPr id="2654" name="Frame3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25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material nonpublic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3pt;height:11.55pt;mso-wrap-distance-left:0pt;mso-wrap-distance-right:0pt;mso-wrap-distance-top:0pt;mso-wrap-distance-bottom:0pt;margin-top:0pt;mso-position-vertical:top;mso-position-vertical-relative:text;margin-left:472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material nonpublic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55" name="Frame3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23205" cy="146685"/>
                <wp:effectExtent l="0" t="0" r="0" b="0"/>
                <wp:wrapNone/>
                <wp:docPr id="2656" name="Frame3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32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 xml:space="preserve">information into account when determining the timing and terms of such awards. The Company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9.1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 xml:space="preserve">information into account when determining the timing and terms of such awards. The Company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3">
                <wp:simplePos x="0" y="0"/>
                <wp:positionH relativeFrom="page">
                  <wp:posOffset>6066155</wp:posOffset>
                </wp:positionH>
                <wp:positionV relativeFrom="line">
                  <wp:posOffset>635</wp:posOffset>
                </wp:positionV>
                <wp:extent cx="744855" cy="146685"/>
                <wp:effectExtent l="0" t="0" r="0" b="0"/>
                <wp:wrapNone/>
                <wp:docPr id="2657" name="Frame3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 not timed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65pt;height:11.55pt;mso-wrap-distance-left:0pt;mso-wrap-distance-right:0pt;mso-wrap-distance-top:0pt;mso-wrap-distance-bottom:0pt;margin-top:0pt;mso-position-vertical:top;mso-position-vertical-relative:text;margin-left:477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 not timed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4">
                <wp:simplePos x="0" y="0"/>
                <wp:positionH relativeFrom="page">
                  <wp:posOffset>6811010</wp:posOffset>
                </wp:positionH>
                <wp:positionV relativeFrom="line">
                  <wp:posOffset>635</wp:posOffset>
                </wp:positionV>
                <wp:extent cx="217170" cy="146685"/>
                <wp:effectExtent l="0" t="0" r="0" b="0"/>
                <wp:wrapNone/>
                <wp:docPr id="2658" name="Frame3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7.1pt;height:11.55pt;mso-wrap-distance-left:0pt;mso-wrap-distance-right:0pt;mso-wrap-distance-top:0pt;mso-wrap-distance-bottom:0pt;margin-top:0pt;mso-position-vertical:top;mso-position-vertical-relative:text;margin-left:536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59" name="Frame3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05780" cy="293370"/>
                <wp:effectExtent l="0" t="0" r="0" b="0"/>
                <wp:wrapNone/>
                <wp:docPr id="2660" name="Frame3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57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disclosure of material nonpublic information for the purpose of affecting the value of executive compensation.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disclosure of material nonpublic information for the purpose of affecting the value of executive compensation.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Incentive Units Granted in Prior Years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Innventure LLC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/>
          <w:strike w:val="false"/>
          <w:dstrike w:val="false"/>
          <w:sz w:val="20"/>
          <w:u w:val="none"/>
          <w:effect w:val="none"/>
          <w:shd w:fill="E4E4E4" w:val="clear"/>
        </w:rPr>
        <w:t>Accelsius</w:t>
      </w:r>
      <w:r>
        <mc:AlternateContent>
          <mc:Choice Requires="wps">
            <w:drawing>
              <wp:anchor behindDoc="0" distT="0" distB="0" distL="0" distR="0" simplePos="0" locked="0" layoutInCell="1" allowOverlap="1" relativeHeight="336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1" name="Frame3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352925" cy="293370"/>
                <wp:effectExtent l="0" t="0" r="0" b="0"/>
                <wp:wrapNone/>
                <wp:docPr id="2662" name="Frame3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9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did not grant Innventure Incentive Units to any of the NEOs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2.7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did not grant Innventure Incentive Units to any of the NEOs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205730" cy="293370"/>
                <wp:effectExtent l="0" t="0" r="0" b="0"/>
                <wp:wrapNone/>
                <wp:docPr id="2663" name="Frame3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57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Haskell received 705,655 shares of Common Stock with respect to his Innventure Incentive Units.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9.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Haskell received 705,655 shares of Common Stock with respect to his Innventure Incentive Units.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4" name="Frame3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65" name="Frame3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Common Stock. In accordance with the applicable allocation schedule pursuant to the Business Combination Agreement,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Common Stock. In accordance with the applicable allocation schedule pursuant to the Business Combination Agreement,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6" name="Frame3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67" name="Frame3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$2.2973. At the time of the Business Combination, these Innventure Incentive Units were exchanged for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$2.2973. At the time of the Business Combination, these Innventure Incentive Units were exchanged for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68" name="Frame3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69" name="Frame3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Combination, Mr. Haskell held 430,000 Innventure Incentive Units with an Innventure Distribution Threshold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Combination, Mr. Haskell held 430,000 Innventure Incentive Units with an Innventure Distribution Threshold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0" name="Frame3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671" name="Frame3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held by the NEOs vested in full and were canceled and exchanged for shares of Common Stock. At the time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held by the NEOs vested in full and were canceled and exchanged for shares of Common Stock. At the time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2" name="Frame3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6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73" name="Frame3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(the “Innventure Distribution Threshold”). At the time of the Business Combination, unvested Innventure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(the “Innventure Distribution Threshold”). At the time of the Business Combination, unvested Innventure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674" name="Frame3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prior years, Innventure LLC granted Class C Units of Innventure LLC (“Innventure Incentive Units”) to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prior years, Innventure LLC granted Class C Units of Innventure LLC (“Innventure Incentive Units”) to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75" name="Frame3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members of Innventure LLC have received the return of an amount specified with respect to the Innventure Incentive Unit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members of Innventure LLC have received the return of an amount specified with respect to the Innventure Incentive Unit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6" name="Frame3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77" name="Frame3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Innventure Incentive Units entitled the holders thereof to participate in distributions of Innventure LLC after certain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Innventure Incentive Units entitled the holders thereof to participate in distributions of Innventure LLC after certain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78" name="Frame3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679" name="Frame3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Incentive Units did not have any voting rights with respect to such Innventure Incentive Units except as required by law.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Incentive Units did not have any voting rights with respect to such Innventure Incentive Units except as required by law.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0" name="Frame3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81" name="Frame3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Incentive Units were intended to be “profits interests” for U.S. federal income tax purposes, and holders of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Incentive Units were intended to be “profits interests” for U.S. federal income tax purposes, and holders of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2" name="Frame3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683" name="Frame3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 of Innventure LLC, as subsequently amended or amended and restated from time to time. The Innventure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 of Innventure LLC, as subsequently amended or amended and restated from time to time. The Innventure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4" name="Frame3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85" name="Frame3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providers, including Mr. Haskell, pursuant to the Fourth Amended and Restated Limited Liability Company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providers, including Mr. Haskell, pursuant to the Fourth Amended and Restated Limited Liability Company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6" name="Frame3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Employment and Consulting Arrangements with our NEOs</w:t>
      </w:r>
      <w:r>
        <mc:AlternateContent>
          <mc:Choice Requires="wps">
            <w:drawing>
              <wp:anchor behindDoc="0" distT="0" distB="0" distL="0" distR="0" simplePos="0" locked="0" layoutInCell="1" allowOverlap="1" relativeHeight="33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687" name="Frame3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prior years, Accelsius granted Accelsius Incentive Units to certain service providers, including Mr. Haskell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prior years, Accelsius granted Accelsius Incentive Units to certain service providers, including Mr. Haskell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88" name="Frame3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89" name="Frame3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Scott, pursuant to the Limited Liability Company Agreement of Accelsius.  At the time of the Business Combination,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Scott, pursuant to the Limited Liability Company Agreement of Accelsius.  At the time of the Business Combination,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0" name="Frame3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691" name="Frame3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unvested Accelsius Incentive Units held by the NEOs remained outstanding in accordance with the terms of the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unvested Accelsius Incentive Units held by the NEOs remained outstanding in accordance with the terms of the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2" name="Frame3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840480" cy="293370"/>
                <wp:effectExtent l="0" t="0" r="0" b="0"/>
                <wp:wrapNone/>
                <wp:docPr id="2693" name="Frame3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04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agreements pursuant to which such Accelsius Incentive Units were granted.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02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agreements pursuant to which such Accelsius Incentive Units were granted.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36</w:t>
      </w:r>
      <w:r>
        <mc:AlternateContent>
          <mc:Choice Requires="wps">
            <w:drawing>
              <wp:anchor behindDoc="0" distT="0" distB="0" distL="0" distR="0" simplePos="0" locked="0" layoutInCell="1" allowOverlap="1" relativeHeight="33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4" name="Frame31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5" name="Frame31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696" name="Frame31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Agreement, Mr. Otworth serves as the primary contact and responsible party in carrying out the services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Agreement, Mr. Otworth serves as the primary contact and responsible party in carrying out the services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7" name="Frame31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698" name="Frame31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Sugar Grove Ventures, LLC, an independent contractor (the “Otworth Service Agreement”). Pursuant to the Otworth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Sugar Grove Ventures, LLC, an independent contractor (the “Otworth Service Agreement”). Pursuant to the Otworth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699" name="Frame31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1">
                <wp:simplePos x="0" y="0"/>
                <wp:positionH relativeFrom="page">
                  <wp:posOffset>1964055</wp:posOffset>
                </wp:positionH>
                <wp:positionV relativeFrom="line">
                  <wp:posOffset>635</wp:posOffset>
                </wp:positionV>
                <wp:extent cx="5063490" cy="146685"/>
                <wp:effectExtent l="0" t="0" r="0" b="0"/>
                <wp:wrapNone/>
                <wp:docPr id="2700" name="Frame31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49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is party to a Contractor Agreement for Services, effective November 16, 2023,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7pt;height:11.55pt;mso-wrap-distance-left:0pt;mso-wrap-distance-right:0pt;mso-wrap-distance-top:0pt;mso-wrap-distance-bottom:0pt;margin-top:0pt;mso-position-vertical:top;mso-position-vertical-relative:text;margin-left:154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is party to a Contractor Agreement for Services, effective November 16, 2023,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763905" cy="146685"/>
                <wp:effectExtent l="0" t="0" r="0" b="0"/>
                <wp:wrapNone/>
                <wp:docPr id="2701" name="Frame31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Mike Otworth: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0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Mike Otworth: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99285" cy="293370"/>
                <wp:effectExtent l="0" t="0" r="0" b="0"/>
                <wp:wrapNone/>
                <wp:docPr id="2702" name="Frame31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28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increased again to $700,000 per year.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.5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increased again to $700,000 per year.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363345" cy="293370"/>
                <wp:effectExtent l="0" t="0" r="0" b="0"/>
                <wp:wrapNone/>
                <wp:docPr id="2703" name="Frame3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3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Gregory W. (Bill) Haskell: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7.35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Gregory W. (Bill) Haskell: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04" name="Frame31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LLC. Mr. Haskell’s base salary in 2024 was $300,000 per year. In January 2025, Mr. Haskell’s base salary was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LLC. Mr. Haskell’s base salary in 2024 was $300,000 per year. In January 2025, Mr. Haskell’s base salary was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05" name="Frame31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06" name="Frame3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 opportunity for Mr. Haskell to receive certain equity awards from Innventure LLC and new companies affiliated with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 opportunity for Mr. Haskell to receive certain equity awards from Innventure LLC and new companies affiliated with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07" name="Frame3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75260"/>
                <wp:effectExtent l="0" t="0" r="0" b="0"/>
                <wp:wrapNone/>
                <wp:docPr id="2708" name="Frame3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Haskell Letter”). The Haskell Letter provides for, among other things, an initial base salary rate of $200,000 per year,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Haskell Letter”). The Haskell Letter provides for, among other things, an initial base salary rate of $200,000 per year,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09" name="Frame31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81">
                <wp:simplePos x="0" y="0"/>
                <wp:positionH relativeFrom="page">
                  <wp:posOffset>2563495</wp:posOffset>
                </wp:positionH>
                <wp:positionV relativeFrom="line">
                  <wp:posOffset>635</wp:posOffset>
                </wp:positionV>
                <wp:extent cx="4465955" cy="146685"/>
                <wp:effectExtent l="0" t="0" r="0" b="0"/>
                <wp:wrapNone/>
                <wp:docPr id="2710" name="Frame3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59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is party to an offer letter, dated January 5, 2021, with Mr. Haskell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1.65pt;height:11.55pt;mso-wrap-distance-left:0pt;mso-wrap-distance-right:0pt;mso-wrap-distance-top:0pt;mso-wrap-distance-bottom:0pt;margin-top:0pt;mso-position-vertical:top;mso-position-vertical-relative:text;margin-left:201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is party to an offer letter, dated January 5, 2021, with Mr. Haskell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Outstanding Equity Awards at 2024 Fiscal Year-End</w:t>
      </w:r>
      <w:r>
        <mc:AlternateContent>
          <mc:Choice Requires="wps">
            <w:drawing>
              <wp:anchor behindDoc="0" distT="0" distB="0" distL="0" distR="0" simplePos="0" locked="0" layoutInCell="1" allowOverlap="1" relativeHeight="3405">
                <wp:simplePos x="0" y="0"/>
                <wp:positionH relativeFrom="page">
                  <wp:posOffset>2040890</wp:posOffset>
                </wp:positionH>
                <wp:positionV relativeFrom="line">
                  <wp:posOffset>635</wp:posOffset>
                </wp:positionV>
                <wp:extent cx="4987925" cy="146685"/>
                <wp:effectExtent l="0" t="0" r="0" b="0"/>
                <wp:wrapNone/>
                <wp:docPr id="2711" name="Frame31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79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 is party to a Statement of Work, effective April 1, 2018, with Corporate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75pt;height:11.55pt;mso-wrap-distance-left:0pt;mso-wrap-distance-right:0pt;mso-wrap-distance-top:0pt;mso-wrap-distance-bottom:0pt;margin-top:0pt;mso-position-vertical:top;mso-position-vertical-relative:text;margin-left:160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 is party to a Statement of Work, effective April 1, 2018, with Corporate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92300" cy="293370"/>
                <wp:effectExtent l="0" t="0" r="0" b="0"/>
                <wp:wrapNone/>
                <wp:docPr id="2712" name="Frame32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fee was increased to $37,500.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fee was increased to $37,500.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3" name="Frame32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14" name="Frame32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and consulting services to Innventure LLC for a monthly service fee of $25,000. In January 2025, Dr. Scott’s monthly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and consulting services to Innventure LLC for a monthly service fee of $25,000. In January 2025, Dr. Scott’s monthly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5" name="Frame3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16" name="Frame31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Agreement”). Pursuant to the Scott Service Agreement, Corporate Development Group LLC provides strategic guidance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Agreement”). Pursuant to the Scott Service Agreement, Corporate Development Group LLC provides strategic guidance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7" name="Frame31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18" name="Frame31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Development Group LLC, an independent contractor (“Corporate Development Group”) (as amended, the “Scott Service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Development Group LLC, an independent contractor (“Corporate Development Group”) (as amended, the “Scott Service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19" name="Frame31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20" name="Frame31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contemplated under the Otworth Service Agreement on behalf of Sugar Grove Ventures, LLC. Pursuant to the Otworth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contemplated under the Otworth Service Agreement on behalf of Sugar Grove Ventures, LLC. Pursuant to the Otworth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40740" cy="146685"/>
                <wp:effectExtent l="0" t="0" r="0" b="0"/>
                <wp:wrapNone/>
                <wp:docPr id="2721" name="Frame31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7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Dr. John Scott: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2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Dr. John Scott: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92300" cy="293370"/>
                <wp:effectExtent l="0" t="0" r="0" b="0"/>
                <wp:wrapNone/>
                <wp:docPr id="2722" name="Frame31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fee was increased to $37,500.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9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fee was increased to $37,500.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3" name="Frame31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724" name="Frame31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fee of $25,000 and a target bonus equal to 100% of annual consulting fees. In January 2025, Mr. Otworth’s monthly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fee of $25,000 and a target bonus equal to 100% of annual consulting fees. In January 2025, Mr. Otworth’s monthly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5" name="Frame31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26" name="Frame31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Agreement, Sugar Grove Ventures, LLC provides consulting tasks as assigned in exchange for a monthly service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Agreement, Sugar Grove Ventures, LLC provides consulting tasks as assigned in exchange for a monthly service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9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27" name="Frame31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37</w:t>
      </w:r>
      <w:r>
        <mc:AlternateContent>
          <mc:Choice Requires="wps">
            <w:drawing>
              <wp:anchor behindDoc="0" distT="0" distB="0" distL="0" distR="0" simplePos="0" locked="0" layoutInCell="1" allowOverlap="1" relativeHeight="3449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28" name="Frame33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29" name="Frame33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In general, these RSUs will vest on October 2, 2025, or, if earlier, on the same date that the lock-up set forth in the contractual lock-up agreement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In general, these RSUs will vest on October 2, 2025, or, if earlier, on the same date that the lock-up set forth in the contractual lock-up agreement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0" name="Frame33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31" name="Frame33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entered into by such individual on October 24, 2023 terminates pursuant to its terms, subject to each NEO’s continuous service until the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entered into by such individual on October 24, 2023 terminates pursuant to its terms, subject to each NEO’s continuous service until the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2" name="Frame33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13080" cy="233680"/>
                <wp:effectExtent l="0" t="0" r="0" b="0"/>
                <wp:wrapNone/>
                <wp:docPr id="2733" name="Frame33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08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vesting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.4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vesting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34" name="Frame33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March 22, 2024, Accelsius granted to Mr. Otworth 100,000 Accelsius Incentive Units, with an Accelsius Distribution Threshold of $4.41.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March 22, 2024, Accelsius granted to Mr. Otworth 100,000 Accelsius Incentive Units, with an Accelsius Distribution Threshold of $4.41.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5" name="Frame33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36" name="Frame33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general, these Accelsius Incentive Units will vest over a three-year period, with 25% vesting on the grant date and 9.375% vesting quarterly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general, these Accelsius Incentive Units will vest over a three-year period, with 25% vesting on the grant date and 9.375% vesting quarterly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37" name="Frame33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612130" cy="233680"/>
                <wp:effectExtent l="0" t="0" r="0" b="0"/>
                <wp:wrapNone/>
                <wp:docPr id="2738" name="Frame33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13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beginning on the one-year anniversary of the grant date, subject to Mr. Otworth’s continued service to Accelsius or one of its subsidiaries.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.9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beginning on the one-year anniversary of the grant date, subject to Mr. Otworth’s continued service to Accelsius or one of its subsidiaries.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4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39" name="Frame33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Because Accelsius was not publicly traded during 2024, these amounts represent the estimated market value of the unvested Accelsius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Because Accelsius was not publicly traded during 2024, these amounts represent the estimated market value of the unvested Accelsius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806450" cy="233680"/>
                <wp:effectExtent l="0" t="0" r="0" b="0"/>
                <wp:wrapNone/>
                <wp:docPr id="2740" name="Frame33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quarterly thereafter.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3.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quarterly thereafter.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41" name="Frame33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Units held by each of the NEOs as of December 31, 2024, as more fully described above under the heading “2024 Equity-Based Compensation,”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Units held by each of the NEOs as of December 31, 2024, as more fully described above under the heading “2024 Equity-Based Compensation,”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42" name="Frame33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549525" cy="233680"/>
                <wp:effectExtent l="0" t="0" r="0" b="0"/>
                <wp:wrapNone/>
                <wp:docPr id="2743" name="Frame33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952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based on an external valuation dated as of December 31,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7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based on an external valuation dated as of December 31,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44" name="Frame33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May 5, 2022, Accelsius granted to Dr. Scott 100,000 Accelsius Incentive Units, with an Accelsius Distribution Threshold of $0.00. Such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May 5, 2022, Accelsius granted to Dr. Scott 100,000 Accelsius Incentive Units, with an Accelsius Distribution Threshold of $0.00. Such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45" name="Frame33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46" name="Frame33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Accelsius Incentive Units were 25% vested on the date of grant, and the remainder of the Accelsius Incentive Units vest in eight substantially equal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Accelsius Incentive Units were 25% vested on the date of grant, and the remainder of the Accelsius Incentive Units vest in eight substantially equal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47" name="Frame33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16840"/>
                <wp:effectExtent l="0" t="0" r="0" b="0"/>
                <wp:wrapNone/>
                <wp:docPr id="2748" name="Frame33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quarterly installments beginning 12 months after the date of grant. For a discussion of the treatment of the NEOs’ Incentive Units in the Business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quarterly installments beginning 12 months after the date of grant. For a discussion of the treatment of the NEOs’ Incentive Units in the Business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49" name="Frame33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5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690495" cy="233680"/>
                <wp:effectExtent l="0" t="0" r="0" b="0"/>
                <wp:wrapNone/>
                <wp:docPr id="2750" name="Frame33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049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Combination, see “Incentive Units Granted in Prior Years”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1.8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Combination, see “Incentive Units Granted in Prior Years”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6">
                <wp:simplePos x="0" y="0"/>
                <wp:positionH relativeFrom="page">
                  <wp:posOffset>7026275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51" name="Frame32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52" name="Frame32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645920" cy="293370"/>
                <wp:effectExtent l="0" t="0" r="0" b="0"/>
                <wp:wrapNone/>
                <wp:docPr id="2753" name="Frame3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59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NEOs as of December 31,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NEOs as of December 31,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754" name="Frame32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55" name="Frame32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Type of Award: Refinity Units – Refinity Incentive Units; INV Options – stock options to purchase shares of Common Stock; INV RSUs –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Type of Award: Refinity Units – Refinity Incentive Units; INV Options – stock options to purchase shares of Common Stock; INV RSUs –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56" name="Frame3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57" name="Frame32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restricted stock units settled in shares of Common Stock; Accelsius SARs – awards granted by Innventure and settled in shares of Common Stock,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restricted stock units settled in shares of Common Stock; Accelsius SARs – awards granted by Innventure and settled in shares of Common Stock,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58" name="Frame3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16840"/>
                <wp:effectExtent l="0" t="0" r="0" b="0"/>
                <wp:wrapNone/>
                <wp:docPr id="2759" name="Frame32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the value of which is determined based on the increase in value of Class A Common Units of Accelsius; Accelsius Units – Accelsius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the value of which is determined based on the increase in value of Class A Common Units of Accelsius; Accelsius Units – Accelsius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3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60" name="Frame3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45110" cy="233680"/>
                <wp:effectExtent l="0" t="0" r="0" b="0"/>
                <wp:wrapNone/>
                <wp:docPr id="2761" name="Frame32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Units.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.3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Units.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4725" cy="116840"/>
                <wp:effectExtent l="0" t="0" r="0" b="0"/>
                <wp:wrapNone/>
                <wp:docPr id="2762" name="Frame32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In general, these stock options will vest on October 2, 2025, or, if earlier, on the same date that the lock-up set forth in the contractual lock-up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7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In general, these stock options will vest on October 2, 2025, or, if earlier, on the same date that the lock-up set forth in the contractual lock-up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1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763" name="Frame3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and related footnotes set forth information about the outstanding equity awards held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and related footnotes set forth information about the outstanding equity awards held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64" name="Frame32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agreement entered into by such individual on October 24, 2023 terminates pursuant to its terms, subject to each NEO’s continuous service until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agreement entered into by such individual on October 24, 2023 terminates pursuant to its terms, subject to each NEO’s continuous service until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65" name="Frame32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956310" cy="233680"/>
                <wp:effectExtent l="0" t="0" r="0" b="0"/>
                <wp:wrapNone/>
                <wp:docPr id="2766" name="Frame32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6310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applicable vesting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5.3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applicable vesting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16840"/>
                <wp:effectExtent l="0" t="0" r="0" b="0"/>
                <wp:wrapNone/>
                <wp:docPr id="2767" name="Frame32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In general, these Accelsius SARs will be automatically exercised upon the earliest to occur of: (i) the 24-month anniversary of the grant date,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In general, these Accelsius SARs will be automatically exercised upon the earliest to occur of: (i) the 24-month anniversary of the grant date,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68" name="Frame33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4192905" cy="233680"/>
                <wp:effectExtent l="0" t="0" r="0" b="0"/>
                <wp:wrapNone/>
                <wp:docPr id="2769" name="Frame33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2905" cy="2336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participant’s death, or (iii) the participant’s “disability” (as defined in the applicable award agreement).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0.15pt;height:18.4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participant’s death, or (iii) the participant’s “disability” (as defined in the applicable award agreement).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16840"/>
                <wp:effectExtent l="0" t="0" r="0" b="0"/>
                <wp:wrapNone/>
                <wp:docPr id="2770" name="Frame33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On December 11, 2024, Refinity Holdings granted to each NEO 109,000 Refinity Incentive Units, with a Refinity Distribution Threshold of $0.00.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On December 11, 2024, Refinity Holdings granted to each NEO 109,000 Refinity Incentive Units, with a Refinity Distribution Threshold of $0.00.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71" name="Frame33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16840"/>
                <wp:effectExtent l="0" t="0" r="0" b="0"/>
                <wp:wrapNone/>
                <wp:docPr id="2772" name="Frame33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168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6"/>
                                <w:u w:val="none"/>
                                <w:effect w:val="none"/>
                              </w:rPr>
                              <w:t>Such Refinity Incentive Units will vest over a three-year period, with 25% vesting on the one-year anniversary of the grant date and 9.375% vesting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9.2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6"/>
                          <w:u w:val="none"/>
                          <w:effect w:val="none"/>
                        </w:rPr>
                        <w:t>Such Refinity Incentive Units will vest over a three-year period, with 25% vesting on the one-year anniversary of the grant date and 9.375% vesting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3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5400" cy="175260"/>
                <wp:effectExtent l="0" t="0" r="0" b="0"/>
                <wp:wrapNone/>
                <wp:docPr id="2773" name="Frame33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Additional Narrative Disclosure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Tax Qualified Retirement Plan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/>
          <w:i/>
          <w:sz w:val="20"/>
          <w:u w:val="single"/>
          <w:shd w:fill="E4E4E4" w:val="clear"/>
        </w:rPr>
        <w:t>Severance and Change in Control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46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774" name="Frame33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Employees of Management Services, Accelsius and Refinity Holdings are eligible to participate in a tax-qualified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Employees of Management Services, Accelsius and Refinity Holdings are eligible to participate in a tax-qualified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5" name="Frame33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76" name="Frame33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retirement savings plan (the “401(k) Plan”), under which participating employees may contribute up to 99% of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retirement savings plan (the “401(k) Plan”), under which participating employees may contribute up to 99% of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7" name="Frame33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778" name="Frame33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eligible compensation into their 401(k) Plan accounts, subject to applicable limits under the U.S. Internal Revenue Code.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eligible compensation into their 401(k) Plan accounts, subject to applicable limits under the U.S. Internal Revenue Code.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79" name="Frame33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28900" cy="293370"/>
                <wp:effectExtent l="0" t="0" r="0" b="0"/>
                <wp:wrapNone/>
                <wp:docPr id="2780" name="Frame33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Mr. Haskell participated in the 401(k) Plan in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Mr. Haskell participated in the 401(k) Plan in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781" name="Frame33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did not offer a defined benefit pension plan or nonqualified deferred compensation plan for its NEOs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did not offer a defined benefit pension plan or nonqualified deferred compensation plan for its NEOs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2" name="Frame33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6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48970" cy="293370"/>
                <wp:effectExtent l="0" t="0" r="0" b="0"/>
                <wp:wrapNone/>
                <wp:docPr id="2783" name="Frame3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during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during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Severance Under NEO Arrangements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Innventure Equity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47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784" name="Frame33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None of the agreements or offer letters with the NEOs provide for severance compensation in the event of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None of the agreements or offer letters with the NEOs provide for severance compensation in the event of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1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5" name="Frame3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419860" cy="293370"/>
                <wp:effectExtent l="0" t="0" r="0" b="0"/>
                <wp:wrapNone/>
                <wp:docPr id="2786" name="Frame33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termination of employment.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11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termination of employment.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Treatment of Incentive Units Upon a Termination of Employment or Engagement</w:t>
      </w:r>
      <w:r>
        <mc:AlternateContent>
          <mc:Choice Requires="wps">
            <w:drawing>
              <wp:anchor behindDoc="0" distT="0" distB="0" distL="0" distR="0" simplePos="0" locked="0" layoutInCell="1" allowOverlap="1" relativeHeight="349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840105" cy="146685"/>
                <wp:effectExtent l="0" t="0" r="0" b="0"/>
                <wp:wrapNone/>
                <wp:docPr id="2787" name="Frame33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01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Accelsius SARs.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6.1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Accelsius SARs.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88" name="Frame33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789" name="Frame33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purposes of the applicable equity awards) and a replacement award is not provided, the option will vest in full. If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purposes of the applicable equity awards) and a replacement award is not provided, the option will vest in full. If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0" name="Frame33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791" name="Frame33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replacement award is provided and, at any point within two years following a “change in control,” the employment of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replacement award is provided and, at any point within two years following a “change in control,” the employment of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2" name="Frame33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93" name="Frame33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NEO is terminated by the Company (or its successor) without “cause” or by the NEO for “good reason,” the replacement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NEO is terminated by the Company (or its successor) without “cause” or by the NEO for “good reason,” the replacement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4" name="Frame33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144905" cy="293370"/>
                <wp:effectExtent l="0" t="0" r="0" b="0"/>
                <wp:wrapNone/>
                <wp:docPr id="2795" name="Frame33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9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will vest in full.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will vest in full.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796" name="Frame33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vest in full upon termination. If an NEO remains employed through the date of a “change in control” (as defined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vest in full upon termination. If an NEO remains employed through the date of a “change in control” (as defined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99">
                <wp:simplePos x="0" y="0"/>
                <wp:positionH relativeFrom="page">
                  <wp:posOffset>2040255</wp:posOffset>
                </wp:positionH>
                <wp:positionV relativeFrom="line">
                  <wp:posOffset>635</wp:posOffset>
                </wp:positionV>
                <wp:extent cx="4988560" cy="146685"/>
                <wp:effectExtent l="0" t="0" r="0" b="0"/>
                <wp:wrapNone/>
                <wp:docPr id="2797" name="Frame33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85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Accelsius SARs granted in December 2024 were fully vested upon grant and will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2.8pt;height:11.55pt;mso-wrap-distance-left:0pt;mso-wrap-distance-right:0pt;mso-wrap-distance-top:0pt;mso-wrap-distance-bottom:0pt;margin-top:0pt;mso-position-vertical:top;mso-position-vertical-relative:text;margin-left:160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Accelsius SARs granted in December 2024 were fully vested upon grant and will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798" name="Frame33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799" name="Frame33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automatically exercised upon the earliest to occur of: (i) the 24-month anniversary of the Date of Grant (as defined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automatically exercised upon the earliest to occur of: (i) the 24-month anniversary of the Date of Grant (as defined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0" name="Frame33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01" name="Frame33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applicable award agreement), (ii) the participant’s death, or (iii) the participant’s disability (as defined in the applicable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applicable award agreement), (ii) the participant’s death, or (iii) the participant’s disability (as defined in the applicable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2" name="Frame33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944245" cy="293370"/>
                <wp:effectExtent l="0" t="0" r="0" b="0"/>
                <wp:wrapNone/>
                <wp:docPr id="2803" name="Frame33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2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agreement).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4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agreement).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804" name="Frame3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general, RSUs, stock options and Accelsius SARs granted under the 2024 Plan are eligible to vest or 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general, RSUs, stock options and Accelsius SARs granted under the 2024 Plan are eligible to vest or 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5" name="Frame33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7">
                <wp:simplePos x="0" y="0"/>
                <wp:positionH relativeFrom="page">
                  <wp:posOffset>1940560</wp:posOffset>
                </wp:positionH>
                <wp:positionV relativeFrom="line">
                  <wp:posOffset>635</wp:posOffset>
                </wp:positionV>
                <wp:extent cx="5088255" cy="146685"/>
                <wp:effectExtent l="0" t="0" r="0" b="0"/>
                <wp:wrapNone/>
                <wp:docPr id="2806" name="Frame33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82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an NEO’s employment is terminated due to death or disability, the unvested portion of the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0.65pt;height:11.55pt;mso-wrap-distance-left:0pt;mso-wrap-distance-right:0pt;mso-wrap-distance-top:0pt;mso-wrap-distance-bottom:0pt;margin-top:0pt;mso-position-vertical:top;mso-position-vertical-relative:text;margin-left:152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an NEO’s employment is terminated due to death or disability, the unvested portion of the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740410" cy="293370"/>
                <wp:effectExtent l="0" t="0" r="0" b="0"/>
                <wp:wrapNone/>
                <wp:docPr id="2807" name="Frame33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 Options.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8.3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 Options.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56580" cy="293370"/>
                <wp:effectExtent l="0" t="0" r="0" b="0"/>
                <wp:wrapNone/>
                <wp:docPr id="2808" name="Frame33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658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successor) without “cause” or by the NEO for “good reason,” unvested RSUs held by the NEO will vest in full.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5.4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successor) without “cause” or by the NEO for “good reason,” unvested RSUs held by the NEO will vest in full.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09" name="Frame33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10" name="Frame33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twelve months following a “change in control,” the employment of an NEO is terminated by the Company (or its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twelve months following a “change in control,” the employment of an NEO is terminated by the Company (or its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1" name="Frame33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2812" name="Frame33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replacement award is not provided, the RSUs will vest in full. If a replacement award is provided and, at any point within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replacement award is not provided, the RSUs will vest in full. If a replacement award is provided and, at any point within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8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3" name="Frame33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14" name="Frame33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remains employed through the date of a “change in control” (as defined for purposes of the applicable equity awards) and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remains employed through the date of a “change in control” (as defined for purposes of the applicable equity awards) and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5" name="Frame33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7">
                <wp:simplePos x="0" y="0"/>
                <wp:positionH relativeFrom="page">
                  <wp:posOffset>1513840</wp:posOffset>
                </wp:positionH>
                <wp:positionV relativeFrom="line">
                  <wp:posOffset>635</wp:posOffset>
                </wp:positionV>
                <wp:extent cx="5513070" cy="146685"/>
                <wp:effectExtent l="0" t="0" r="0" b="0"/>
                <wp:wrapNone/>
                <wp:docPr id="2816" name="Frame33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307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an NEO’s employment is terminated due to death or disability, the RSUs will vest in full. If an NEO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4.1pt;height:11.55pt;mso-wrap-distance-left:0pt;mso-wrap-distance-right:0pt;mso-wrap-distance-top:0pt;mso-wrap-distance-bottom:0pt;margin-top:0pt;mso-position-vertical:top;mso-position-vertical-relative:text;margin-left:119.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an NEO’s employment is terminated due to death or disability, the RSUs will vest in full. If an NEO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313690" cy="293370"/>
                <wp:effectExtent l="0" t="0" r="0" b="0"/>
                <wp:wrapNone/>
                <wp:docPr id="2817" name="Frame33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RSUs.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.7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RSUs.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68265" cy="293370"/>
                <wp:effectExtent l="0" t="0" r="0" b="0"/>
                <wp:wrapNone/>
                <wp:docPr id="2818" name="Frame3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82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automatically exercised as follows in the event of certain termination and change in control scenarios.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6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automatically exercised as follows in the event of certain termination and change in control scenarios.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74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19" name="Frame33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38</w:t>
      </w:r>
      <w:r>
        <mc:AlternateContent>
          <mc:Choice Requires="wps">
            <w:drawing>
              <wp:anchor behindDoc="0" distT="0" distB="0" distL="0" distR="0" simplePos="0" locked="0" layoutInCell="1" allowOverlap="1" relativeHeight="351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710305" cy="293370"/>
                <wp:effectExtent l="0" t="0" r="0" b="0"/>
                <wp:wrapNone/>
                <wp:docPr id="2820" name="Frame33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03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repurchased (or could have been repurchased) for their fair market value.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2.1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repurchased (or could have been repurchased) for their fair market value.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675255" cy="293370"/>
                <wp:effectExtent l="0" t="0" r="0" b="0"/>
                <wp:wrapNone/>
                <wp:docPr id="2821" name="Frame34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2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may be redeemed by Refinity Holdings for $0.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0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may be redeemed by Refinity Holdings for $0.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2" name="Frame34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23" name="Frame34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 cause (as defined in the Refinity Holdings, LLC PI Unit Incentive Plan), such vested and unvested Refinity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 cause (as defined in the Refinity Holdings, LLC PI Unit Incentive Plan), such vested and unvested Refinity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4" name="Frame3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25" name="Frame34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agreements pursuant to which Refinity Incentive Units are granted), except that if the termination is by Refinity Holdings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agreements pursuant to which Refinity Incentive Units are granted), except that if the termination is by Refinity Holdings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6" name="Frame3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27" name="Frame33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may redeem such NEO’s vested Refinity Incentive Units for their fair market value (as defined in the applicable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may redeem such NEO’s vested Refinity Incentive Units for their fair market value (as defined in the applicable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28" name="Frame3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9300" cy="146685"/>
                <wp:effectExtent l="0" t="0" r="0" b="0"/>
                <wp:wrapNone/>
                <wp:docPr id="2829" name="Frame33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Refinity Incentive Units, if an NEO’s employment or service is terminated, then Refinity Holdings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Refinity Incentive Units, if an NEO’s employment or service is terminated, then Refinity Holdings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13555" cy="293370"/>
                <wp:effectExtent l="0" t="0" r="0" b="0"/>
                <wp:wrapNone/>
                <wp:docPr id="2830" name="Frame3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355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Business Combination and were cancelled in exchange for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39.6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Business Combination and were cancelled in exchange for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2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1" name="Frame33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293370"/>
                <wp:effectExtent l="0" t="0" r="0" b="0"/>
                <wp:wrapNone/>
                <wp:docPr id="2832" name="Frame3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described above, Innventure Incentive Units held by the NEOs vested (to the extent unvested) at the time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described above, Innventure Incentive Units held by the NEOs vested (to the extent unvested) at the time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2833" name="Frame33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Innventure Incentive Units (when they were outstanding) and Accelsius Incentive Units, if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Innventure Incentive Units (when they were outstanding) and Accelsius Incentive Units, if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4" name="Frame3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35" name="Frame33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applicable award agreements pursuant to which Incentive Units were granted), such vested Incentive Units may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applicable award agreements pursuant to which Incentive Units were granted), such vested Incentive Units may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6" name="Frame3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37" name="Frame33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(or was) voluntary on the part of the NEO or by Innventure or Accelsius, as applicable, for cause (as defined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(or was) voluntary on the part of the NEO or by Innventure or Accelsius, as applicable, for cause (as defined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38" name="Frame3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39" name="Frame33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defined in the applicable award agreements pursuant to which Incentive Units were granted), except that if the termination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defined in the applicable award agreements pursuant to which Incentive Units were granted), except that if the termination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1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0" name="Frame3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1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841" name="Frame33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could have repurchased) such NEO’s vested Incentive Units for the greater of the book value or fair market value (each 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could have repurchased) such NEO’s vested Incentive Units for the greater of the book value or fair market value (each 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2" name="Frame3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43" name="Frame33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NEO’s employment or engagement is (or was) terminated, then Innventure or Accelsius, as applicable, may repurchase (or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NEO’s employment or engagement is (or was) terminated, then Innventure or Accelsius, as applicable, may repurchase (or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0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4" name="Frame33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Treatment of Accelsius Incentive Units and Refinity Incentive Units upon a Change in Control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Director Compensation</w:t>
      </w:r>
      <w:r>
        <mc:AlternateContent>
          <mc:Choice Requires="wps">
            <w:drawing>
              <wp:anchor behindDoc="0" distT="0" distB="0" distL="0" distR="0" simplePos="0" locked="0" layoutInCell="1" allowOverlap="1" relativeHeight="353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845" name="Frame34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With respect to Accelsius Incentive Units and Refinity Incentive Units if Accelsius or Refinity Holdings,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With respect to Accelsius Incentive Units and Refinity Incentive Units if Accelsius or Refinity Holdings,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6" name="Frame34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47" name="Frame34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respectively, experiences a change in control (as defined in the applicable award agreement pursuant to which the Incentive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respectively, experiences a change in control (as defined in the applicable award agreement pursuant to which the Incentive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48" name="Frame34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849" name="Frame3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were granted), 100% of such Accelsius Incentive Units or Refinity Incentive Units, as applicable, to the extent not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were granted), 100% of such Accelsius Incentive Units or Refinity Incentive Units, as applicable, to the extent not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0" name="Frame34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039495" cy="293370"/>
                <wp:effectExtent l="0" t="0" r="0" b="0"/>
                <wp:wrapNone/>
                <wp:docPr id="2851" name="Frame3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4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yet vested, will vest.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8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yet vested, will vest.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</w:pPr>
      <w:r>
        <w:rPr>
          <w:rFonts w:ascii="Times New Roman;sans-serif" w:hAnsi="Times New Roman;sans-serif"/>
          <w:b w:val="false"/>
          <w:i/>
          <w:sz w:val="20"/>
          <w:u w:val="single"/>
          <w:shd w:fill="E4E4E4" w:val="clear"/>
        </w:rPr>
        <w:t>Non-Management Director Compensation Policy</w:t>
      </w:r>
      <w:r>
        <mc:AlternateContent>
          <mc:Choice Requires="wps">
            <w:drawing>
              <wp:anchor behindDoc="0" distT="0" distB="0" distL="0" distR="0" simplePos="0" locked="0" layoutInCell="1" allowOverlap="1" relativeHeight="3538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852" name="Frame34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Bill Haskell, David Yablunosky, Mike Otworth, Suzanne Niemeyer, James Donnally, Bruce Brown, Elizabeth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Bill Haskell, David Yablunosky, Mike Otworth, Suzanne Niemeyer, James Donnally, Bruce Brown, Elizabeth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3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3" name="Frame3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648960" cy="293370"/>
                <wp:effectExtent l="0" t="0" r="0" b="0"/>
                <wp:wrapNone/>
                <wp:docPr id="2854" name="Frame34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8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Williams, Daniel Hennessy, and Michael Amalfitano served on the Innventure Board of Directors during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Williams, Daniel Hennessy, and Michael Amalfitano served on the Innventure Board of Directors during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39</w:t>
      </w:r>
      <w:r>
        <mc:AlternateContent>
          <mc:Choice Requires="wps">
            <w:drawing>
              <wp:anchor behindDoc="0" distT="0" distB="0" distL="0" distR="0" simplePos="0" locked="0" layoutInCell="1" allowOverlap="1" relativeHeight="35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5" name="Frame34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160" cy="146685"/>
                <wp:effectExtent l="0" t="0" r="0" b="0"/>
                <wp:wrapNone/>
                <wp:docPr id="2856" name="Frame34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1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of our Board will receive an annual cash retainer fee of $20,000, paid in arrears on a quarterly basis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of our Board will receive an annual cash retainer fee of $20,000, paid in arrears on a quarterly basis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57" name="Frame3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8">
                <wp:simplePos x="0" y="0"/>
                <wp:positionH relativeFrom="page">
                  <wp:posOffset>2475865</wp:posOffset>
                </wp:positionH>
                <wp:positionV relativeFrom="line">
                  <wp:posOffset>635</wp:posOffset>
                </wp:positionV>
                <wp:extent cx="4553585" cy="146685"/>
                <wp:effectExtent l="0" t="0" r="0" b="0"/>
                <wp:wrapNone/>
                <wp:docPr id="2858" name="Frame34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358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Each non-management director who serves as the chairperson of a standing committee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8.55pt;height:11.55pt;mso-wrap-distance-left:0pt;mso-wrap-distance-right:0pt;mso-wrap-distance-top:0pt;mso-wrap-distance-bottom:0pt;margin-top:0pt;mso-position-vertical:top;mso-position-vertical-relative:text;margin-left:194.9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Each non-management director who serves as the chairperson of a standing committee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047115" cy="293370"/>
                <wp:effectExtent l="0" t="0" r="0" b="0"/>
                <wp:wrapNone/>
                <wp:docPr id="2859" name="Frame3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11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Committee retainers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2.4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Committee retainers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860" name="Frame34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673100" cy="293370"/>
                <wp:effectExtent l="0" t="0" r="0" b="0"/>
                <wp:wrapNone/>
                <wp:docPr id="2861" name="Frame3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0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3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2" name="Frame34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63" name="Frame34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be prorated based on the number of days of service until the scheduled date of the next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be prorated based on the number of days of service until the scheduled date of the next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1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4" name="Frame34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65" name="Frame3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connection with an annual meeting of stockholders, such non-management director’s annual equity 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connection with an annual meeting of stockholders, such non-management director’s annual equity 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8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6" name="Frame34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9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2867" name="Frame3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on our Board on such vesting date. If a non-management director is elected to our Board other than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on our Board on such vesting date. If a non-management director is elected to our Board other than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68" name="Frame34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869" name="Frame3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that occurs following the grant date, subject to each non-management director providing service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that occurs following the grant date, subject to each non-management director providing service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0" name="Frame34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5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2871" name="Frame3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generally vest on the earlier of (i) the first anniversary of the grant date and (ii) the next annual meeting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generally vest on the earlier of (i) the first anniversary of the grant date and (ii) the next annual meeting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2" name="Frame34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04840" cy="293370"/>
                <wp:effectExtent l="0" t="0" r="0" b="0"/>
                <wp:wrapNone/>
                <wp:docPr id="2873" name="Frame34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484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who were also executives of Innventure did not receive additional compensation in 2024 for their Board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9.2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who were also executives of Innventure did not receive additional compensation in 2024 for their Board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4" name="Frame34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75" name="Frame34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2024. The following table sets forth the total compensation received by our non-management directors in 2024. Directors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2024. The following table sets forth the total compensation received by our non-management directors in 2024. Directors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6" name="Frame34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877" name="Frame34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award of 20,000 Accelsius SARs, as more fully described in footnote 2 to the 2024 Director Compensation Table below,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award of 20,000 Accelsius SARs, as more fully described in footnote 2 to the 2024 Director Compensation Table below,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78" name="Frame34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879" name="Frame34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addition to the compensation provided under the Director Compensation Plan, James Donnally was granted 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addition to the compensation provided under the Director Compensation Plan, James Donnally was granted 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852170" cy="293370"/>
                <wp:effectExtent l="0" t="0" r="0" b="0"/>
                <wp:wrapNone/>
                <wp:docPr id="2880" name="Frame34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1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calendar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7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calendar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1" name="Frame34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82" name="Frame34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basis and prorated in the event that such non-management director serves in such position for a portion of any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basis and prorated in the event that such non-management director serves in such position for a portion of any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3" name="Frame34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2884" name="Frame34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Board will receive an annual cash retainer fee of $10,000 for each committee, paid in arrears on a quarterly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Board will receive an annual cash retainer fee of $10,000 for each committee, paid in arrears on a quarterly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5" name="Frame34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8795" cy="146685"/>
                <wp:effectExtent l="0" t="0" r="0" b="0"/>
                <wp:wrapNone/>
                <wp:docPr id="2886" name="Frame34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quarter. Each non-management director who serves as a member, but not a chairperson, of a committee of our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8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quarter. Each non-management director who serves as a member, but not a chairperson, of a committee of our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87" name="Frame34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9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888" name="Frame34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prorated in the event that such non-management director serves in such position for a portion of any calendar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prorated in the event that such non-management director serves in such position for a portion of any calendar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2734310" cy="293370"/>
                <wp:effectExtent l="0" t="0" r="0" b="0"/>
                <wp:wrapNone/>
                <wp:docPr id="2889" name="Frame34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1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cash retainers and equity awards under the 2024 Plan: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5.3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cash retainers and equity awards under the 2024 Plan: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0" name="Frame3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891" name="Frame34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Compensation Plan received RSUs with a targeted value of $90,000 on such date, in respect of their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Compensation Plan received RSUs with a targeted value of $90,000 on such date, in respect of their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5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2" name="Frame3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893" name="Frame34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2024 and who was still serving on our Board on the third business day following the effective date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2024 and who was still serving on our Board on the third business day following the effective date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4" name="Frame34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2">
                <wp:simplePos x="0" y="0"/>
                <wp:positionH relativeFrom="page">
                  <wp:posOffset>2465705</wp:posOffset>
                </wp:positionH>
                <wp:positionV relativeFrom="line">
                  <wp:posOffset>635</wp:posOffset>
                </wp:positionV>
                <wp:extent cx="4563110" cy="146685"/>
                <wp:effectExtent l="0" t="0" r="0" b="0"/>
                <wp:wrapNone/>
                <wp:docPr id="2895" name="Frame34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31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Each non-management director that became a member of our Board as of October 2,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59.3pt;height:11.55pt;mso-wrap-distance-left:0pt;mso-wrap-distance-right:0pt;mso-wrap-distance-top:0pt;mso-wrap-distance-bottom:0pt;margin-top:0pt;mso-position-vertical:top;mso-position-vertical-relative:text;margin-left:194.1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Each non-management director that became a member of our Board as of October 2,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1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036955" cy="146685"/>
                <wp:effectExtent l="0" t="0" r="0" b="0"/>
                <wp:wrapNone/>
                <wp:docPr id="2896" name="Frame34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95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Initial Equity Grant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1.6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Initial Equity Grant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0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897" name="Frame34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898" name="Frame34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from the Closing and the date of the Company’s first annual meeting of stockholders. Such RSUs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from the Closing and the date of the Company’s first annual meeting of stockholders. Such RSUs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899" name="Frame34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00" name="Frame34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is generally administered by the Compensation Committee. The Director Compensation Plan provides for the 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is generally administered by the Compensation Committee. The Director Compensation Plan provides for the 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6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1" name="Frame34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02" name="Frame34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individuals to serve on our Board and align their interests with those of our stockholders. The Director Compensation Plan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individuals to serve on our Board and align their interests with those of our stockholders. The Director Compensation Plan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3" name="Frame34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75260"/>
                <wp:effectExtent l="0" t="0" r="0" b="0"/>
                <wp:wrapNone/>
                <wp:docPr id="2904" name="Frame34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“</w:t>
                            </w: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Director Compensation Plan”). The Director Compensation Plan is intended to allow us to attract and retain qualified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3.8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“</w:t>
                      </w: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Director Compensation Plan”). The Director Compensation Plan is intended to allow us to attract and retain qualified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5" name="Frame34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906" name="Frame34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 2024, our Board of Directors adopted the Innventure, Inc. Non-Management Director Compensation Plan (the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 2024, our Board of Directors adopted the Innventure, Inc. Non-Management Director Compensation Plan (the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5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7" name="Frame3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700" cy="146685"/>
                <wp:effectExtent l="0" t="0" r="0" b="0"/>
                <wp:wrapNone/>
                <wp:docPr id="2908" name="Frame34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generally vest on the date of this year’s Annual Meeting, subject to each non-management director providing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1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generally vest on the date of this year’s Annual Meeting, subject to each non-management director providing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09" name="Frame3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026920" cy="293370"/>
                <wp:effectExtent l="0" t="0" r="0" b="0"/>
                <wp:wrapNone/>
                <wp:docPr id="2910" name="Frame34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9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service on our Board through such date.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9.6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service on our Board through such date.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11" name="Frame3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4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221105" cy="146685"/>
                <wp:effectExtent l="0" t="0" r="0" b="0"/>
                <wp:wrapNone/>
                <wp:docPr id="2912" name="Frame34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10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Quarterly cash 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.1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Quarterly cash 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5">
                <wp:simplePos x="0" y="0"/>
                <wp:positionH relativeFrom="page">
                  <wp:posOffset>2649855</wp:posOffset>
                </wp:positionH>
                <wp:positionV relativeFrom="line">
                  <wp:posOffset>635</wp:posOffset>
                </wp:positionV>
                <wp:extent cx="4378325" cy="146685"/>
                <wp:effectExtent l="0" t="0" r="0" b="0"/>
                <wp:wrapNone/>
                <wp:docPr id="2913" name="Frame3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3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Each non-management director will receive an annual cash retainer fee of $80,000,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4.75pt;height:11.55pt;mso-wrap-distance-left:0pt;mso-wrap-distance-right:0pt;mso-wrap-distance-top:0pt;mso-wrap-distance-bottom:0pt;margin-top:0pt;mso-position-vertical:top;mso-position-vertical-relative:text;margin-left:208.6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Each non-management director will receive an annual cash retainer fee of $80,000,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6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14" name="Frame34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7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599430" cy="146685"/>
                <wp:effectExtent l="0" t="0" r="0" b="0"/>
                <wp:wrapNone/>
                <wp:docPr id="2915" name="Frame3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94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paid in arrears on a quarterly basis. The annual cash retainer fee will be prorated in the event that a non-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paid in arrears on a quarterly basis. The annual cash retainer fee will be prorated in the event that a non-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027805" cy="293370"/>
                <wp:effectExtent l="0" t="0" r="0" b="0"/>
                <wp:wrapNone/>
                <wp:docPr id="2916" name="Frame34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780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management director serves on our Board for a portion of any calendar quarter.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17.1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management director serves on our Board for a portion of any calendar quarter.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17" name="Frame3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156970" cy="293370"/>
                <wp:effectExtent l="0" t="0" r="0" b="0"/>
                <wp:wrapNone/>
                <wp:docPr id="2918" name="Frame34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69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Annual equity retainer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1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Annual equity retainer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1">
                <wp:simplePos x="0" y="0"/>
                <wp:positionH relativeFrom="page">
                  <wp:posOffset>2585720</wp:posOffset>
                </wp:positionH>
                <wp:positionV relativeFrom="line">
                  <wp:posOffset>635</wp:posOffset>
                </wp:positionV>
                <wp:extent cx="4443730" cy="146685"/>
                <wp:effectExtent l="0" t="0" r="0" b="0"/>
                <wp:wrapNone/>
                <wp:docPr id="2919" name="Frame3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37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: On the date of each of our regularly scheduled annual meetings of stockholders, each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9.9pt;height:11.55pt;mso-wrap-distance-left:0pt;mso-wrap-distance-right:0pt;mso-wrap-distance-top:0pt;mso-wrap-distance-bottom:0pt;margin-top:0pt;mso-position-vertical:top;mso-position-vertical-relative:text;margin-left:203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: On the date of each of our regularly scheduled annual meetings of stockholders, each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20" name="Frame34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73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5600065" cy="146685"/>
                <wp:effectExtent l="0" t="0" r="0" b="0"/>
                <wp:wrapNone/>
                <wp:docPr id="2921" name="Frame3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0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non-management director will receive a grant of RSUs with a targeted value of $120,000, which will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0.95pt;height:11.55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non-management director will receive a grant of RSUs with a targeted value of $120,000, which will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2024 Director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40</w:t>
      </w:r>
      <w:r>
        <mc:AlternateContent>
          <mc:Choice Requires="wps">
            <w:drawing>
              <wp:anchor behindDoc="0" distT="0" distB="0" distL="0" distR="0" simplePos="0" locked="0" layoutInCell="1" allowOverlap="1" relativeHeight="362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2922" name="Frame35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Annual Report, filed with the SEC on April 14, 2025.  The Accelsius SARs were granted by Innventure and are settled in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Annual Report, filed with the SEC on April 14, 2025.  The Accelsius SARs were granted by Innventure and are settled in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078230" cy="262890"/>
                <wp:effectExtent l="0" t="0" r="0" b="0"/>
                <wp:wrapNone/>
                <wp:docPr id="2923" name="Frame35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823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respect of prior service.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4.9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respect of prior service.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2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24" name="Frame35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25" name="Frame35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Stock. As of December 31, 2024, Mr. Donnally held 20,000 Accelsius SARs.  Mr. Donnally was granted these Accelsius SARs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Stock. As of December 31, 2024, Mr. Donnally held 20,000 Accelsius SARs.  Mr. Donnally was granted these Accelsius SARs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26" name="Frame35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27" name="Frame35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agreement). The Compensation Committee may, in its discretion, determine that Mr. Donnally will receive cash instead of Common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agreement). The Compensation Committee may, in its discretion, determine that Mr. Donnally will receive cash instead of Common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28" name="Frame35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2929" name="Frame35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anniversary of the grant date, (ii) Mr. Donnally’s death, or (iii) Mr. Donnally’s “disability” (as defined in the applicable award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anniversary of the grant date, (ii) Mr. Donnally’s death, or (iii) Mr. Donnally’s “disability” (as defined in the applicable award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0" name="Frame35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2931" name="Frame35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price of $12.175. In general, these Accelsius SARs will be automatically exercised upon the earliest to occur of: (i) the 24-month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price of $12.175. In general, these Accelsius SARs will be automatically exercised upon the earliest to occur of: (i) the 24-month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2" name="Frame35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2933" name="Frame35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Common Stock, the value of which is determined based on the increase in value of Class A Common Units of Accelsius over a base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Common Stock, the value of which is determined based on the increase in value of Class A Common Units of Accelsius over a base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4" name="Frame35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935" name="Frame35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2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6" name="Frame35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2937" name="Frame35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regarding assumptions used in calculating these values, see Note 14 to the consolidated financial statements included in our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regarding assumptions used in calculating these values, see Note 14 to the consolidated financial statements included in our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38" name="Frame35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39" name="Frame35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Reflects the grant date fair value of the Accelsius SARs, calculated in accordance with FASB ASC Topic 718.  For information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Reflects the grant date fair value of the Accelsius SARs, calculated in accordance with FASB ASC Topic 718.  For information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6">
                <wp:simplePos x="0" y="0"/>
                <wp:positionH relativeFrom="page">
                  <wp:posOffset>6447790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0" name="Frame35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07.7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476240" cy="262890"/>
                <wp:effectExtent l="0" t="0" r="0" b="0"/>
                <wp:wrapNone/>
                <wp:docPr id="2941" name="Frame35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624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outstanding stock awards: each of Messrs. Donnally, Brown, Hennessy and Amalfitano and Ms. Williams, 7,377 RSUs.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1.2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outstanding stock awards: each of Messrs. Donnally, Brown, Hennessy and Amalfitano and Ms. Williams, 7,377 RSUs.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2" name="Frame35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43" name="Frame35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Annual Report, filed with the SEC on April 14, 2025. As of December 31, 2024, the non-management directors held the following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Annual Report, filed with the SEC on April 14, 2025. As of December 31, 2024, the non-management directors held the following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4" name="Frame35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2945" name="Frame35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regarding assumptions used in calculating these values, see Note 14 to the consolidated financial statements included in our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regarding assumptions used in calculating these values, see Note 14 to the consolidated financial statements included in our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1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46" name="Frame35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0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2947" name="Frame35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Reflects the grant date fair value of the RSU awards, calculated in accordance with FASB ASC Topic 718. For information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Reflects the grant date fair value of the RSU awards, calculated in accordance with FASB ASC Topic 718. For information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STOCK OWNERSHIP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Stock Ownership of Major Stockholders, Executive Officers and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41</w:t>
      </w:r>
      <w:r>
        <mc:AlternateContent>
          <mc:Choice Requires="wps">
            <w:drawing>
              <wp:anchor behindDoc="0" distT="0" distB="0" distL="0" distR="0" simplePos="0" locked="0" layoutInCell="1" allowOverlap="1" relativeHeight="36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48" name="Frame35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following the Closing (the “Vesting Period”) in excess of $15,000 in revenue (“Milestone One”) or (ii) AeroFlexx having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following the Closing (the “Vesting Period”) in excess of $15,000 in revenue (“Milestone One”) or (ii) AeroFlexx having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6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949" name="Frame35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is based on 53,487,294 shares of Common Stock outstanding as of April 25, 2025.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is based on 53,487,294 shares of Common Stock outstanding as of April 25, 2025.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7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0" name="Frame35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51" name="Frame35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addition, the beneficial ownership presented below does not include Company Earnout Shares that the holders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addition, the beneficial ownership presented below does not include Company Earnout Shares that the holders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9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2" name="Frame35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953" name="Frame35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Innventure LLC’s outstanding equity and profits interests and warrants, other than the Class PCTA Units and the Class I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Innventure LLC’s outstanding equity and profits interests and warrants, other than the Class PCTA Units and the Class I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4" name="Frame35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55" name="Frame35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Units (such holders, the “Innventure Members”), have the right to receive upon (i) Accelsius having entered into binding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Units (such holders, the “Innventure Members”), have the right to receive upon (i) Accelsius having entered into binding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6" name="Frame35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957" name="Frame35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contracts providing for revenue for the Company (as defined in the Business Combination Agreement) within 7 years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contracts providing for revenue for the Company (as defined in the Business Combination Agreement) within 7 years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58" name="Frame35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102860" cy="293370"/>
                <wp:effectExtent l="0" t="0" r="0" b="0"/>
                <wp:wrapNone/>
                <wp:docPr id="2959" name="Frame35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28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any other person shown in the table. Fractional shares have been rounded to the nearest whole share.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01.8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any other person shown in the table. Fractional shares have been rounded to the nearest whole share.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0" name="Frame35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4365625" cy="293370"/>
                <wp:effectExtent l="0" t="0" r="0" b="0"/>
                <wp:wrapNone/>
                <wp:docPr id="2961" name="Frame35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562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received in excess of $15,000 revenue within the Vesting Period (“Milestone Three”).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43.7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received in excess of $15,000 revenue within the Vesting Period (“Milestone Three”).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6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665" cy="146685"/>
                <wp:effectExtent l="0" t="0" r="0" b="0"/>
                <wp:wrapNone/>
                <wp:docPr id="2962" name="Frame35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6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Unless otherwise indicated by footnote, (i) the Company believes that all persons named in the table below have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Unless otherwise indicated by footnote, (i) the Company believes that all persons named in the table below have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0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3" name="Frame35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64" name="Frame35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sole voting and investment power with respect to all shares of Common Stock beneficially owned by them and (ii)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sole voting and investment power with respect to all shares of Common Stock beneficially owned by them and (ii)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65" name="Frame35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311775" cy="293370"/>
                <wp:effectExtent l="0" t="0" r="0" b="0"/>
                <wp:wrapNone/>
                <wp:docPr id="2966" name="Frame35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177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address of each person is c/o Innventure Inc., 6900 Tavistock Lakes Blvd, Suite 400 Orlando, FL 32827.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18.2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address of each person is c/o Innventure Inc., 6900 Tavistock Lakes Blvd, Suite 400 Orlando, FL 32827.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2967" name="Frame36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7150" cy="131445"/>
                <wp:effectExtent l="0" t="0" r="0" b="0"/>
                <wp:wrapNone/>
                <wp:docPr id="2968" name="Frame36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*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0.3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*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77215" cy="262890"/>
                <wp:effectExtent l="0" t="0" r="0" b="0"/>
                <wp:wrapNone/>
                <wp:docPr id="2969" name="Frame36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1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less than 1%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4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less than 1%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2970" name="Frame35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ownership of a security if he, she or it possesses sole or shared voting or investment power over that security,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ownership of a security if he, she or it possesses sole or shared voting or investment power over that security,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71" name="Frame35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3115945" cy="293370"/>
                <wp:effectExtent l="0" t="0" r="0" b="0"/>
                <wp:wrapNone/>
                <wp:docPr id="2972" name="Frame35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9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as of April 24, 2025 (except as otherwise set forth below) by: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5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as of April 24, 2025 (except as otherwise set forth below) by: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73" name="Frame35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4684395" cy="293370"/>
                <wp:effectExtent l="0" t="0" r="0" b="0"/>
                <wp:wrapNone/>
                <wp:docPr id="2974" name="Frame35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43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person known to us to be the beneficial owner of more than 5% of our Common Stock;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68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person known to us to be the beneficial owner of more than 5% of our Common Stock;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75" name="Frame35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853565" cy="293370"/>
                <wp:effectExtent l="0" t="0" r="0" b="0"/>
                <wp:wrapNone/>
                <wp:docPr id="2976" name="Frame35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35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each of our NEOs and directors;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each of our NEOs and directors;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2977" name="Frame35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2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677795" cy="293370"/>
                <wp:effectExtent l="0" t="0" r="0" b="0"/>
                <wp:wrapNone/>
                <wp:docPr id="2978" name="Frame35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79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all of our executive officers and directors as a group.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10.8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all of our executive officers and directors as a group.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3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979" name="Frame35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Beneficial ownership is determined according to the rules of the SEC, which generally provide that a person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Beneficial ownership is determined according to the rules of the SEC, which generally provide that a person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0" name="Frame35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3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8030" cy="146685"/>
                <wp:effectExtent l="0" t="0" r="0" b="0"/>
                <wp:wrapNone/>
                <wp:docPr id="2981" name="Frame35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80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following table sets forth information known to us regarding the beneficial ownership of our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9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following table sets forth information known to us regarding the beneficial ownership of our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6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2" name="Frame35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983" name="Frame35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including options and warrants that are currently exercisable or exercisable within 60 days. Shares which an individual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including options and warrants that are currently exercisable or exercisable within 60 days. Shares which an individual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4" name="Frame35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4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2985" name="Frame35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group has a right to acquire within 60 days pursuant to the exercise or conversion of options, warrants or other similar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group has a right to acquire within 60 days pursuant to the exercise or conversion of options, warrants or other similar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6" name="Frame35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2987" name="Frame35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convertible or derivative securities are deemed to be outstanding for the purpose of computing the percentage ownership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convertible or derivative securities are deemed to be outstanding for the purpose of computing the percentage ownership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88" name="Frame35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6500" cy="146685"/>
                <wp:effectExtent l="0" t="0" r="0" b="0"/>
                <wp:wrapNone/>
                <wp:docPr id="2989" name="Frame35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such individual or group, but are not deemed to be outstanding for the purpose of computing the percentage ownership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such individual or group, but are not deemed to be outstanding for the purpose of computing the percentage ownership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5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2990" name="Frame35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Securities Authorized for Issuance Under Equity Compensation Plans</w:t>
      </w:r>
      <w:r>
        <mc:AlternateContent>
          <mc:Choice Requires="wps">
            <w:drawing>
              <wp:anchor behindDoc="0" distT="0" distB="0" distL="0" distR="0" simplePos="0" locked="0" layoutInCell="1" allowOverlap="1" relativeHeight="371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2991" name="Frame36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into which the shares are convertible will fluctuate.  Voting and investment power over the shares held by Ascent is exercised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into which the shares are convertible will fluctuate.  Voting and investment power over the shares held by Ascent is exercised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610610" cy="262890"/>
                <wp:effectExtent l="0" t="0" r="0" b="0"/>
                <wp:wrapNone/>
                <wp:docPr id="2992" name="Frame36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061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WE-INN LLC is 233 N Michigan Avenue, Suite 1410 Chicago, Illinois 60601.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84.3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WE-INN LLC is 233 N Michigan Avenue, Suite 1410 Chicago, Illinois 60601.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6">
                <wp:simplePos x="0" y="0"/>
                <wp:positionH relativeFrom="page">
                  <wp:posOffset>4582160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93" name="Frame36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360.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2994" name="Frame36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Ascent X Innventure TC, A Series of Ascent X Innventure, LP is a limited partnership (“Ascent”). Ascent holds 3,291,685 shares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Ascent X Innventure TC, A Series of Ascent X Innventure, LP is a limited partnership (“Ascent”). Ascent holds 3,291,685 shares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8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95" name="Frame36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2996" name="Frame36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Common Stock and 125,000 shares of Series C Preferred Stock.  As of April 24, 2025, if the registration statement registering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Common Stock and 125,000 shares of Series C Preferred Stock.  As of April 24, 2025, if the registration statement registering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97" name="Frame36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2998" name="Frame36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resale of the shares of Common Stock underlying the Series C Preferred Stock (the “Series C Preferred Stock Resale Registration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resale of the shares of Common Stock underlying the Series C Preferred Stock (the “Series C Preferred Stock Resale Registration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2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2999" name="Frame36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00" name="Frame36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Statement”) were effective, these shares of Series C Preferred Stock would be convertible into 250,000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Statement”) were effective, these shares of Series C Preferred Stock would be convertible into 250,000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57150" cy="175260"/>
                <wp:effectExtent l="0" t="0" r="0" b="0"/>
                <wp:wrapNone/>
                <wp:docPr id="3001" name="Frame36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.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3002" name="Frame36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Because the conversion price of the Series C Preferred Stock is determined based on the greater of a fixed amount and the 10-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Because the conversion price of the Series C Preferred Stock is determined based on the greater of a fixed amount and the 10-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03" name="Frame36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trading day volume-weighted average Nasdaq official closing price of the Common Stock, the number of shares of Common Stock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trading day volume-weighted average Nasdaq official closing price of the Common Stock, the number of shares of Common Stock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7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4" name="Frame36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5" name="Frame36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1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6" name="Frame36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453380" cy="262890"/>
                <wp:effectExtent l="0" t="0" r="0" b="0"/>
                <wp:wrapNone/>
                <wp:docPr id="3007" name="Frame36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338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Jonathan Loeffler and Mark Pomeroy Jr. The address for Ascent is 5956 Sherry Lane, 20th Floor, Dallas, Texas 75225.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29.4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Jonathan Loeffler and Mark Pomeroy Jr. The address for Ascent is 5956 Sherry Lane, 20th Floor, Dallas, Texas 75225.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31445"/>
                <wp:effectExtent l="0" t="0" r="0" b="0"/>
                <wp:wrapNone/>
                <wp:docPr id="3008" name="Frame36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Based on information provided by CastleKnight Master Fund LP in a Schedule 13G ﬁled with the SEC on November 15, 2024. Per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Based on information provided by CastleKnight Master Fund LP in a Schedule 13G ﬁled with the SEC on November 15, 2024. Per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09" name="Frame36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10" name="Frame36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such Schedule 13G, CastleKnight Master Fund LP has shared voting power over all of such shares and shared dispositive power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such Schedule 13G, CastleKnight Master Fund LP has shared voting power over all of such shares and shared dispositive power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4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11" name="Frame36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12" name="Frame36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all of such shares. The principal business address of CastleKnight Master Fund LP is Maples Corporate Services Limited, P.O. Box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all of such shares. The principal business address of CastleKnight Master Fund LP is Maples Corporate Services Limited, P.O. Box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13" name="Frame36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944495" cy="262890"/>
                <wp:effectExtent l="0" t="0" r="0" b="0"/>
                <wp:wrapNone/>
                <wp:docPr id="3014" name="Frame36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449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309, Ugland House, Grand Cayman KY1-1104 Cayman Islands.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31.8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309, Ugland House, Grand Cayman KY1-1104 Cayman Islands.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8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804920" cy="262890"/>
                <wp:effectExtent l="0" t="0" r="0" b="0"/>
                <wp:wrapNone/>
                <wp:docPr id="3015" name="Frame36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492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 Glockner Family Venture Fund, LP holds 4,680,272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9.6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 Glockner Family Venture Fund, LP holds 4,680,272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2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46685"/>
                <wp:effectExtent l="0" t="0" r="0" b="0"/>
                <wp:wrapNone/>
                <wp:docPr id="3016" name="Frame36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The Company’s “free float,” as determined by the Company in reliance upon the guidance issued by FTSE Russell,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1.5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The Company’s “free float,” as determined by the Company in reliance upon the guidance issued by FTSE Russell,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0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17" name="Frame36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1">
                <wp:simplePos x="0" y="0"/>
                <wp:positionH relativeFrom="page">
                  <wp:posOffset>514350</wp:posOffset>
                </wp:positionH>
                <wp:positionV relativeFrom="line">
                  <wp:posOffset>635</wp:posOffset>
                </wp:positionV>
                <wp:extent cx="2600960" cy="293370"/>
                <wp:effectExtent l="0" t="0" r="0" b="0"/>
                <wp:wrapNone/>
                <wp:docPr id="3018" name="Frame36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9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exceeds 10% of the Company’s total voting power.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4.8pt;height:23.1pt;mso-wrap-distance-left:0pt;mso-wrap-distance-right:0pt;mso-wrap-distance-top:0pt;mso-wrap-distance-bottom:0pt;margin-top:0pt;mso-position-vertical:top;mso-position-vertical-relative:text;margin-left:40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exceeds 10% of the Company’s total voting power.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19" name="Frame36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shares held by the Barbara G. Glockner Revocable Trust, each of which has three trustees, Timothy Glockner, James Donnally,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shares held by the Barbara G. Glockner Revocable Trust, each of which has three trustees, Timothy Glockner, James Donnally,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8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0" name="Frame36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21" name="Frame36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sole voting and investment power and (ii) 2,724,105 shares of Common Stock that may be deemed to be beneficially owned by Mr.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sole voting and investment power and (ii) 2,724,105 shares of Common Stock that may be deemed to be beneficially owned by Mr.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2" name="Frame36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23" name="Frame36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Donnally, which shares are held by certain trusts, including (a) 141,659 shares held by the Barbara G. Glockner Trust, for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Donnally, which shares are held by certain trusts, including (a) 141,659 shares held by the Barbara G. Glockner Trust, for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2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4" name="Frame36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262890"/>
                <wp:effectExtent l="0" t="0" r="0" b="0"/>
                <wp:wrapNone/>
                <wp:docPr id="3025" name="Frame36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benefit of Joseph C. Glockner; (b) 141,659 shares held by the Barbara G. Glockner Trust, for the benefit of Michael P. Glockner; (c)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benefit of Joseph C. Glockner; (b) 141,659 shares held by the Barbara G. Glockner Trust, for the benefit of Michael P. Glockner; (c)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4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6" name="Frame36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27" name="Frame36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141,659 shares held by the Barbara G. Glockner Trust, for the benefit of Timothy E. Glockner; (d) 747,834 shares held by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141,659 shares held by the Barbara G. Glockner Trust, for the benefit of Timothy E. Glockner; (d) 747,834 shares held by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6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28" name="Frame36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29" name="Frame36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Joseph C. Glockner Revocable Trust; (e) 747,834 shares held by Michael P. Glockner Revocable Trust; (f) 747,834 shares held by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Joseph C. Glockner Revocable Trust; (e) 747,834 shares held by Michael P. Glockner Revocable Trust; (f) 747,834 shares held by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0" name="Frame36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8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31" name="Frame36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 Timothy E. Glockner Revocable Trust; (g) 3,964 shares held by the Andrew M. Glockner Revocable Trust; and (h) 51,662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 Timothy E. Glockner Revocable Trust; (g) 3,964 shares held by the Andrew M. Glockner Revocable Trust; and (h) 51,662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0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2" name="Frame36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7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6630" cy="131445"/>
                <wp:effectExtent l="0" t="0" r="0" b="0"/>
                <wp:wrapNone/>
                <wp:docPr id="3033" name="Frame36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663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Consists of (i) 1,500,431 shares of Common Stock held by the James O. Donnally Revocable Trust over which Mr. Donnally has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Consists of (i) 1,500,431 shares of Common Stock held by the James O. Donnally Revocable Trust over which Mr. Donnally has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2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4" name="Frame36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35" name="Frame36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Theresa Laxton, Mr. Donnally’s spouse, with shared voting power. Timothy Glockner has a life estate interest in the Barbara G.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Theresa Laxton, Mr. Donnally’s spouse, with shared voting power. Timothy Glockner has a life estate interest in the Barbara G.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6" name="Frame36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360" cy="131445"/>
                <wp:effectExtent l="0" t="0" r="0" b="0"/>
                <wp:wrapNone/>
                <wp:docPr id="3037" name="Frame36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36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Glockner Trust fbo Timothy E. Glockner. The beneficiaries of the Barbara G. Glockner Trust fbo Timothy E. Glockner are the issue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Glockner Trust fbo Timothy E. Glockner. The beneficiaries of the Barbara G. Glockner Trust fbo Timothy E. Glockner are the issue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38" name="Frame36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31445"/>
                <wp:effectExtent l="0" t="0" r="0" b="0"/>
                <wp:wrapNone/>
                <wp:docPr id="3039" name="Frame36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of Timothy Glockner. The beneficiaries of the Barbara G. Glockner Trust fbo Joseph C. Glockner are the issue of Joseph C.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of Timothy Glockner. The beneficiaries of the Barbara G. Glockner Trust fbo Joseph C. Glockner are the issue of Joseph C.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40" name="Frame36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9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5695950" cy="262890"/>
                <wp:effectExtent l="0" t="0" r="0" b="0"/>
                <wp:wrapNone/>
                <wp:docPr id="3041" name="Frame36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950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Glockner. The beneficiaries of the Barbara G. Glockner Trust fbo Michael P. Glockner are the issue of Michael P. Glockner.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8.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Glockner. The beneficiaries of the Barbara G. Glockner Trust fbo Michael P. Glockner are the issue of Michael P. Glockner.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0">
                <wp:simplePos x="0" y="0"/>
                <wp:positionH relativeFrom="page">
                  <wp:posOffset>6667500</wp:posOffset>
                </wp:positionH>
                <wp:positionV relativeFrom="line">
                  <wp:posOffset>635</wp:posOffset>
                </wp:positionV>
                <wp:extent cx="28575" cy="175260"/>
                <wp:effectExtent l="0" t="0" r="0" b="0"/>
                <wp:wrapNone/>
                <wp:docPr id="3042" name="Frame36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25pt;height:13.8pt;mso-wrap-distance-left:0pt;mso-wrap-distance-right:0pt;mso-wrap-distance-top:0pt;mso-wrap-distance-bottom:0pt;margin-top:0pt;mso-position-vertical:top;mso-position-vertical-relative:text;margin-left:5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548255" cy="262890"/>
                <wp:effectExtent l="0" t="0" r="0" b="0"/>
                <wp:wrapNone/>
                <wp:docPr id="3043" name="Frame36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2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Mr. Otworth holds 2,942,902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00.6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Mr. Otworth holds 2,942,902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2383155" cy="262890"/>
                <wp:effectExtent l="0" t="0" r="0" b="0"/>
                <wp:wrapNone/>
                <wp:docPr id="3044" name="Frame36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155" cy="26289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Dr. Scott holds 2,081,653 shares of Common Stock.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7.65pt;height:20.7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Dr. Scott holds 2,081,653 shares of Common Stock.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0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31445"/>
                <wp:effectExtent l="0" t="0" r="0" b="0"/>
                <wp:wrapNone/>
                <wp:docPr id="3045" name="Frame36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3144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8"/>
                                <w:u w:val="none"/>
                                <w:effect w:val="none"/>
                              </w:rPr>
                              <w:t>Greg Wasson and Kimberly Wasson share voting and investment power over the securities held by WE-INN LLC. The address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0.3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8"/>
                          <w:u w:val="none"/>
                          <w:effect w:val="none"/>
                        </w:rPr>
                        <w:t>Greg Wasson and Kimberly Wasson share voting and investment power over the securities held by WE-INN LLC. The address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Equity Compensation Plan Information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42</w:t>
      </w:r>
      <w:r>
        <mc:AlternateContent>
          <mc:Choice Requires="wps">
            <w:drawing>
              <wp:anchor behindDoc="0" distT="0" distB="0" distL="0" distR="0" simplePos="0" locked="0" layoutInCell="1" allowOverlap="1" relativeHeight="3743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46" name="Frame37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144520" cy="204470"/>
                <wp:effectExtent l="0" t="0" r="0" b="0"/>
                <wp:wrapNone/>
                <wp:docPr id="3047" name="Frame37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such smaller number of shares as determined by the Board of Directors of the 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7.6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such smaller number of shares as determined by the Board of Directors of the 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48" name="Frame37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1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5995" cy="102235"/>
                <wp:effectExtent l="0" t="0" r="0" b="0"/>
                <wp:wrapNone/>
                <wp:docPr id="3049" name="Frame37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599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by an amount equal to the lesser of (a) 3% of the shares of the Company’s Common Stock outstanding on the last day of the immediately preceding fiscal year and (b)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8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by an amount equal to the lesser of (a) 3% of the shares of the Company’s Common Stock outstanding on the last day of the immediately preceding fiscal year and (b)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0">
                <wp:simplePos x="0" y="0"/>
                <wp:positionH relativeFrom="page">
                  <wp:posOffset>7026275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0" name="Frame37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4725" cy="102235"/>
                <wp:effectExtent l="0" t="0" r="0" b="0"/>
                <wp:wrapNone/>
                <wp:docPr id="3051" name="Frame37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rights (such as restricted stock). In general, the aggregate share limit under the 2024 Plan will be automatically increased on the first day of each fiscal year, until 2034,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7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rights (such as restricted stock). In general, the aggregate share limit under the 2024 Plan will be automatically increased on the first day of each fiscal year, until 2034,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8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2" name="Frame37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02235"/>
                <wp:effectExtent l="0" t="0" r="0" b="0"/>
                <wp:wrapNone/>
                <wp:docPr id="3053" name="Frame37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As of December 31, 2024, consists of the shares available for future issuance under the 2024 Plan, all of which may be issued for awards other than options, warrants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As of December 31, 2024, consists of the shares available for future issuance under the 2024 Plan, all of which may be issued for awards other than options, warrants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6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1154430" cy="204470"/>
                <wp:effectExtent l="0" t="0" r="0" b="0"/>
                <wp:wrapNone/>
                <wp:docPr id="3054" name="Frame37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4430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not reflected in this column (b)).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0.9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not reflected in this column (b)).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5" name="Frame37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4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02235"/>
                <wp:effectExtent l="0" t="0" r="0" b="0"/>
                <wp:wrapNone/>
                <wp:docPr id="3056" name="Frame37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calculation of the number of shares of Common Stock covered by the Accelsius SARs included in column (a) as described in footnote 1 (and for the foregoing reasons is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calculation of the number of shares of Common Stock covered by the Accelsius SARs included in column (a) as described in footnote 1 (and for the foregoing reasons is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841500" cy="146685"/>
                <wp:effectExtent l="0" t="0" r="0" b="0"/>
                <wp:wrapNone/>
                <wp:docPr id="3057" name="Frame37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50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_____________________________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_____________________________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2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02235"/>
                <wp:effectExtent l="0" t="0" r="0" b="0"/>
                <wp:wrapNone/>
                <wp:docPr id="3058" name="Frame37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have a base price of $12.175, but such base price relates to Class A Common Units of Accelsius, not shares of Common Stock, and is already accounted for in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have a base price of $12.175, but such base price relates to Class A Common Units of Accelsius, not shares of Common Stock, and is already accounted for in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1">
                <wp:simplePos x="0" y="0"/>
                <wp:positionH relativeFrom="page">
                  <wp:posOffset>7029450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59" name="Frame37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40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900" cy="102235"/>
                <wp:effectExtent l="0" t="0" r="0" b="0"/>
                <wp:wrapNone/>
                <wp:docPr id="3060" name="Frame37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The weighted-average exercise price relates to outstanding stock options only. The Company’s restricted stock unit awards have no exercise price. The Accelsius SARs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7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The weighted-average exercise price relates to outstanding stock options only. The Company’s restricted stock unit awards have no exercise price. The Accelsius SARs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9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3729355" cy="204470"/>
                <wp:effectExtent l="0" t="0" r="0" b="0"/>
                <wp:wrapNone/>
                <wp:docPr id="3061" name="Frame37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935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spread and dividing it by the fair market value of a share of Common Stock all as of December 31, 2024.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93.65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spread and dividing it by the fair market value of a share of Common Stock all as of December 31, 2024.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8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62" name="Frame37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7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102235"/>
                <wp:effectExtent l="0" t="0" r="0" b="0"/>
                <wp:wrapNone/>
                <wp:docPr id="3063" name="Frame37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value, the “spread”). We calculated the number of shares of Common Stock covered by the Accelsius SARs for purposes of this column (a) by determining the aggregate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value, the “spread”). We calculated the number of shares of Common Stock covered by the Accelsius SARs for purposes of this column (a) by determining the aggregate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6">
                <wp:simplePos x="0" y="0"/>
                <wp:positionH relativeFrom="page">
                  <wp:posOffset>7026275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64" name="Frame37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2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5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4725" cy="102235"/>
                <wp:effectExtent l="0" t="0" r="0" b="0"/>
                <wp:wrapNone/>
                <wp:docPr id="3065" name="Frame37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4725" cy="10223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shares of Common Stock with a value equal to the appreciation in the value of a Class A Common Unit of Accelsius over a base price of $12.175 (such appreciation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75pt;height:8.05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shares of Common Stock with a value equal to the appreciation in the value of a Class A Common Unit of Accelsius over a base price of $12.175 (such appreciation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4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22225" cy="175260"/>
                <wp:effectExtent l="0" t="0" r="0" b="0"/>
                <wp:wrapNone/>
                <wp:docPr id="3066" name="Frame37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.7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33">
                <wp:simplePos x="0" y="0"/>
                <wp:positionH relativeFrom="page">
                  <wp:posOffset>971550</wp:posOffset>
                </wp:positionH>
                <wp:positionV relativeFrom="line">
                  <wp:posOffset>635</wp:posOffset>
                </wp:positionV>
                <wp:extent cx="6057265" cy="204470"/>
                <wp:effectExtent l="0" t="0" r="0" b="0"/>
                <wp:wrapNone/>
                <wp:docPr id="3067" name="Frame37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265" cy="2044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14"/>
                                <w:u w:val="none"/>
                                <w:effect w:val="none"/>
                              </w:rPr>
                              <w:t>Reflects options, restricted stock units and Accelsius SARs outstanding under the 2024 Plan. Each Accelsius SAR represents the right of the holder to receive a number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76.95pt;height:16.1pt;mso-wrap-distance-left:0pt;mso-wrap-distance-right:0pt;mso-wrap-distance-top:0pt;mso-wrap-distance-bottom:0pt;margin-top:0pt;mso-position-vertical:top;mso-position-vertical-relative:text;margin-left:76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14"/>
                          <w:u w:val="none"/>
                          <w:effect w:val="none"/>
                        </w:rPr>
                        <w:t>Reflects options, restricted stock units and Accelsius SARs outstanding under the 2024 Plan. Each Accelsius SAR represents the right of the holder to receive a number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OTHER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Proxy Materials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Delivery of Proxy Materials to Households</w:t>
      </w:r>
      <w:r>
        <mc:AlternateContent>
          <mc:Choice Requires="wps">
            <w:drawing>
              <wp:anchor behindDoc="0" distT="0" distB="0" distL="0" distR="0" simplePos="0" locked="0" layoutInCell="1" allowOverlap="1" relativeHeight="376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068" name="Frame37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You may view online this Proxy Statement and related materials at www.proxyvote.com.  As described further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You may view online this Proxy Statement and related materials at www.proxyvote.com.  As described further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786890" cy="293370"/>
                <wp:effectExtent l="0" t="0" r="0" b="0"/>
                <wp:wrapNone/>
                <wp:docPr id="3069" name="Frame37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89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investorrelations@innventure.com.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0.7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investorrelations@innventure.com.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9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0" name="Frame37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71" name="Frame37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Proxy Statement free of charge by visiting our website, www.innventure.com, or by writing to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Proxy Statement free of charge by visiting our website, www.innventure.com, or by writing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7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2" name="Frame37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073" name="Frame37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copies of the proxy materials unless requested.  You may obtain a copy of our 2024 Annual Report on Form 10-K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copies of the proxy materials unless requested.  You may obtain a copy of our 2024 Annual Report on Form 10-K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5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4" name="Frame37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075" name="Frame37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above, stockholders will receive only a written notice of how to access our proxy materials and will not receive printed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above, stockholders will receive only a written notice of how to access our proxy materials and will not receive printed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6" name="Frame37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4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1852930" cy="293370"/>
                <wp:effectExtent l="0" t="0" r="0" b="0"/>
                <wp:wrapNone/>
                <wp:docPr id="3077" name="Frame37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293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full set of our materials include: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45.9pt;height:23.1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full set of our materials include: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1">
                <wp:simplePos x="0" y="0"/>
                <wp:positionH relativeFrom="page">
                  <wp:posOffset>2698115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78" name="Frame37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212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60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269365" cy="293370"/>
                <wp:effectExtent l="0" t="0" r="0" b="0"/>
                <wp:wrapNone/>
                <wp:docPr id="3079" name="Frame37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our 2024 Annual Report.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9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our 2024 Annual Report.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9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080" name="Frame37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8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1949450" cy="293370"/>
                <wp:effectExtent l="0" t="0" r="0" b="0"/>
                <wp:wrapNone/>
                <wp:docPr id="3081" name="Frame37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945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a proxy or voting instruction card, and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3.5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a proxy or voting instruction card, and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7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082" name="Frame37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6">
                <wp:simplePos x="0" y="0"/>
                <wp:positionH relativeFrom="page">
                  <wp:posOffset>1428750</wp:posOffset>
                </wp:positionH>
                <wp:positionV relativeFrom="line">
                  <wp:posOffset>635</wp:posOffset>
                </wp:positionV>
                <wp:extent cx="2452370" cy="293370"/>
                <wp:effectExtent l="0" t="0" r="0" b="0"/>
                <wp:wrapNone/>
                <wp:docPr id="3083" name="Frame37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237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the Notice and Proxy Statement for the meeting,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3.1pt;height:23.1pt;mso-wrap-distance-left:0pt;mso-wrap-distance-right:0pt;mso-wrap-distance-top:0pt;mso-wrap-distance-bottom:0pt;margin-top:0pt;mso-position-vertical:top;mso-position-vertical-relative:text;margin-left:112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the Notice and Proxy Statement for the meeting,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55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44450" cy="175260"/>
                <wp:effectExtent l="0" t="0" r="0" b="0"/>
                <wp:wrapNone/>
                <wp:docPr id="3084" name="Frame37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>•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5pt;height:13.8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>•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43</w:t>
      </w:r>
      <w:r>
        <mc:AlternateContent>
          <mc:Choice Requires="wps">
            <w:drawing>
              <wp:anchor behindDoc="0" distT="0" distB="0" distL="0" distR="0" simplePos="0" locked="0" layoutInCell="1" allowOverlap="1" relativeHeight="378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293370"/>
                <wp:effectExtent l="0" t="0" r="0" b="0"/>
                <wp:wrapNone/>
                <wp:docPr id="3085" name="Frame37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materials, you can request to receive a separate copy in the future by following the instructions sent by your bank or broker.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materials, you can request to receive a separate copy in the future by following the instructions sent by your bank or broker.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5494020" cy="293370"/>
                <wp:effectExtent l="0" t="0" r="0" b="0"/>
                <wp:wrapNone/>
                <wp:docPr id="3086" name="Frame37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0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Requests for additional copies should be directed to us in writing using the contact information listed above.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32.6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Requests for additional copies should be directed to us in writing using the contact information listed above.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5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087" name="Frame37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4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088" name="Frame37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(or Proxy Statement, as applicable) to any shareholder residing at an address to which only one copy was delivered.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(or Proxy Statement, as applicable) to any shareholder residing at an address to which only one copy was delivered.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3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89" name="Frame37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2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90" name="Frame37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will also promptly deliver a separate copy of one Notice of Annual Meeting and Internet Availability of Proxy Materials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will also promptly deliver a separate copy of one Notice of Annual Meeting and Internet Availability of Proxy Materials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1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1" name="Frame37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90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865" cy="146685"/>
                <wp:effectExtent l="0" t="0" r="0" b="0"/>
                <wp:wrapNone/>
                <wp:docPr id="3092" name="Frame37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86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Tavistock Lakes Blvd, Suite 400, Orlando, FL 32827, Attention:  Corporate Secretary, or by phone at (321) 209-6787.  We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Tavistock Lakes Blvd, Suite 400, Orlando, FL 32827, Attention:  Corporate Secretary, or by phone at (321) 209-6787.  We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9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3" name="Frame37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8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094" name="Frame37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sent by following the instructions sent by your bank or broker or by contacting us in writing at Innventure, Inc., 6900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sent by following the instructions sent by your bank or broker or by contacting us in writing at Innventure, Inc., 6900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7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5" name="Frame37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6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096" name="Frame37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your household is receiving multiple copies of the proxy materials, you may request that only a single set of materials be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your household is receiving multiple copies of the proxy materials, you may request that only a single set of materials be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5">
                <wp:simplePos x="0" y="0"/>
                <wp:positionH relativeFrom="page">
                  <wp:posOffset>7028815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097" name="Frame37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1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098" name="Frame37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residing in the same household who hold their stock through a bank or broker may receive only one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residing in the same household who hold their stock through a bank or broker may receive only one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3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099" name="Frame37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2">
                <wp:simplePos x="0" y="0"/>
                <wp:positionH relativeFrom="page">
                  <wp:posOffset>1200150</wp:posOffset>
                </wp:positionH>
                <wp:positionV relativeFrom="line">
                  <wp:posOffset>635</wp:posOffset>
                </wp:positionV>
                <wp:extent cx="5827395" cy="146685"/>
                <wp:effectExtent l="0" t="0" r="0" b="0"/>
                <wp:wrapNone/>
                <wp:docPr id="3100" name="Frame37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If you hold your shares in “street name” and reside in a household that received only one copy of the proxy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8.85pt;height:11.55pt;mso-wrap-distance-left:0pt;mso-wrap-distance-right:0pt;mso-wrap-distance-top:0pt;mso-wrap-distance-bottom:0pt;margin-top:0pt;mso-position-vertical:top;mso-position-vertical-relative:text;margin-left:94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If you hold your shares in “street name” and reside in a household that received only one copy of the proxy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1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1769745" cy="293370"/>
                <wp:effectExtent l="0" t="0" r="0" b="0"/>
                <wp:wrapNone/>
                <wp:docPr id="3101" name="Frame37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974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stockholders within the household.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39.35pt;height:23.1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stockholders within the household.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80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2" name="Frame37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9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103" name="Frame37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This practice will continue unless instructions to the contrary are received by your bank or broker from one or more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This practice will continue unless instructions to the contrary are received by your bank or broker from one or more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8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63500" cy="175260"/>
                <wp:effectExtent l="0" t="0" r="0" b="0"/>
                <wp:wrapNone/>
                <wp:docPr id="3104" name="Frame37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  <w:strike w:val="false"/>
                                <w:dstrike w:val="false"/>
                                <w:u w:val="none"/>
                                <w:effect w:val="none"/>
                              </w:rPr>
                              <w:t xml:space="preserve">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</w:pPr>
                      <w:r>
                        <w:rPr>
                          <w:caps w:val="false"/>
                          <w:smallCaps w:val="false"/>
                          <w:strike w:val="false"/>
                          <w:dstrike w:val="false"/>
                          <w:u w:val="none"/>
                          <w:effect w:val="none"/>
                        </w:rPr>
                        <w:t xml:space="preserve">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7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4595" cy="146685"/>
                <wp:effectExtent l="0" t="0" r="0" b="0"/>
                <wp:wrapNone/>
                <wp:docPr id="3105" name="Frame37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459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sending only one copy of proxy materials is called “householding,” and saves us money in printing and distribution costs.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5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sending only one copy of proxy materials is called “householding,” and saves us money in printing and distribution costs.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6">
                <wp:simplePos x="0" y="0"/>
                <wp:positionH relativeFrom="page">
                  <wp:posOffset>7026910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6" name="Frame37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5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3960" cy="146685"/>
                <wp:effectExtent l="0" t="0" r="0" b="0"/>
                <wp:wrapNone/>
                <wp:docPr id="3107" name="Frame37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396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printed copy of the Proxy Statement) in accordance with a notice sent earlier by their bank or broker.  This practice of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8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printed copy of the Proxy Statement) in accordance with a notice sent earlier by their bank or broker.  This practice of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4">
                <wp:simplePos x="0" y="0"/>
                <wp:positionH relativeFrom="page">
                  <wp:posOffset>7028180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08" name="Frame37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3">
                <wp:simplePos x="0" y="0"/>
                <wp:positionH relativeFrom="page">
                  <wp:posOffset>742950</wp:posOffset>
                </wp:positionH>
                <wp:positionV relativeFrom="line">
                  <wp:posOffset>635</wp:posOffset>
                </wp:positionV>
                <wp:extent cx="6285230" cy="146685"/>
                <wp:effectExtent l="0" t="0" r="0" b="0"/>
                <wp:wrapNone/>
                <wp:docPr id="3109" name="Frame37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523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ans-serif" w:hAnsi="Times New Roman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Notice of Annual Meeting and Internet Availability of Proxy Materials (or Proxy Statement, for those who receive a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94.9pt;height:11.55pt;mso-wrap-distance-left:0pt;mso-wrap-distance-right:0pt;mso-wrap-distance-top:0pt;mso-wrap-distance-bottom:0pt;margin-top:0pt;mso-position-vertical:top;mso-position-vertical-relative:text;margin-left:5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ans-serif" w:hAnsi="Times New Roman;sans-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Notice of Annual Meeting and Internet Availability of Proxy Materials (or Proxy Statement, for those who receive a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72">
                <wp:simplePos x="0" y="0"/>
                <wp:positionH relativeFrom="page">
                  <wp:posOffset>7027545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110" name="Frame37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5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</w:pPr>
      <w:r>
        <w:rPr>
          <w:rFonts w:ascii="Times New Roman;sans-serif" w:hAnsi="Times New Roman;sans-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>44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  <w:font w:name="Arial">
    <w:altName w:val="Sans 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3.jpeg"/><Relationship Id="rId8" Type="http://schemas.openxmlformats.org/officeDocument/2006/relationships/image" Target="media/image1.jpeg"/><Relationship Id="rId9" Type="http://schemas.openxmlformats.org/officeDocument/2006/relationships/image" Target="media/image1.jpeg"/><Relationship Id="rId10" Type="http://schemas.openxmlformats.org/officeDocument/2006/relationships/image" Target="media/image4.jpeg"/><Relationship Id="rId11" Type="http://schemas.openxmlformats.org/officeDocument/2006/relationships/image" Target="media/image4.jpeg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10</Pages>
  <Words>29935</Words>
  <Characters>169394</Characters>
  <CharactersWithSpaces>196849</CharactersWithSpaces>
  <Paragraphs>2721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