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August 14, 2025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2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Innventure,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ectPr>
          <w:pgSz w:w="11900" w:h="16838" w:orient="portrait"/>
          <w:cols w:equalWidth="0" w:num="1">
            <w:col w:w="11300"/>
          </w:cols>
          <w:pgMar w:left="300" w:top="877" w:right="299" w:bottom="1440" w:gutter="0" w:footer="0" w:header="0"/>
        </w:sectPr>
      </w:pPr>
    </w:p>
    <w:p>
      <w:pPr>
        <w:spacing w:after="0" w:line="2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001-42303</w:t>
      </w:r>
    </w:p>
    <w:p>
      <w:pPr>
        <w:spacing w:after="0" w:line="2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93-4440048</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(I.R.S. Employer Identification Number)</w:t>
      </w:r>
    </w:p>
    <w:p>
      <w:pPr>
        <w:spacing w:after="0" w:line="27" w:lineRule="exact"/>
        <w:rPr>
          <w:sz w:val="24"/>
          <w:szCs w:val="24"/>
          <w:color w:val="auto"/>
        </w:rPr>
      </w:pPr>
    </w:p>
    <w:p>
      <w:pPr>
        <w:sectPr>
          <w:pgSz w:w="11900" w:h="16838" w:orient="portrait"/>
          <w:cols w:equalWidth="0" w:num="3">
            <w:col w:w="4240" w:space="720"/>
            <w:col w:w="2700" w:space="720"/>
            <w:col w:w="2920"/>
          </w:cols>
          <w:pgMar w:left="300" w:top="877" w:right="29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6900 Tavistock Lakes Blvd, Suite 400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Orlando, Florida 32827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(321) 209-6787</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7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ectPr>
          <w:pgSz w:w="11900" w:h="16838" w:orient="portrait"/>
          <w:cols w:equalWidth="0" w:num="1">
            <w:col w:w="11300"/>
          </w:cols>
          <w:pgMar w:left="300" w:top="877" w:right="299" w:bottom="1440" w:gutter="0" w:footer="0" w:header="0"/>
          <w:type w:val="continuous"/>
        </w:sectPr>
      </w:pP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Pre-commencement communications pursuant to Rule 13e-4(c) under the Exchange Act (17 CFR 240.13e-4(c))</w:t>
      </w:r>
    </w:p>
    <w:p>
      <w:pPr>
        <w:spacing w:after="0" w:line="195" w:lineRule="exact"/>
        <w:rPr>
          <w:sz w:val="24"/>
          <w:szCs w:val="24"/>
          <w:color w:val="auto"/>
        </w:rPr>
      </w:pPr>
    </w:p>
    <w:tbl>
      <w:tblPr>
        <w:tblLayout w:type="fixed"/>
        <w:tblInd w:w="74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8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3"/>
        </w:trPr>
        <w:tc>
          <w:tcPr>
            <w:tcW w:w="680" w:type="dxa"/>
            <w:vAlign w:val="bottom"/>
          </w:tcPr>
          <w:p>
            <w:pPr>
              <w:spacing w:after="0"/>
              <w:rPr>
                <w:sz w:val="13"/>
                <w:szCs w:val="13"/>
                <w:color w:val="auto"/>
              </w:rPr>
            </w:pPr>
          </w:p>
        </w:tc>
        <w:tc>
          <w:tcPr>
            <w:tcW w:w="2180" w:type="dxa"/>
            <w:vAlign w:val="bottom"/>
            <w:gridSpan w:val="2"/>
          </w:tcPr>
          <w:p>
            <w:pPr>
              <w:jc w:val="center"/>
              <w:ind w:right="12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80" w:type="dxa"/>
            <w:vAlign w:val="bottom"/>
            <w:gridSpan w:val="3"/>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262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87"/>
        </w:trPr>
        <w:tc>
          <w:tcPr>
            <w:tcW w:w="2860" w:type="dxa"/>
            <w:vAlign w:val="bottom"/>
            <w:gridSpan w:val="3"/>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w:t>
            </w:r>
          </w:p>
        </w:tc>
        <w:tc>
          <w:tcPr>
            <w:tcW w:w="1200" w:type="dxa"/>
            <w:vAlign w:val="bottom"/>
          </w:tcPr>
          <w:p>
            <w:pPr>
              <w:spacing w:after="0"/>
              <w:rPr>
                <w:sz w:val="16"/>
                <w:szCs w:val="16"/>
                <w:color w:val="auto"/>
              </w:rPr>
            </w:pPr>
          </w:p>
        </w:tc>
        <w:tc>
          <w:tcPr>
            <w:tcW w:w="2680" w:type="dxa"/>
            <w:vAlign w:val="bottom"/>
            <w:gridSpan w:val="2"/>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INV</w:t>
            </w:r>
          </w:p>
        </w:tc>
        <w:tc>
          <w:tcPr>
            <w:tcW w:w="38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The Nasdaq Stock Market, LLC</w:t>
            </w: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Indicate by check mark whether the registrant is an emerging growth company as defined in Rule 12b-2 of the Exchange Act.</w:t>
      </w:r>
    </w:p>
    <w:p>
      <w:pPr>
        <w:spacing w:after="0" w:line="58" w:lineRule="exact"/>
        <w:rPr>
          <w:sz w:val="24"/>
          <w:szCs w:val="24"/>
          <w:color w:val="auto"/>
        </w:rPr>
      </w:pPr>
    </w:p>
    <w:p>
      <w:pPr>
        <w:spacing w:after="0" w:line="138" w:lineRule="exact"/>
        <w:tabs>
          <w:tab w:leader="none" w:pos="1480" w:val="left"/>
        </w:tabs>
        <w:rPr>
          <w:sz w:val="20"/>
          <w:szCs w:val="20"/>
          <w:color w:val="auto"/>
        </w:rPr>
      </w:pPr>
      <w:r>
        <w:rPr>
          <w:rFonts w:ascii="Times New Roman" w:cs="Times New Roman" w:eastAsia="Times New Roman" w:hAnsi="Times New Roman"/>
          <w:sz w:val="12"/>
          <w:szCs w:val="12"/>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8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433070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On August 14, 2025, Innventure, Inc. (the “Company”) issued a press release, attached hereto as Exhibit 99.1 and incorporated herein by reference, announcing the Company’s financial results for the second quarter ended June 30,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r>
        <w:rPr>
          <w:rFonts w:ascii="Times New Roman" w:cs="Times New Roman" w:eastAsia="Times New Roman" w:hAnsi="Times New Roman"/>
          <w:sz w:val="12"/>
          <w:szCs w:val="12"/>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ectPr>
          <w:pgSz w:w="11900" w:h="16838" w:orient="portrait"/>
          <w:cols w:equalWidth="0" w:num="1">
            <w:col w:w="11280"/>
          </w:cols>
          <w:pgMar w:left="300" w:top="767" w:right="319" w:bottom="1440" w:gutter="0" w:footer="0" w:header="0"/>
        </w:sectPr>
      </w:pPr>
    </w:p>
    <w:p>
      <w:pPr>
        <w:spacing w:after="0" w:line="1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14"/>
          <w:szCs w:val="14"/>
          <w:b w:val="1"/>
          <w:bCs w:val="1"/>
          <w:color w:val="auto"/>
        </w:rPr>
        <w:t>Description of Exhibit</w:t>
      </w:r>
    </w:p>
    <w:p>
      <w:pPr>
        <w:spacing w:after="0" w:line="39" w:lineRule="exact"/>
        <w:rPr>
          <w:sz w:val="20"/>
          <w:szCs w:val="20"/>
          <w:color w:val="auto"/>
        </w:rPr>
      </w:pPr>
    </w:p>
    <w:p>
      <w:pPr>
        <w:sectPr>
          <w:pgSz w:w="11900" w:h="16838" w:orient="portrait"/>
          <w:cols w:equalWidth="0" w:num="2">
            <w:col w:w="4920" w:space="720"/>
            <w:col w:w="5640"/>
          </w:cols>
          <w:pgMar w:left="300" w:top="767" w:right="319" w:bottom="1440" w:gutter="0" w:footer="0" w:header="0"/>
          <w:type w:val="continuous"/>
        </w:sectPr>
      </w:pPr>
    </w:p>
    <w:p>
      <w:pPr>
        <w:ind w:left="660"/>
        <w:spacing w:after="0"/>
        <w:tabs>
          <w:tab w:leader="none" w:pos="156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4"/>
          <w:szCs w:val="14"/>
          <w:color w:val="auto"/>
        </w:rPr>
        <w:t>Press Release by Innventure, Inc. dated August 14, 2025</w:t>
      </w:r>
    </w:p>
    <w:p>
      <w:pPr>
        <w:sectPr>
          <w:pgSz w:w="11900" w:h="16838" w:orient="portrait"/>
          <w:cols w:equalWidth="0" w:num="1">
            <w:col w:w="11280"/>
          </w:cols>
          <w:pgMar w:left="300" w:top="767" w:right="319" w:bottom="1440" w:gutter="0" w:footer="0" w:header="0"/>
          <w:type w:val="continuous"/>
        </w:sectPr>
      </w:pPr>
    </w:p>
    <w:p>
      <w:pPr>
        <w:spacing w:after="0" w:line="37" w:lineRule="exact"/>
        <w:rPr>
          <w:sz w:val="20"/>
          <w:szCs w:val="20"/>
          <w:color w:val="auto"/>
        </w:rPr>
      </w:pPr>
    </w:p>
    <w:p>
      <w:pPr>
        <w:ind w:left="1580" w:hanging="904"/>
        <w:spacing w:after="0"/>
        <w:tabs>
          <w:tab w:leader="none" w:pos="15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965200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3"/>
          <w:szCs w:val="13"/>
          <w:b w:val="1"/>
          <w:bCs w:val="1"/>
          <w:color w:val="auto"/>
        </w:rPr>
        <w:t>INNVENTURE, INC.</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Date: April 11, 2025</w:t>
            </w:r>
          </w:p>
        </w:tc>
        <w:tc>
          <w:tcPr>
            <w:tcW w:w="3280" w:type="dxa"/>
            <w:vAlign w:val="bottom"/>
          </w:tcPr>
          <w:p>
            <w:pPr>
              <w:ind w:left="250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David Yablunosky</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80" w:type="dxa"/>
            <w:vAlign w:val="bottom"/>
            <w:vMerge w:val="restart"/>
          </w:tcPr>
          <w:p>
            <w:pPr>
              <w:ind w:left="2500"/>
              <w:spacing w:after="0"/>
              <w:rPr>
                <w:sz w:val="20"/>
                <w:szCs w:val="20"/>
                <w:color w:val="auto"/>
              </w:rPr>
            </w:pPr>
            <w:r>
              <w:rPr>
                <w:rFonts w:ascii="Times New Roman" w:cs="Times New Roman" w:eastAsia="Times New Roman" w:hAnsi="Times New Roman"/>
                <w:sz w:val="12"/>
                <w:szCs w:val="12"/>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David Yablunosky</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280" w:type="dxa"/>
            <w:vAlign w:val="bottom"/>
          </w:tcPr>
          <w:p>
            <w:pPr>
              <w:ind w:left="2500"/>
              <w:spacing w:after="0"/>
              <w:rPr>
                <w:sz w:val="20"/>
                <w:szCs w:val="20"/>
                <w:color w:val="auto"/>
              </w:rPr>
            </w:pPr>
            <w:r>
              <w:rPr>
                <w:rFonts w:ascii="Times New Roman" w:cs="Times New Roman" w:eastAsia="Times New Roman" w:hAnsi="Times New Roman"/>
                <w:sz w:val="12"/>
                <w:szCs w:val="12"/>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300"/>
          </w:cols>
          <w:pgMar w:left="300" w:top="773"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9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24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2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2025-08-14T15:28:14Z</dcterms:created>
  <dcterms:modified xsi:type="dcterms:W3CDTF">2025-08-14T15:28:14Z</dcterms:modified>
</cp:coreProperties>
</file>