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15, 2025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4"/>
          <w:szCs w:val="24"/>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4"/>
          <w:szCs w:val="24"/>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Item 1.01 </w:t>
      </w:r>
      <w:r>
        <w:rPr>
          <w:rFonts w:ascii="Times New Roman" w:cs="Times New Roman" w:eastAsia="Times New Roman" w:hAnsi="Times New Roman"/>
          <w:sz w:val="21"/>
          <w:szCs w:val="21"/>
          <w:b w:val="1"/>
          <w:bCs w:val="1"/>
          <w:color w:val="auto"/>
        </w:rPr>
        <w:t>Entry into a Material Definitive Agreement.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 and Convertible Debentures</w:t>
      </w:r>
    </w:p>
    <w:p>
      <w:pPr>
        <w:spacing w:after="0" w:line="243"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On September 15, 2025 (the “Agreement Date”), Innventure, Inc., a Delaware corporation (the “Company”), entered into a securities purchase agreement (the “Purchase Agreement”) with YA II PN, Ltd. (“Yorkville”), in connection with the issuance and sale by the Company of convertible debentures issuable in an aggregate principal amount of up to $15,000,000 (the “Convertible Debentures”), which Convertible Debentures will be convertible into shares of the Company’s common stock, par value $0.0001 per share (the “Common Stock”) (as converted, the “Conversion Shares”). Pursuant to the Purchase Agreement, Yorkville purchased, and the Company issued, $10,000,000 in aggregate principal amount of Convertible Debentures (the “Third Convertible Debenture”) on the Agreement Date, upon satisfaction of certain closing conditions in the Purchase Agreement (the “First Closing”). The Third Convertible Debenture resulted in gross proceeds to the Company of approximately $7,000,000, representing an original issue discount of 10% and including the $2,000,000 September Payment (as defined below). Yorkville will purchase and the Company will issue an additional $5,000,000 in aggregate principal amount of Convertible Debentures on the first business day after the date the registration statement filed with the Securities and Exchange Commission (the “SEC”) registering the resale of the Conversion Shares is declared effective by the SEC (the “Second Closing”), and will also be issued at an original issue discount of 10%.</w:t>
      </w:r>
    </w:p>
    <w:p>
      <w:pPr>
        <w:spacing w:after="0" w:line="218"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The Convertible Debentures bear interest at an annual rate of 5.0%, unless an event of default occurs and remains uncured, upon which the Convertible Debentures will bear interest at an annual rate of 18.0%. The Convertible Debentures will mature on September 15, 2026, the date that is 12 months from the date of the First Closing (the “Maturity Date”) and, upon completion of the Second Closing, will result in gross proceeds to the Company of approximately $11,500,000 (including the original issue discount of 10% and the $2,000,000 September Payment).</w:t>
      </w:r>
    </w:p>
    <w:p>
      <w:pPr>
        <w:spacing w:after="0" w:line="20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The Convertible Debentures are convertible at the option of the holder into Common Stock equal to the applicable Conversion Amount (as defined below) divided by the Conversion Price (as defined below). The conversion price for the Convertible Debentures will be the lower of (i) $7.00 per share of Common Stock (the “Fixed Price”), or (ii) 95% of the lowest daily VWAP (as defined below) of the Common Stock during the five consecutive trading days immediately preceding conversion date or other date of determination (the “Variable Price” and the applicable purchase price, the “Conversion Price”), but which Variable Price shall not be lower than the Floor Price (as defined below) then in effect. The Floor Price is $1.16, the price equal to 20% of the Minimum Price of the Common Stock (as calculated pursuant to the rules of the Nasdaq Stock Market). Any portion of the Convertible Debentures may be converted at any time and from time to time, subject to the Exchange Cap (as defined below). The Conversion Amount with respect to any requested conversion will equal the principal amount requested to be converted plus all accrued and unpaid interest on the Convertible Debentures as of such conversion, with fractional shares rounded up (the “Conversion Amount”). In addition, no conversion will be permitted to the extent that, after giving effect to such conversion, the holder together with the certain related parties would beneficially own in excess of 4.99% of the Common Stock outstanding immediately after giving effect to such conversion, subject to certain adjustments.</w:t>
      </w:r>
    </w:p>
    <w:p>
      <w:pPr>
        <w:spacing w:after="0" w:line="218" w:lineRule="exact"/>
        <w:rPr>
          <w:sz w:val="20"/>
          <w:szCs w:val="20"/>
          <w:color w:val="auto"/>
        </w:rPr>
      </w:pPr>
    </w:p>
    <w:p>
      <w:pPr>
        <w:ind w:right="280" w:firstLine="648"/>
        <w:spacing w:after="0" w:line="242" w:lineRule="auto"/>
        <w:rPr>
          <w:sz w:val="20"/>
          <w:szCs w:val="20"/>
          <w:color w:val="auto"/>
        </w:rPr>
      </w:pPr>
      <w:r>
        <w:rPr>
          <w:rFonts w:ascii="Times New Roman" w:cs="Times New Roman" w:eastAsia="Times New Roman" w:hAnsi="Times New Roman"/>
          <w:sz w:val="18"/>
          <w:szCs w:val="18"/>
          <w:color w:val="auto"/>
        </w:rPr>
        <w:t>The Company shall not issue any Common Stock upon conversion of the Convertible Debentures held by Yorkville if the issuance of such Common Stock underlying the Convertible Debentures would exceed the aggregate number of Common Stock that the Company may issue upon conversion of the Convertible Debentures in compliance with the Company’s obligations under the rules or regulations of the Nasdaq Stock Market (the “Exchange Cap”). The Exchange Cap will not apply if the Company obtains the approval of its stockholders as required by the applicable rules of the Nasdaq Stock Market for issuances of Common Stock in excess of such amount.</w:t>
      </w:r>
    </w:p>
    <w:p>
      <w:pPr>
        <w:spacing w:after="0" w:line="212"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The Company will not be required to make monthly cash payments pursuant to the Convertible Debentures unless an Amortization Event (as defined below) has occurred and then the Company will make monthly cash payments each month until the earlier of (i) the entire outstanding amount under the Convertible Debentures have been repaid or (ii) the Amortization Event ceases, as provided in the Convertible Debentures. An “Amortization Event” means (i) the daily volume-weighted average price (“VWAP”) of the Company’s Common Stock is lower than the Floor Price for any five of seven consecutive trading days, (ii) the Company has issued in excess of 99% of the Common Stock available under the Exchange Cap or (iii) Yorkville is unable to use the Registration Statement (as defined below) for a period of 20 consecutive trading days. The monthly cash payments will be in an amount equal to 10% of the original principal amount (or the outstanding principal amount of the Convertible Debentures if lower than such amount), plus a payment premium of 5% and all accrued and unpaid interest as of the date of such payment. Such Amortization Event payments will commence 15 days following the Amortization Event.</w:t>
      </w:r>
    </w:p>
    <w:p>
      <w:pPr>
        <w:spacing w:after="0" w:line="212" w:lineRule="exact"/>
        <w:rPr>
          <w:sz w:val="20"/>
          <w:szCs w:val="20"/>
          <w:color w:val="auto"/>
        </w:rPr>
      </w:pPr>
    </w:p>
    <w:p>
      <w:pPr>
        <w:ind w:right="720" w:firstLine="648"/>
        <w:spacing w:after="0" w:line="266" w:lineRule="auto"/>
        <w:rPr>
          <w:sz w:val="20"/>
          <w:szCs w:val="20"/>
          <w:color w:val="auto"/>
        </w:rPr>
      </w:pPr>
      <w:r>
        <w:rPr>
          <w:rFonts w:ascii="Times New Roman" w:cs="Times New Roman" w:eastAsia="Times New Roman" w:hAnsi="Times New Roman"/>
          <w:sz w:val="18"/>
          <w:szCs w:val="18"/>
          <w:color w:val="auto"/>
        </w:rPr>
        <w:t>If the VWAP of the Common Stock is less than the Fixed Price, then the Convertible Debentures provide the Company, subject to certain conditions, with an optional redemption right pursuant to which the Company, upon 10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 w:name="page3"/>
    <w:bookmarkEnd w:id="2"/>
    <w:p>
      <w:pPr>
        <w:ind w:right="120"/>
        <w:spacing w:after="0" w:line="250" w:lineRule="auto"/>
        <w:rPr>
          <w:sz w:val="20"/>
          <w:szCs w:val="20"/>
          <w:color w:val="auto"/>
        </w:rPr>
      </w:pPr>
      <w:r>
        <w:rPr>
          <w:rFonts w:ascii="Times New Roman" w:cs="Times New Roman" w:eastAsia="Times New Roman" w:hAnsi="Times New Roman"/>
          <w:sz w:val="18"/>
          <w:szCs w:val="18"/>
          <w:color w:val="auto"/>
        </w:rPr>
        <w:t>days’ prior written notice to Yorkville, may redeem in cash, in whole or in part, all amounts outstanding under the Convertible Debentures prior to the Maturity Date. The redemption amount shall be equal to the outstanding principal balance being redeemed by the Company, plus the redemption premium of 10% of the principal amount being redeemed, plus all accrued and unpaid interest as of the date of such redemption.</w:t>
      </w:r>
    </w:p>
    <w:p>
      <w:pPr>
        <w:spacing w:after="0" w:line="204"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Pursuant to the terms of the Purchase Agreement, prior to the Company loaning, investing, transferring or downstreaming any cash proceeds, or assets or property acquired with cash proceeds from the issuance and sale of the Convertible Debentures to Innventure LLC (“Innventure LLC”), a wholly-owned subsidiary of the Company, Innventure LLC was obligated to enter into a global guaranty agreement (the “Guaranty”) in favor of Yorkville with respect to the Company’s obligations under the Purchase Agreement and the Convertible Debentures. Innventure LLC entered into the Guaranty on the date of the First Closing.</w:t>
      </w:r>
    </w:p>
    <w:p>
      <w:pPr>
        <w:spacing w:after="0" w:line="198"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The foregoing descriptions of the Purchase Agreement, the Guaranty, and the Third Convertible Debenture do not purport to be complete and are qualified in their entirety by reference to the full text of such documents, which are filed herewith as Exhibits 10.1, 10.2 and 4.1, respectively, and are incorporated herein by reference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43"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In connection with the Purchase Agreement, on the date of the First Closing, the Company entered into a registration rights agreement (the “Registration Rights Agreement”) with Yorkville pursuant to which Yorkville is entitled to certain registration rights under the Securities Act of 1933, as amended (the “Securities Act”). Pursuant to the Registration Rights Agreement, the Company is required to, on the 45th calendar day following the date of the First Closing, file with the SEC (at its sole cost and expense) a registration statement (the “Registration Statement”) registering the resale by Yorkville of at least 12 million Conversion Shares. Under the Registration Rights Agreement, Yorkville was also granted demand registration rights and piggyback registration rights under certain conditions as described in the Registration Rights Agreement.</w:t>
      </w:r>
    </w:p>
    <w:p>
      <w:pPr>
        <w:spacing w:after="0" w:line="211"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 Company agreed to use its best reasonable efforts to ensure that the Registration Statement is declared effective by the earlier of the date that is 60 calendar days following the filing of such Registration Statement or the fifth business day after the date the Company is notified by the SEC that the Registration Statement will not be reviewed or will not be subject to further review. The Company also agreed that, with respect to any additional registration statements filed pursuant to the Registration Rights Agreement, it will use its reasonable best efforts to ensure that such registration statement is declared effective by the earlier of the date that is 75 calendar days following the date on which the Company was required to file such registration statement and the fifth business day after the date the Company is notified by the SEC that such registration statement will not be reviewed or will not be subject to further review.</w:t>
      </w:r>
    </w:p>
    <w:p>
      <w:pPr>
        <w:spacing w:after="0" w:line="21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full text of such document, which is filed herewith as Exhibit 10.3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Existing Convertible Debentures</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As previously disclosed, on March 25, 2025, the Company entered into a securities purchase agreement (the “Previous Purchase Agreement”) with Yorkville, for the issuance and sale by the Company of convertible debentures (the “Existing Convertible Debentures”) issuable in an aggregate principal amount of up to $30,000,000, which Existing Convertible Debentures are convertible into shares of the Company’s Common Stock. On April 14, 2025, the Company issued an Existing Convertible Debenture to Yorkville with an original principal amount of $20,000,000 (the “First Convertible Debenture”). On May 15, 2025, the Company issued an Existing Convertible Debenture to Yorkville with an original principal amount of $10,000,000 (the “Second Convertible Debenture” and, together with the First Convertible Debenture, the “Existing Debentures”). On June 4, 2025, Yorkville and the Company entered into an amendment to the Existing Debentures (the “Previous Amendment”), pursuant to which the parties agreed to amend the definition of “Conversion Price.”</w:t>
      </w:r>
    </w:p>
    <w:p>
      <w:pPr>
        <w:spacing w:after="0" w:line="214"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18"/>
          <w:szCs w:val="18"/>
          <w:color w:val="auto"/>
        </w:rPr>
        <w:t>On the Agreement Date, Yorkville and the Company entered into an additional amendment to the Existing Debentures (the “Second Amendment”), pursuant to which the parties agreed to (i) remove the monthly cash payments set forth in the Existing Debentures in Section 1(c) and Exhibit I, following the repayment of the approximately $2,000,000 due on September 14, 2025 pursuant to the Existing Debentures (the “September Payment”), which September Payment will not include any premium and will be deducted from the gross proceeds received by the Company from the issuance of the Third Convertible Debenture on the First Closing; (ii) introduce cash payments only in connection with an amortization event, along the lines set forth above with respect to the newly issued Convertible Debentures; (iii) amend the definition of “Conversion Price” as set forth in Section 12(n) of the Existing Debentures to track the definition of Conversion Price set forth above with respect to the newly issued Convertible Debentures, with a Floor Price of $1.59, the price equal to 20%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675005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 w:name="page4"/>
    <w:bookmarkEnd w:id="3"/>
    <w:p>
      <w:pPr>
        <w:ind w:right="40"/>
        <w:spacing w:after="0" w:line="239" w:lineRule="auto"/>
        <w:rPr>
          <w:sz w:val="20"/>
          <w:szCs w:val="20"/>
          <w:color w:val="auto"/>
        </w:rPr>
      </w:pPr>
      <w:r>
        <w:rPr>
          <w:rFonts w:ascii="Times New Roman" w:cs="Times New Roman" w:eastAsia="Times New Roman" w:hAnsi="Times New Roman"/>
          <w:sz w:val="18"/>
          <w:szCs w:val="18"/>
          <w:color w:val="auto"/>
        </w:rPr>
        <w:t>the Minimum Price of the Common Stock as of March 25, 2025, the date of the Previous Purchase Agreement (as calculated pursuant to the rules of the Nasdaq Stock Market); and (iv) institute a cap on the number of shares of Common Stock issuable upon conversion of the Existing Debentures if the issuance of such Common Stock would exceed the aggregate number of Common Stock that the Company may issue in compliance with the Company’s obligations under the rules or regulations of the Nasdaq Stock Market. The cap will not apply if the Company obtains the approval of its stockholders as required by the applicable rules of the Nasdaq Stock Market for issuances of Common Stock in excess of such amount, or if the Company obtains a written opinion from outside counsel to the Company that such stockholder approval is not required. The Company also agreed to take all steps necessary to allow Yorkville to continue to utilize a registration statement that the Company previously filed, and is currently effective, to register the resale of the shares issued upon conversion of the Existing Debentures.</w:t>
      </w:r>
    </w:p>
    <w:p>
      <w:pPr>
        <w:spacing w:after="0" w:line="201"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Second Amendment does not purport to be complete and is qualified in its entirety by the terms of the Second Amendment, which is attached hereto as Exhibit 10.4 and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43" w:lineRule="exact"/>
        <w:rPr>
          <w:sz w:val="20"/>
          <w:szCs w:val="20"/>
          <w:color w:val="auto"/>
        </w:rPr>
      </w:pPr>
    </w:p>
    <w:p>
      <w:pPr>
        <w:ind w:right="320" w:firstLine="648"/>
        <w:spacing w:after="0" w:line="245" w:lineRule="auto"/>
        <w:rPr>
          <w:sz w:val="20"/>
          <w:szCs w:val="20"/>
          <w:color w:val="auto"/>
        </w:rPr>
      </w:pPr>
      <w:r>
        <w:rPr>
          <w:rFonts w:ascii="Times New Roman" w:cs="Times New Roman" w:eastAsia="Times New Roman" w:hAnsi="Times New Roman"/>
          <w:sz w:val="18"/>
          <w:szCs w:val="18"/>
          <w:color w:val="auto"/>
        </w:rPr>
        <w:t>The information contained in Item 1.01 is incorporated herein by reference. The issuance of the Convertible Debentures and the Conversion Shares will be exempt from registration pursuant to Section 4(a)(2) of the Securities Act. Yorkville represented to the Company that it is an “accredited investor” as defined in Rule 501 of the Securities Act and that each of the Convertible Debentures and the Conversion Shares will be acquired for investment purposes and not with a view to, or for sale in connection with, any distribution thereof.</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9140" w:type="dxa"/>
            <w:vAlign w:val="bottom"/>
          </w:tcPr>
          <w:p>
            <w:pPr>
              <w:spacing w:after="0"/>
              <w:rPr>
                <w:sz w:val="20"/>
                <w:szCs w:val="20"/>
                <w:color w:val="auto"/>
              </w:rPr>
            </w:pPr>
          </w:p>
        </w:tc>
      </w:tr>
      <w:tr>
        <w:trPr>
          <w:trHeight w:val="500"/>
        </w:trPr>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14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5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r>
              <w:rPr>
                <w:rFonts w:ascii="Cambria" w:cs="Cambria" w:eastAsia="Cambria" w:hAnsi="Cambria"/>
                <w:sz w:val="14"/>
                <w:szCs w:val="14"/>
                <w:b w:val="1"/>
                <w:bCs w:val="1"/>
                <w:color w:val="auto"/>
              </w:rPr>
              <w:t>^</w:t>
            </w:r>
          </w:p>
        </w:tc>
        <w:tc>
          <w:tcPr>
            <w:tcW w:w="9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Third Convertible Debenture, issued to YA II PN, Ltd., dated September 15, 2025.</w:t>
            </w:r>
          </w:p>
        </w:tc>
      </w:tr>
      <w:tr>
        <w:trPr>
          <w:trHeight w:val="256"/>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r>
              <w:rPr>
                <w:rFonts w:ascii="Cambria" w:cs="Cambria" w:eastAsia="Cambria" w:hAnsi="Cambria"/>
                <w:sz w:val="14"/>
                <w:szCs w:val="14"/>
                <w:b w:val="1"/>
                <w:bCs w:val="1"/>
                <w:color w:val="auto"/>
              </w:rPr>
              <w:t>^</w:t>
            </w:r>
          </w:p>
        </w:tc>
        <w:tc>
          <w:tcPr>
            <w:tcW w:w="9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Securities Purchase Agreement, by and between Innventure, Inc. and YA II PN, Ltd., dated September 15, 2025.</w:t>
            </w:r>
          </w:p>
        </w:tc>
      </w:tr>
      <w:tr>
        <w:trPr>
          <w:trHeight w:val="25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9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Global Guaranty Agreement by Innventure LLC, dated September 15, 2025.</w:t>
            </w:r>
          </w:p>
        </w:tc>
      </w:tr>
      <w:tr>
        <w:trPr>
          <w:trHeight w:val="256"/>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9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Registration Rights Agreement, dated September 15, 2025, between Innventure, Inc. and YA II PN, Ltd.</w:t>
            </w:r>
          </w:p>
        </w:tc>
      </w:tr>
      <w:tr>
        <w:trPr>
          <w:trHeight w:val="25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91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Amendment to Convertible Debentures, by and between Innventure, Inc. and YA II PN, Ltd., dated as of September 15, 2025.</w:t>
            </w:r>
          </w:p>
        </w:tc>
      </w:tr>
      <w:tr>
        <w:trPr>
          <w:trHeight w:val="256"/>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9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w:t>
      </w:r>
    </w:p>
    <w:p>
      <w:pPr>
        <w:spacing w:after="0" w:line="2" w:lineRule="exact"/>
        <w:rPr>
          <w:sz w:val="20"/>
          <w:szCs w:val="20"/>
          <w:color w:val="auto"/>
        </w:rPr>
      </w:pPr>
    </w:p>
    <w:p>
      <w:pPr>
        <w:ind w:left="220" w:hanging="212"/>
        <w:spacing w:after="0"/>
        <w:tabs>
          <w:tab w:leader="none" w:pos="220" w:val="left"/>
        </w:tabs>
        <w:numPr>
          <w:ilvl w:val="0"/>
          <w:numId w:val="2"/>
        </w:numPr>
        <w:rPr>
          <w:rFonts w:ascii="Cambria" w:cs="Cambria" w:eastAsia="Cambria" w:hAnsi="Cambria"/>
          <w:sz w:val="14"/>
          <w:szCs w:val="14"/>
          <w:b w:val="1"/>
          <w:bCs w:val="1"/>
          <w:color w:val="auto"/>
        </w:rPr>
      </w:pPr>
      <w:r>
        <w:rPr>
          <w:rFonts w:ascii="Times New Roman" w:cs="Times New Roman" w:eastAsia="Times New Roman" w:hAnsi="Times New Roman"/>
          <w:sz w:val="14"/>
          <w:szCs w:val="14"/>
          <w:color w:val="auto"/>
        </w:rPr>
        <w:t>Certain schedules have been omitted pursuant to Item 601(a)(5) of Regulation S-K. Innventure, Inc. agrees to furnish a copy of any omitted schedule to the SEC upon request.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Disclaimers and Forward-Looking Statements</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All statements contained in this Current Report on Form 8-K that do not relate to matters of historical fact should be considered forward-looking statements. The forward-looking statements are based on the current expectations of the Company’s management and are inherently subject to uncertainties and changes in circumstances and their potential effects and speak only as of the date of this Form 8-K.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4" w:name="page5"/>
    <w:bookmarkEnd w:id="4"/>
    <w:p>
      <w:pPr>
        <w:spacing w:after="0" w:line="242" w:lineRule="auto"/>
        <w:rPr>
          <w:sz w:val="20"/>
          <w:szCs w:val="20"/>
          <w:color w:val="auto"/>
        </w:rPr>
      </w:pPr>
      <w:r>
        <w:rPr>
          <w:rFonts w:ascii="Times New Roman" w:cs="Times New Roman" w:eastAsia="Times New Roman" w:hAnsi="Times New Roman"/>
          <w:sz w:val="18"/>
          <w:szCs w:val="18"/>
          <w:color w:val="auto"/>
        </w:rPr>
        <w:t>include, but are not limited to, those factors discussed and identified in other public filings made with the SEC by the Company, including the Company’s most recent Quarterly Report on Form 10-Q, which is available on the Company’s Investor Relations website at www.ir.innventure.com and on the Securities and Exchange Commission website at www.sec.gov. All forward-looking statements reflect the Company’s beliefs and assumptions only as of the date of this Current Report on Form 8-K. The Company undertakes no obligation to update forward-looking statements to reflect future events or circumstances. Capitalized terms shall have the meanings ascribed to such terms in the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0" w:right="4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15, 2025</w:t>
            </w:r>
          </w:p>
        </w:tc>
        <w:tc>
          <w:tcPr>
            <w:tcW w:w="2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920" w:type="dxa"/>
            <w:vAlign w:val="bottom"/>
          </w:tcPr>
          <w:p>
            <w:pPr>
              <w:spacing w:after="0"/>
              <w:rPr>
                <w:sz w:val="3"/>
                <w:szCs w:val="3"/>
                <w:color w:val="auto"/>
              </w:rPr>
            </w:pPr>
          </w:p>
        </w:tc>
        <w:tc>
          <w:tcPr>
            <w:tcW w:w="282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2820" w:type="dxa"/>
            <w:vAlign w:val="bottom"/>
            <w:vMerge w:val="continue"/>
          </w:tcPr>
          <w:p>
            <w:pPr>
              <w:spacing w:after="0"/>
              <w:rPr>
                <w:sz w:val="20"/>
                <w:szCs w:val="20"/>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4"/>
        </w:trPr>
        <w:tc>
          <w:tcPr>
            <w:tcW w:w="3920" w:type="dxa"/>
            <w:vAlign w:val="bottom"/>
          </w:tcPr>
          <w:p>
            <w:pPr>
              <w:spacing w:after="0"/>
              <w:rPr>
                <w:sz w:val="24"/>
                <w:szCs w:val="24"/>
                <w:color w:val="auto"/>
              </w:rPr>
            </w:pPr>
          </w:p>
        </w:tc>
        <w:tc>
          <w:tcPr>
            <w:tcW w:w="2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19" w:right="339" w:bottom="1440" w:gutter="0" w:footer="0" w:header="0"/>
        </w:sectPr>
      </w:pPr>
    </w:p>
    <w:bookmarkStart w:id="6" w:name="page7"/>
    <w:bookmarkEnd w:id="6"/>
    <w:p>
      <w:pPr>
        <w:ind w:left="7140"/>
        <w:spacing w:after="0"/>
        <w:rPr>
          <w:sz w:val="20"/>
          <w:szCs w:val="20"/>
          <w:color w:val="auto"/>
        </w:rPr>
      </w:pPr>
      <w:r>
        <w:rPr>
          <w:rFonts w:ascii="Times New Roman" w:cs="Times New Roman" w:eastAsia="Times New Roman" w:hAnsi="Times New Roman"/>
          <w:sz w:val="22"/>
          <w:szCs w:val="22"/>
          <w:b w:val="1"/>
          <w:bCs w:val="1"/>
          <w:color w:val="6D6D6D"/>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NEITHER THIS SECURITY NOR THE SECURITIES INTO WHICH THIS SECURITY IS CONVERTIBLE HAVE BEEN REGISTERED WITH THE SECURITIES AND EXCHANGE COMMISSION OR THE SECURITIES COMMISSION OF ANY STATE. THESE SECURITIES HAVE BEEN SOLD IN RELIANCE UPON AN EXEMPTION FROM REGISTRATION UNDER THE SECURITIES ACT OF 1933, AS AMENDED (THE “</w:t>
      </w:r>
      <w:r>
        <w:rPr>
          <w:rFonts w:ascii="Times New Roman" w:cs="Times New Roman" w:eastAsia="Times New Roman" w:hAnsi="Times New Roman"/>
          <w:sz w:val="22"/>
          <w:szCs w:val="22"/>
          <w:b w:val="1"/>
          <w:bCs w:val="1"/>
          <w:u w:val="single" w:color="auto"/>
          <w:color w:val="auto"/>
        </w:rPr>
        <w:t>SECURITIES ACT</w:t>
      </w:r>
      <w:r>
        <w:rPr>
          <w:rFonts w:ascii="Times New Roman" w:cs="Times New Roman" w:eastAsia="Times New Roman" w:hAnsi="Times New Roman"/>
          <w:sz w:val="22"/>
          <w:szCs w:val="22"/>
          <w:b w:val="1"/>
          <w:bCs w:val="1"/>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NOTWITHSTANDING THE FOREGOING, THE SECURITIES MAY BE PLEDGED IN CONNECTION WITH A BONA FIDE MARGIN ACCOUNT OR OTHER LOAN OR FINANCING ARRANGEMENT SECURED BY THE SECURITIES.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INNVENTURE, INC.</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6"/>
          <w:szCs w:val="16"/>
          <w:color w:val="auto"/>
        </w:rPr>
        <w:t>ONVERTIBLE</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6"/>
          <w:szCs w:val="16"/>
          <w:color w:val="auto"/>
        </w:rPr>
        <w:t>EBENTURE</w:t>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2800" w:val="left"/>
        </w:tabs>
        <w:rPr>
          <w:sz w:val="20"/>
          <w:szCs w:val="20"/>
          <w:color w:val="auto"/>
        </w:rPr>
      </w:pPr>
      <w:r>
        <w:rPr>
          <w:rFonts w:ascii="Times New Roman" w:cs="Times New Roman" w:eastAsia="Times New Roman" w:hAnsi="Times New Roman"/>
          <w:sz w:val="22"/>
          <w:szCs w:val="22"/>
          <w:b w:val="1"/>
          <w:bCs w:val="1"/>
          <w:color w:val="auto"/>
        </w:rPr>
        <w:t>Original Principal Amount:</w:t>
      </w:r>
      <w:r>
        <w:rPr>
          <w:sz w:val="20"/>
          <w:szCs w:val="20"/>
          <w:color w:val="auto"/>
        </w:rPr>
        <w:tab/>
      </w:r>
      <w:r>
        <w:rPr>
          <w:rFonts w:ascii="Times New Roman" w:cs="Times New Roman" w:eastAsia="Times New Roman" w:hAnsi="Times New Roman"/>
          <w:sz w:val="21"/>
          <w:szCs w:val="21"/>
          <w:b w:val="1"/>
          <w:bCs w:val="1"/>
          <w:color w:val="auto"/>
        </w:rPr>
        <w:t>$10,000,000</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Issuance Date: September 15, 2025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Number: INV-3</w:t>
      </w:r>
    </w:p>
    <w:p>
      <w:pPr>
        <w:spacing w:after="0" w:line="232"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FOR VALUE RECEIVED, INNVENTURE, INC., </w:t>
      </w:r>
      <w:r>
        <w:rPr>
          <w:rFonts w:ascii="Times New Roman" w:cs="Times New Roman" w:eastAsia="Times New Roman" w:hAnsi="Times New Roman"/>
          <w:sz w:val="21"/>
          <w:szCs w:val="21"/>
          <w:color w:val="auto"/>
        </w:rPr>
        <w:t>a company incorporated under the laws of the State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Delaware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hereby promises to pay to the order of YA II PN, LTD., or its registered assigns (the “</w:t>
      </w:r>
      <w:r>
        <w:rPr>
          <w:rFonts w:ascii="Times New Roman" w:cs="Times New Roman" w:eastAsia="Times New Roman" w:hAnsi="Times New Roman"/>
          <w:sz w:val="21"/>
          <w:szCs w:val="21"/>
          <w:u w:val="single" w:color="auto"/>
          <w:color w:val="auto"/>
        </w:rPr>
        <w:t>Holder</w:t>
      </w:r>
      <w:r>
        <w:rPr>
          <w:rFonts w:ascii="Times New Roman" w:cs="Times New Roman" w:eastAsia="Times New Roman" w:hAnsi="Times New Roman"/>
          <w:sz w:val="21"/>
          <w:szCs w:val="21"/>
          <w:color w:val="auto"/>
        </w:rPr>
        <w:t>”) the amount set out above as the Original Principal Amount (or such lesser amount as reduced pursuant to the terms hereof pursuant to repayment, redemption, conversion or otherwise, the “</w:t>
      </w:r>
      <w:r>
        <w:rPr>
          <w:rFonts w:ascii="Times New Roman" w:cs="Times New Roman" w:eastAsia="Times New Roman" w:hAnsi="Times New Roman"/>
          <w:sz w:val="21"/>
          <w:szCs w:val="21"/>
          <w:u w:val="single" w:color="auto"/>
          <w:color w:val="auto"/>
        </w:rPr>
        <w:t>Principal</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Principal Amount</w:t>
      </w:r>
      <w:r>
        <w:rPr>
          <w:rFonts w:ascii="Times New Roman" w:cs="Times New Roman" w:eastAsia="Times New Roman" w:hAnsi="Times New Roman"/>
          <w:sz w:val="21"/>
          <w:szCs w:val="21"/>
          <w:color w:val="auto"/>
        </w:rPr>
        <w:t>”) and the Payment Premium or the Redemption Premium, as applicable, in each case when due, and to pay interest (“</w:t>
      </w:r>
      <w:r>
        <w:rPr>
          <w:rFonts w:ascii="Times New Roman" w:cs="Times New Roman" w:eastAsia="Times New Roman" w:hAnsi="Times New Roman"/>
          <w:sz w:val="21"/>
          <w:szCs w:val="21"/>
          <w:u w:val="single" w:color="auto"/>
          <w:color w:val="auto"/>
        </w:rPr>
        <w:t>Interest</w:t>
      </w:r>
      <w:r>
        <w:rPr>
          <w:rFonts w:ascii="Times New Roman" w:cs="Times New Roman" w:eastAsia="Times New Roman" w:hAnsi="Times New Roman"/>
          <w:sz w:val="21"/>
          <w:szCs w:val="21"/>
          <w:color w:val="auto"/>
        </w:rPr>
        <w:t>”) on any outstanding Principal at the applicable Interest Rate (as defined below) from the date it commences to accrue pursuant to the terms hereof, until the same becomes due and payable, whether upon the Maturity Date or acceleration, conversion, redemption or otherwise (in each case in accordance with the terms hereof). The Issuance Date (set forth above) is the date of the first issuance of this Convertible Debenture (as amended, amended and restated, extended, supplemented or otherwise modified in writing from time to time, this “</w:t>
      </w:r>
      <w:r>
        <w:rPr>
          <w:rFonts w:ascii="Times New Roman" w:cs="Times New Roman" w:eastAsia="Times New Roman" w:hAnsi="Times New Roman"/>
          <w:sz w:val="21"/>
          <w:szCs w:val="21"/>
          <w:u w:val="single" w:color="auto"/>
          <w:color w:val="auto"/>
        </w:rPr>
        <w:t>Debenture</w:t>
      </w:r>
      <w:r>
        <w:rPr>
          <w:rFonts w:ascii="Times New Roman" w:cs="Times New Roman" w:eastAsia="Times New Roman" w:hAnsi="Times New Roman"/>
          <w:sz w:val="21"/>
          <w:szCs w:val="21"/>
          <w:color w:val="auto"/>
        </w:rPr>
        <w:t>”) regardless of the number of transfers and regardless of the number of instruments, which may be issued to evidence such Debenture. This Debenture was originally issued pursuant to the Securities Purchase Agreement dated as of September 15, 2025, between the Company and the Buyers listed on the Schedule of Buyers attached thereto (as it may be amended from time to time, the “</w:t>
      </w:r>
      <w:r>
        <w:rPr>
          <w:rFonts w:ascii="Times New Roman" w:cs="Times New Roman" w:eastAsia="Times New Roman" w:hAnsi="Times New Roman"/>
          <w:sz w:val="21"/>
          <w:szCs w:val="21"/>
          <w:u w:val="single" w:color="auto"/>
          <w:color w:val="auto"/>
        </w:rPr>
        <w:t>Securities Purchase Agreement</w:t>
      </w:r>
      <w:r>
        <w:rPr>
          <w:rFonts w:ascii="Times New Roman" w:cs="Times New Roman" w:eastAsia="Times New Roman" w:hAnsi="Times New Roman"/>
          <w:sz w:val="21"/>
          <w:szCs w:val="21"/>
          <w:color w:val="auto"/>
        </w:rPr>
        <w:t>”). Certain capitalized terms used herein are defined in Section (12).</w:t>
      </w:r>
    </w:p>
    <w:p>
      <w:pPr>
        <w:sectPr>
          <w:pgSz w:w="11900" w:h="16838" w:orient="portrait"/>
          <w:cols w:equalWidth="0" w:num="1">
            <w:col w:w="11240"/>
          </w:cols>
          <w:pgMar w:left="320" w:top="122" w:right="339" w:bottom="1440" w:gutter="0" w:footer="0" w:header="0"/>
        </w:sectPr>
      </w:pPr>
    </w:p>
    <w:bookmarkStart w:id="7" w:name="page8"/>
    <w:bookmarkEnd w:id="7"/>
    <w:p>
      <w:pPr>
        <w:ind w:left="660" w:hanging="476"/>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TERMS</w:t>
      </w:r>
    </w:p>
    <w:p>
      <w:pPr>
        <w:spacing w:after="0" w:line="219" w:lineRule="exact"/>
        <w:rPr>
          <w:rFonts w:ascii="Times New Roman" w:cs="Times New Roman" w:eastAsia="Times New Roman" w:hAnsi="Times New Roman"/>
          <w:sz w:val="22"/>
          <w:szCs w:val="22"/>
          <w:color w:val="auto"/>
        </w:rPr>
      </w:pPr>
    </w:p>
    <w:p>
      <w:pPr>
        <w:jc w:val="both"/>
        <w:ind w:left="-1120" w:firstLine="1952"/>
        <w:spacing w:after="0" w:line="253" w:lineRule="auto"/>
        <w:tabs>
          <w:tab w:leader="none" w:pos="1428"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On the Maturity Date, the Company shall pay to the Holder an amount in cash representing all outstanding Principal, together with the Payment Premium in respect of such Principal Amount, and all interest and other amounts owing pursuant to the terms of this Debenture. The "</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shall be September 15, 2026, as may be extended at the option of the Holder. Other than as specifically permitted by this Debenture, the Company may not prepay or redeem any portion of the outstanding Principal and accrued and unpaid Interest.</w:t>
      </w:r>
    </w:p>
    <w:p>
      <w:pPr>
        <w:spacing w:after="0" w:line="178" w:lineRule="exact"/>
        <w:rPr>
          <w:rFonts w:ascii="Times New Roman" w:cs="Times New Roman" w:eastAsia="Times New Roman" w:hAnsi="Times New Roman"/>
          <w:sz w:val="22"/>
          <w:szCs w:val="22"/>
          <w:color w:val="auto"/>
        </w:rPr>
      </w:pPr>
    </w:p>
    <w:p>
      <w:pPr>
        <w:jc w:val="both"/>
        <w:ind w:left="-1120" w:firstLine="1952"/>
        <w:spacing w:after="0" w:line="256" w:lineRule="auto"/>
        <w:tabs>
          <w:tab w:leader="none" w:pos="1427"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Rate and Payment of Interest</w:t>
      </w:r>
      <w:r>
        <w:rPr>
          <w:rFonts w:ascii="Times New Roman" w:cs="Times New Roman" w:eastAsia="Times New Roman" w:hAnsi="Times New Roman"/>
          <w:sz w:val="22"/>
          <w:szCs w:val="22"/>
          <w:color w:val="auto"/>
        </w:rPr>
        <w:t>. Interest shall accrue on the outstanding Principal balance hereof at an annual rate equal to 5% (“</w:t>
      </w:r>
      <w:r>
        <w:rPr>
          <w:rFonts w:ascii="Times New Roman" w:cs="Times New Roman" w:eastAsia="Times New Roman" w:hAnsi="Times New Roman"/>
          <w:sz w:val="22"/>
          <w:szCs w:val="22"/>
          <w:u w:val="single" w:color="auto"/>
          <w:color w:val="auto"/>
        </w:rPr>
        <w:t>Interest Rate</w:t>
      </w:r>
      <w:r>
        <w:rPr>
          <w:rFonts w:ascii="Times New Roman" w:cs="Times New Roman" w:eastAsia="Times New Roman" w:hAnsi="Times New Roman"/>
          <w:sz w:val="22"/>
          <w:szCs w:val="22"/>
          <w:color w:val="auto"/>
        </w:rPr>
        <w:t>”), which Interest Rate shall increase to an annual rate of 18% upon the occurrence of an Event of Default (for so long as such event remains uncured). Interest shall be calculated based on a 365-day year and the actual number of days elapsed, to the extent permitted by applicable law.</w:t>
      </w:r>
    </w:p>
    <w:p>
      <w:pPr>
        <w:spacing w:after="0" w:line="176" w:lineRule="exact"/>
        <w:rPr>
          <w:rFonts w:ascii="Times New Roman" w:cs="Times New Roman" w:eastAsia="Times New Roman" w:hAnsi="Times New Roman"/>
          <w:sz w:val="22"/>
          <w:szCs w:val="22"/>
          <w:color w:val="auto"/>
        </w:rPr>
      </w:pPr>
    </w:p>
    <w:p>
      <w:pPr>
        <w:jc w:val="both"/>
        <w:ind w:left="-1120" w:firstLine="1952"/>
        <w:spacing w:after="0" w:line="247" w:lineRule="auto"/>
        <w:tabs>
          <w:tab w:leader="none" w:pos="1563"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Amortization Event Payments</w:t>
      </w:r>
      <w:r>
        <w:rPr>
          <w:rFonts w:ascii="Times New Roman" w:cs="Times New Roman" w:eastAsia="Times New Roman" w:hAnsi="Times New Roman"/>
          <w:sz w:val="22"/>
          <w:szCs w:val="22"/>
          <w:color w:val="auto"/>
        </w:rPr>
        <w:t xml:space="preserve">. If, any time after the Issuance Date set forth above, and from time to time thereafter, an Amortization Event has occurred, then the Company shall make monthly cash payments beginning on the 15th Trading Day after the Amortization Event Date and continuing on the same day of each successive Calendar Month until the entire outstanding amounts shall have been repaid. Each monthly cash payment shall be in an amount equal to the sum of (i) the Amortization Principal Amount,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the Payment Premium in respect of such Amortization Principal Amount,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(iii) all accrued and unpaid interest hereunder as of each payment date. The obligation of the Company to make monthly cash payments related to an Amortization Event shall cease (with respect to any payment that has not yet come due) if at any time after the Amortization Event Date (A) in the event of a Floor Price Event, on the date upon which the daily VWAP has been greater than the Floor Price then in effect for five Trading Days during a period of seven consecutive Trading Days, (B) in the event of an Exchange Cap Event, on the date the Company either (i) has obtained stockholder approval to increase the number of Common Shares under the Exchange Cap and/or (ii) the Exchange Cap no longer applies, or (C) in the event of a Registration Event, on the date the condition or event causing the Registration Event has been cured or the Holder is able to resell the Common Shares issuable upon conversion of this Note in accordance with Rule 144 under the Securities Act, unless a subsequent Amortization Event occurs.</w:t>
      </w:r>
    </w:p>
    <w:p>
      <w:pPr>
        <w:spacing w:after="0" w:line="202" w:lineRule="exact"/>
        <w:rPr>
          <w:rFonts w:ascii="Times New Roman" w:cs="Times New Roman" w:eastAsia="Times New Roman" w:hAnsi="Times New Roman"/>
          <w:sz w:val="22"/>
          <w:szCs w:val="22"/>
          <w:color w:val="auto"/>
        </w:rPr>
      </w:pPr>
    </w:p>
    <w:p>
      <w:pPr>
        <w:jc w:val="both"/>
        <w:ind w:left="-1120" w:firstLine="1952"/>
        <w:spacing w:after="0" w:line="249" w:lineRule="auto"/>
        <w:tabs>
          <w:tab w:leader="none" w:pos="1413"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Redemption</w:t>
      </w:r>
      <w:r>
        <w:rPr>
          <w:rFonts w:ascii="Times New Roman" w:cs="Times New Roman" w:eastAsia="Times New Roman" w:hAnsi="Times New Roman"/>
          <w:sz w:val="22"/>
          <w:szCs w:val="22"/>
          <w:color w:val="auto"/>
        </w:rPr>
        <w:t>. The Company at its option shall have the right, but not the obligation, to redeem (“</w:t>
      </w:r>
      <w:r>
        <w:rPr>
          <w:rFonts w:ascii="Times New Roman" w:cs="Times New Roman" w:eastAsia="Times New Roman" w:hAnsi="Times New Roman"/>
          <w:sz w:val="22"/>
          <w:szCs w:val="22"/>
          <w:u w:val="single" w:color="auto"/>
          <w:color w:val="auto"/>
        </w:rPr>
        <w:t>Optional Redemption</w:t>
      </w:r>
      <w:r>
        <w:rPr>
          <w:rFonts w:ascii="Times New Roman" w:cs="Times New Roman" w:eastAsia="Times New Roman" w:hAnsi="Times New Roman"/>
          <w:sz w:val="22"/>
          <w:szCs w:val="22"/>
          <w:color w:val="auto"/>
        </w:rPr>
        <w:t xml:space="preserve">”) early any and all amounts outstanding under this Debenture as described in this Section;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Company provides the Holder with written notice (each, a “</w:t>
      </w:r>
      <w:r>
        <w:rPr>
          <w:rFonts w:ascii="Times New Roman" w:cs="Times New Roman" w:eastAsia="Times New Roman" w:hAnsi="Times New Roman"/>
          <w:sz w:val="22"/>
          <w:szCs w:val="22"/>
          <w:u w:val="single" w:color="auto"/>
          <w:color w:val="auto"/>
        </w:rPr>
        <w:t>Redemption Notice</w:t>
      </w:r>
      <w:r>
        <w:rPr>
          <w:rFonts w:ascii="Times New Roman" w:cs="Times New Roman" w:eastAsia="Times New Roman" w:hAnsi="Times New Roman"/>
          <w:sz w:val="22"/>
          <w:szCs w:val="22"/>
          <w:color w:val="auto"/>
        </w:rPr>
        <w:t>”) of its desire to exercise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Optional Redemption, which Redemption Notice (i) shall be delivered to the Holder after the close of regular trading hours on a Trading Day, and (ii) may only be given if the VWAP of the Common Shares was less than the Fixed Price on the date such Redemption Notice is delivered, unless otherwise agreed by the Holder. Each Redemption Notice shall be irrevocable and shall specify the amount of the outstanding balance of the Debenture to be redeemed and the Redemption Amount. The “</w:t>
      </w:r>
      <w:r>
        <w:rPr>
          <w:rFonts w:ascii="Times New Roman" w:cs="Times New Roman" w:eastAsia="Times New Roman" w:hAnsi="Times New Roman"/>
          <w:sz w:val="22"/>
          <w:szCs w:val="22"/>
          <w:u w:val="single" w:color="auto"/>
          <w:color w:val="auto"/>
        </w:rPr>
        <w:t>Redemption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Amount</w:t>
      </w:r>
      <w:r>
        <w:rPr>
          <w:rFonts w:ascii="Times New Roman" w:cs="Times New Roman" w:eastAsia="Times New Roman" w:hAnsi="Times New Roman"/>
          <w:sz w:val="22"/>
          <w:szCs w:val="22"/>
          <w:color w:val="auto"/>
        </w:rPr>
        <w:t>” shall be an amount equal to (a) the outstanding</w:t>
      </w:r>
    </w:p>
    <w:p>
      <w:pPr>
        <w:sectPr>
          <w:pgSz w:w="11900" w:h="16838" w:orient="portrait"/>
          <w:cols w:equalWidth="0" w:num="1">
            <w:col w:w="10120"/>
          </w:cols>
          <w:pgMar w:left="1440" w:top="1422" w:right="339" w:bottom="1440" w:gutter="0" w:footer="0" w:header="0"/>
        </w:sectPr>
      </w:pPr>
    </w:p>
    <w:bookmarkStart w:id="8" w:name="page9"/>
    <w:bookmarkEnd w:id="8"/>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Principal balance to be redeemed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the Redemption Premium in respect of such Principal balance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(c) all accrued and unpaid interest hereunder as of the date of such redemption. After receipt of a Redemption Notice, the Holder shall have ten (10) Trading Days (beginning with the Trading Day immediately following the date such Redemption Notice is delivered to the Holder in accordance with this term of this Section 1(d)) to elect to convert all or any portion of this Debenture. On the eleventh (11</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Trading Day following the delivery of the applicable Redemption Notice, the Company shall deliver to the Holder the Redemption Amount with respect to the Principal Amount redeemed to the extent not converted and otherwise after giving effect to conversions or other payments made during such ten (10) Trading Day period.</w:t>
      </w:r>
    </w:p>
    <w:p>
      <w:pPr>
        <w:spacing w:after="0" w:line="197" w:lineRule="exact"/>
        <w:rPr>
          <w:sz w:val="20"/>
          <w:szCs w:val="20"/>
          <w:color w:val="auto"/>
        </w:rPr>
      </w:pPr>
    </w:p>
    <w:p>
      <w:pPr>
        <w:ind w:firstLine="1952"/>
        <w:spacing w:after="0" w:line="284" w:lineRule="auto"/>
        <w:tabs>
          <w:tab w:leader="none" w:pos="2467" w:val="left"/>
        </w:tabs>
        <w:numPr>
          <w:ilvl w:val="2"/>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Prepayment</w:t>
      </w:r>
      <w:r>
        <w:rPr>
          <w:rFonts w:ascii="Times New Roman" w:cs="Times New Roman" w:eastAsia="Times New Roman" w:hAnsi="Times New Roman"/>
          <w:sz w:val="22"/>
          <w:szCs w:val="22"/>
          <w:color w:val="auto"/>
        </w:rPr>
        <w:t>. Other than as specifically set forth in this Debenture, the Company shall not have the ability to make any early repayments without the consent of or at the request of the Holder.</w:t>
      </w:r>
    </w:p>
    <w:p>
      <w:pPr>
        <w:spacing w:after="0" w:line="143" w:lineRule="exact"/>
        <w:rPr>
          <w:rFonts w:ascii="Times New Roman" w:cs="Times New Roman" w:eastAsia="Times New Roman" w:hAnsi="Times New Roman"/>
          <w:sz w:val="22"/>
          <w:szCs w:val="22"/>
          <w:color w:val="auto"/>
        </w:rPr>
      </w:pPr>
    </w:p>
    <w:p>
      <w:pPr>
        <w:ind w:firstLine="1952"/>
        <w:spacing w:after="0" w:line="271" w:lineRule="auto"/>
        <w:tabs>
          <w:tab w:leader="none" w:pos="2376" w:val="left"/>
        </w:tabs>
        <w:numPr>
          <w:ilvl w:val="2"/>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Dates</w:t>
      </w:r>
      <w:r>
        <w:rPr>
          <w:rFonts w:ascii="Times New Roman" w:cs="Times New Roman" w:eastAsia="Times New Roman" w:hAnsi="Times New Roman"/>
          <w:sz w:val="22"/>
          <w:szCs w:val="22"/>
          <w:color w:val="auto"/>
        </w:rPr>
        <w:t>. Whenever any payment or other obligation hereunder shall be due on a day other than a Business Day, such payment shall be made on the next succeeding Business Day.</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2"/>
        <w:spacing w:after="0" w:line="263" w:lineRule="auto"/>
        <w:tabs>
          <w:tab w:leader="none" w:pos="2442"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wherever used herein, means any one of the following events (whatever the reason and whether it shall be voluntary or involuntary or effected by operation of law or pursuant to any judgment, decree or order of any court, or any order, rule or regulation of any administrative or governmental body) shall have occurred:</w:t>
      </w:r>
    </w:p>
    <w:p>
      <w:pPr>
        <w:spacing w:after="0" w:line="167" w:lineRule="exact"/>
        <w:rPr>
          <w:rFonts w:ascii="Times New Roman" w:cs="Times New Roman" w:eastAsia="Times New Roman" w:hAnsi="Times New Roman"/>
          <w:sz w:val="22"/>
          <w:szCs w:val="22"/>
          <w:color w:val="auto"/>
        </w:rPr>
      </w:pPr>
    </w:p>
    <w:p>
      <w:pPr>
        <w:jc w:val="both"/>
        <w:ind w:firstLine="2600"/>
        <w:spacing w:after="0" w:line="257" w:lineRule="auto"/>
        <w:tabs>
          <w:tab w:leader="none" w:pos="3091" w:val="left"/>
        </w:tabs>
        <w:numPr>
          <w:ilvl w:val="3"/>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failure to pay to the Holder any amount of Principal, Redemption Amount, Payment Premium, Interest, or other amounts when and as due under this Debenture or any other Transaction Document within seven (7) Trading Days after such payment is due;</w:t>
      </w:r>
    </w:p>
    <w:p>
      <w:pPr>
        <w:spacing w:after="0" w:line="172" w:lineRule="exact"/>
        <w:rPr>
          <w:rFonts w:ascii="Times New Roman" w:cs="Times New Roman" w:eastAsia="Times New Roman" w:hAnsi="Times New Roman"/>
          <w:sz w:val="22"/>
          <w:szCs w:val="22"/>
          <w:color w:val="auto"/>
        </w:rPr>
      </w:pPr>
    </w:p>
    <w:p>
      <w:pPr>
        <w:jc w:val="both"/>
        <w:ind w:firstLine="2600"/>
        <w:spacing w:after="0" w:line="262" w:lineRule="auto"/>
        <w:tabs>
          <w:tab w:leader="none" w:pos="3129" w:val="left"/>
        </w:tabs>
        <w:numPr>
          <w:ilvl w:val="3"/>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The Company shall commence, or there shall be commenced against the Company, any proceeding under any applicable bankruptcy or insolvency laws as now or hereafter in effect or any successor thereto, or the Company commences any other proceeding under any reorganization, arrangement, adjustment of debt, relief of debtors, dissolution, insolvency or liquidation or similar law of any jurisdiction whether now or hereafter in effect relating to the Company, in any such bankruptcy, insolvency or other proceeding which remains undismissed for a period of sixty one (61) days;</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38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adjudicated insolvent or bankrupt; (C) any order of relief or other order approving any such case or proceeding is entered; (D) the Company suffers any appointment of any custodian, private or court appointed receiver or the like for it or all or substantially all of its property which continues undischarged or unstayed for a period of sixty one (61) days; (E) the Company makes a general assignment of all or substantially all of its assets for the benefit of creditors; (F) the Company shall fail to pay its debts generally as they become due; or (G) any corporate or other action is taken by the Company for the purpose of effecting any of the foregoing;</w:t>
      </w:r>
    </w:p>
    <w:p>
      <w:pPr>
        <w:sectPr>
          <w:pgSz w:w="11900" w:h="16838" w:orient="portrait"/>
          <w:cols w:equalWidth="0" w:num="1">
            <w:col w:w="11240"/>
          </w:cols>
          <w:pgMar w:left="320" w:top="1418" w:right="339" w:bottom="1440" w:gutter="0" w:footer="0" w:header="0"/>
        </w:sectPr>
      </w:pPr>
    </w:p>
    <w:bookmarkStart w:id="9" w:name="page10"/>
    <w:bookmarkEnd w:id="9"/>
    <w:p>
      <w:pPr>
        <w:jc w:val="both"/>
        <w:ind w:left="-1120" w:firstLine="2600"/>
        <w:spacing w:after="0" w:line="248" w:lineRule="auto"/>
        <w:tabs>
          <w:tab w:leader="none" w:pos="209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default in any of its obligations under any note, debenture,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of the Company in an amount exceeding $500,000 (other than obligations under this Debenture or any other Transaction Document), whether such indebtedness now exists or shall hereafter be created and such default is not cured within the time prescribed by the documents governing such indebtedness, and as a result, such indebtedness becomes or is declared due and payable; provided, however, in no event shall this provision apply to any note, debenture,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by and between the Company and any Subsidiary of the Company with an aggregate outstanding principal amount not exceeding $1,000,000;</w:t>
      </w:r>
    </w:p>
    <w:p>
      <w:pPr>
        <w:spacing w:after="0" w:line="188" w:lineRule="exact"/>
        <w:rPr>
          <w:rFonts w:ascii="Times New Roman" w:cs="Times New Roman" w:eastAsia="Times New Roman" w:hAnsi="Times New Roman"/>
          <w:sz w:val="22"/>
          <w:szCs w:val="22"/>
          <w:color w:val="auto"/>
        </w:rPr>
      </w:pPr>
    </w:p>
    <w:p>
      <w:pPr>
        <w:jc w:val="both"/>
        <w:ind w:left="-1120" w:firstLine="2600"/>
        <w:spacing w:after="0" w:line="249" w:lineRule="auto"/>
        <w:tabs>
          <w:tab w:leader="none" w:pos="206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final judgment or judgments for the payment of money singularly or in the aggregate in excess of $500,000 are rendered against the Company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creditworthy party shall not be included in calculating the $500,000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will receive the proceeds of such insurance or indemnity within thirty (30) days of the issuance of such judgment;</w:t>
      </w:r>
    </w:p>
    <w:p>
      <w:pPr>
        <w:spacing w:after="0" w:line="195" w:lineRule="exact"/>
        <w:rPr>
          <w:rFonts w:ascii="Times New Roman" w:cs="Times New Roman" w:eastAsia="Times New Roman" w:hAnsi="Times New Roman"/>
          <w:sz w:val="22"/>
          <w:szCs w:val="22"/>
          <w:color w:val="auto"/>
        </w:rPr>
      </w:pPr>
    </w:p>
    <w:p>
      <w:pPr>
        <w:ind w:left="-1120" w:firstLine="2600"/>
        <w:spacing w:after="0" w:line="271" w:lineRule="auto"/>
        <w:tabs>
          <w:tab w:leader="none" w:pos="206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Shares shall cease to be quoted or listed for trading, as applicable, on any Principal Market for a period of ten (10) consecutive Trading Days;</w:t>
      </w:r>
    </w:p>
    <w:p>
      <w:pPr>
        <w:spacing w:after="0" w:line="157" w:lineRule="exact"/>
        <w:rPr>
          <w:rFonts w:ascii="Times New Roman" w:cs="Times New Roman" w:eastAsia="Times New Roman" w:hAnsi="Times New Roman"/>
          <w:sz w:val="22"/>
          <w:szCs w:val="22"/>
          <w:color w:val="auto"/>
        </w:rPr>
      </w:pPr>
    </w:p>
    <w:p>
      <w:pPr>
        <w:ind w:left="-1120" w:firstLine="2600"/>
        <w:spacing w:after="0" w:line="271" w:lineRule="auto"/>
        <w:tabs>
          <w:tab w:leader="none" w:pos="20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 a party to any Change of Control Transaction unless in connection with such Change of Control Transaction this Debenture is redeemed or retired;</w:t>
      </w:r>
    </w:p>
    <w:p>
      <w:pPr>
        <w:spacing w:after="0" w:line="157" w:lineRule="exact"/>
        <w:rPr>
          <w:rFonts w:ascii="Times New Roman" w:cs="Times New Roman" w:eastAsia="Times New Roman" w:hAnsi="Times New Roman"/>
          <w:sz w:val="22"/>
          <w:szCs w:val="22"/>
          <w:color w:val="auto"/>
        </w:rPr>
      </w:pPr>
    </w:p>
    <w:p>
      <w:pPr>
        <w:jc w:val="both"/>
        <w:ind w:left="-1120" w:firstLine="2600"/>
        <w:spacing w:after="0" w:line="253" w:lineRule="auto"/>
        <w:tabs>
          <w:tab w:leader="none" w:pos="20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(A) failure to deliver the required number of Common Shares to the Holder within three (3) Trading Days after the applicable Share Delivery Date, which failure is not a result of any action or inaction of the Holder or the Company’s Transfer Agent (as defined below), or (B) notice, written or oral, to any holder of the Debenture, including by way of public announcement, at any time, of its intention not to comply with a request for conversion of all or a portion of this Debenture into Common Shares that is tendered in accordance with the provisions of this Debenture;</w:t>
      </w:r>
    </w:p>
    <w:p>
      <w:pPr>
        <w:sectPr>
          <w:pgSz w:w="11900" w:h="16838" w:orient="portrait"/>
          <w:cols w:equalWidth="0" w:num="1">
            <w:col w:w="10120"/>
          </w:cols>
          <w:pgMar w:left="1440" w:top="1422" w:right="339" w:bottom="1440" w:gutter="0" w:footer="0" w:header="0"/>
        </w:sectPr>
      </w:pPr>
    </w:p>
    <w:bookmarkStart w:id="10" w:name="page11"/>
    <w:bookmarkEnd w:id="10"/>
    <w:p>
      <w:pPr>
        <w:ind w:left="-1120" w:right="20" w:firstLine="2600"/>
        <w:spacing w:after="0" w:line="271" w:lineRule="auto"/>
        <w:tabs>
          <w:tab w:leader="none" w:pos="2151"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fail for any reason to deliver the payment in cash pursuant to a Buy-In (as defined below) within five (5) Business Days after such payment is due;</w:t>
      </w:r>
    </w:p>
    <w:p>
      <w:pPr>
        <w:spacing w:after="0" w:line="157" w:lineRule="exact"/>
        <w:rPr>
          <w:rFonts w:ascii="Times New Roman" w:cs="Times New Roman" w:eastAsia="Times New Roman" w:hAnsi="Times New Roman"/>
          <w:sz w:val="22"/>
          <w:szCs w:val="22"/>
          <w:color w:val="auto"/>
        </w:rPr>
      </w:pPr>
    </w:p>
    <w:p>
      <w:pPr>
        <w:jc w:val="both"/>
        <w:ind w:left="-1120" w:firstLine="2600"/>
        <w:spacing w:after="0" w:line="256" w:lineRule="auto"/>
        <w:tabs>
          <w:tab w:leader="none" w:pos="1999"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failure to timely file with the Commission any Periodic Report in accordance with the laws and regulations of the Commission for the filing thereof on or before the due date of such filing as established by the Commission, it being understood, for the avoidance of doubt, that due date includes any permitted filing deadline extension under Rule 12b-25 under the Exchange Act;</w:t>
      </w:r>
    </w:p>
    <w:p>
      <w:pPr>
        <w:spacing w:after="0" w:line="176" w:lineRule="exact"/>
        <w:rPr>
          <w:rFonts w:ascii="Times New Roman" w:cs="Times New Roman" w:eastAsia="Times New Roman" w:hAnsi="Times New Roman"/>
          <w:sz w:val="22"/>
          <w:szCs w:val="22"/>
          <w:color w:val="auto"/>
        </w:rPr>
      </w:pPr>
    </w:p>
    <w:p>
      <w:pPr>
        <w:jc w:val="both"/>
        <w:ind w:left="-1120" w:firstLine="2600"/>
        <w:spacing w:after="0" w:line="256" w:lineRule="auto"/>
        <w:tabs>
          <w:tab w:leader="none" w:pos="1963"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or deemed to be made by or on behalf of the Company in or in connection with any Transaction Document, or any waiver hereunder or thereunder, shall prove to have been incorrect in any material respect (or, in the case of any such representation or warranty already qualified by a materiality, such representation or warranty shall prove to have been incorrect) when made or deemed made;</w:t>
      </w:r>
    </w:p>
    <w:p>
      <w:pPr>
        <w:spacing w:after="0" w:line="176" w:lineRule="exact"/>
        <w:rPr>
          <w:rFonts w:ascii="Times New Roman" w:cs="Times New Roman" w:eastAsia="Times New Roman" w:hAnsi="Times New Roman"/>
          <w:sz w:val="22"/>
          <w:szCs w:val="22"/>
          <w:color w:val="auto"/>
        </w:rPr>
      </w:pPr>
    </w:p>
    <w:p>
      <w:pPr>
        <w:jc w:val="both"/>
        <w:ind w:left="-1120" w:firstLine="2600"/>
        <w:spacing w:after="0" w:line="253" w:lineRule="auto"/>
        <w:tabs>
          <w:tab w:leader="none" w:pos="2155"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uses the proceeds of the issuance of this Debenture, whether directly or indirectly, and whether immediately, incidentally or ultimately, to purchase or carry margin stock (within the meaning of Regulations T, U and X of the Federal Reserve Board, as in effect from time to time and all official rulings and interpretations thereunder or thereof), or to extend credit to others for the purpose of purchasing or carrying margin stock or to refund indebtedness originally incurred for such purpose; or</w:t>
      </w:r>
    </w:p>
    <w:p>
      <w:pPr>
        <w:spacing w:after="0" w:line="178" w:lineRule="exact"/>
        <w:rPr>
          <w:rFonts w:ascii="Times New Roman" w:cs="Times New Roman" w:eastAsia="Times New Roman" w:hAnsi="Times New Roman"/>
          <w:sz w:val="22"/>
          <w:szCs w:val="22"/>
          <w:color w:val="auto"/>
        </w:rPr>
      </w:pPr>
    </w:p>
    <w:p>
      <w:pPr>
        <w:jc w:val="both"/>
        <w:ind w:left="-1120" w:firstLine="2600"/>
        <w:spacing w:after="0" w:line="252" w:lineRule="auto"/>
        <w:tabs>
          <w:tab w:leader="none" w:pos="2096"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of Default (as defined in the Other Debentures or in any Transaction Document other than this Debenture) occurs with respect to any Other Debentures or any breach of any material term of any other debenture, note, or instrument held by the Holder issued by the Company or any agreement between or among the Company and the Holder.</w:t>
      </w:r>
    </w:p>
    <w:p>
      <w:pPr>
        <w:spacing w:after="0" w:line="192" w:lineRule="exact"/>
        <w:rPr>
          <w:rFonts w:ascii="Times New Roman" w:cs="Times New Roman" w:eastAsia="Times New Roman" w:hAnsi="Times New Roman"/>
          <w:sz w:val="22"/>
          <w:szCs w:val="22"/>
          <w:color w:val="auto"/>
        </w:rPr>
      </w:pPr>
    </w:p>
    <w:p>
      <w:pPr>
        <w:jc w:val="both"/>
        <w:ind w:left="-1120" w:firstLine="1952"/>
        <w:spacing w:after="0" w:line="247" w:lineRule="auto"/>
        <w:tabs>
          <w:tab w:leader="none" w:pos="144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time that any portion of this Debenture is outstanding, if any Event of Default has occurred and is continuing (other than an event with respect to the Company described in Section (2)(a)(ii)), the full unpaid Principal Amount of this Debenture, together with the Payment Premium in respect of the Principal Amount that was due and payable on the date of the Event of Default, and all interest and other amounts owing in respect of this Debenture to the date of acceleration, shall become, at the Holder's election given by notice pursuant to Section (5), immediately due and payable in cash; provided that, in the case of any event with respect to the Company described in Section (2)(a)(ii), the full unpaid Principal Amount of this Debenture, together with the Payment Premium(s) in respect of the Principal Amount that was due and payable on the date of the Event of Default, and all accrued and unpaid interest and other amounts owing in respect of this Debenture to the date of acceleration, shall automatically become due and payable, in each case without presentment, demand, protest or other notice of any kind, all of which are hereby waived by the Company. Furthermore, in addition to any other remedies, the Holder shall have the right (but not the obligation) to convert, on one or more occasions all or part of the Debenture in accordance with Section (3) (and subject to the limitations set out in Section (3)(c)(i) and Section (3)(c)(ii)) at any time after an Event of Default has occurred and is continuing until all amounts outstanding under this Debenture have</w:t>
      </w:r>
    </w:p>
    <w:p>
      <w:pPr>
        <w:sectPr>
          <w:pgSz w:w="11900" w:h="16838" w:orient="portrait"/>
          <w:cols w:equalWidth="0" w:num="1">
            <w:col w:w="10120"/>
          </w:cols>
          <w:pgMar w:left="1440" w:top="1422" w:right="339" w:bottom="1440" w:gutter="0" w:footer="0" w:header="0"/>
        </w:sectPr>
      </w:pPr>
    </w:p>
    <w:bookmarkStart w:id="11" w:name="page12"/>
    <w:bookmarkEnd w:id="11"/>
    <w:p>
      <w:pPr>
        <w:jc w:val="both"/>
        <w:spacing w:after="0" w:line="253" w:lineRule="auto"/>
        <w:rPr>
          <w:sz w:val="20"/>
          <w:szCs w:val="20"/>
          <w:color w:val="auto"/>
        </w:rPr>
      </w:pPr>
      <w:r>
        <w:rPr>
          <w:rFonts w:ascii="Times New Roman" w:cs="Times New Roman" w:eastAsia="Times New Roman" w:hAnsi="Times New Roman"/>
          <w:sz w:val="22"/>
          <w:szCs w:val="22"/>
          <w:color w:val="auto"/>
        </w:rPr>
        <w:t>been repaid in full. The Holder need not provide, and the Company hereby waives, any presentment demand, protest or other notice of any kind (other than any required notice of conversion), and the Holder may immediately enforce any and all of its rights and remedies hereunder and all other remedies available to it under applicable law. Such declaration may be rescinded and annulled by the Holder in writing at any time prior to payment hereunder. No such rescission or annulment shall affect any subsequent Event of Default or impair any right consequent thereon.</w:t>
      </w:r>
    </w:p>
    <w:p>
      <w:pPr>
        <w:spacing w:after="0" w:line="179" w:lineRule="exact"/>
        <w:rPr>
          <w:sz w:val="20"/>
          <w:szCs w:val="20"/>
          <w:color w:val="auto"/>
        </w:rPr>
      </w:pPr>
    </w:p>
    <w:p>
      <w:pPr>
        <w:ind w:firstLine="1304"/>
        <w:spacing w:after="0" w:line="271" w:lineRule="auto"/>
        <w:tabs>
          <w:tab w:leader="none" w:pos="176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OF DEBENTURE</w:t>
      </w:r>
      <w:r>
        <w:rPr>
          <w:rFonts w:ascii="Times New Roman" w:cs="Times New Roman" w:eastAsia="Times New Roman" w:hAnsi="Times New Roman"/>
          <w:sz w:val="22"/>
          <w:szCs w:val="22"/>
          <w:color w:val="auto"/>
        </w:rPr>
        <w:t>. This Debenture shall be convertible into Common Shares, on the terms and conditions set forth in this Section (3).</w:t>
      </w:r>
    </w:p>
    <w:p>
      <w:pPr>
        <w:spacing w:after="0" w:line="157"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81"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Right</w:t>
      </w:r>
      <w:r>
        <w:rPr>
          <w:rFonts w:ascii="Times New Roman" w:cs="Times New Roman" w:eastAsia="Times New Roman" w:hAnsi="Times New Roman"/>
          <w:sz w:val="22"/>
          <w:szCs w:val="22"/>
          <w:color w:val="auto"/>
        </w:rPr>
        <w:t>. Subject to the limitations of Section (3)(c), at any time or times on or after the Issuance Date, the Holder shall be entitled to convert any portion of the outstanding and unpaid Conversion Amount into fully paid and nonassessable Common Shares in accordance with Section (3)(b), at the Conversion Price. The number of Common Shares issuable upon conversion of any Conversion Amount pursuant to this Section (3)(a) shall be determined by dividing (x) such Conversion Amount by (y) the Conversion Price. The Company shall not issue any fraction of a Common Shares upon any conversion. All calculations under this Section (4) shall be rounded to the nearest $0.0001. If the issuance would result in the issuance of a fraction of a Common Share, the Company shall round such fraction of a Common Share up to the nearest whole share. The Company shall pay any and all transfer, stamp and similar taxes that may be payable with respect to the issuance and delivery of Common Shares upon conversion of any Conversion Amount.</w:t>
      </w:r>
    </w:p>
    <w:p>
      <w:pPr>
        <w:spacing w:after="0" w:line="17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Mechanics of Conversion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2600"/>
        <w:spacing w:after="0" w:line="261" w:lineRule="auto"/>
        <w:tabs>
          <w:tab w:leader="none" w:pos="3012" w:val="left"/>
        </w:tabs>
        <w:numPr>
          <w:ilvl w:val="2"/>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Optional Conversion</w:t>
      </w:r>
      <w:r>
        <w:rPr>
          <w:rFonts w:ascii="Times New Roman" w:cs="Times New Roman" w:eastAsia="Times New Roman" w:hAnsi="Times New Roman"/>
          <w:sz w:val="21"/>
          <w:szCs w:val="21"/>
          <w:color w:val="auto"/>
        </w:rPr>
        <w:t>. To convert any Conversion Amount into Common Shares on any date (a "</w:t>
      </w:r>
      <w:r>
        <w:rPr>
          <w:rFonts w:ascii="Times New Roman" w:cs="Times New Roman" w:eastAsia="Times New Roman" w:hAnsi="Times New Roman"/>
          <w:sz w:val="21"/>
          <w:szCs w:val="21"/>
          <w:u w:val="single" w:color="auto"/>
          <w:color w:val="auto"/>
        </w:rPr>
        <w:t>Conversion Date</w:t>
      </w:r>
      <w:r>
        <w:rPr>
          <w:rFonts w:ascii="Times New Roman" w:cs="Times New Roman" w:eastAsia="Times New Roman" w:hAnsi="Times New Roman"/>
          <w:sz w:val="21"/>
          <w:szCs w:val="21"/>
          <w:color w:val="auto"/>
        </w:rPr>
        <w:t xml:space="preserve">"), the Holder shall (A) transmit by email (or otherwise deliver), for receipt on or prior to 11:59 p.m., New York time, on such date, a copy of an executed notice of conversion in the form attached hereto as </w:t>
      </w:r>
      <w:r>
        <w:rPr>
          <w:rFonts w:ascii="Times New Roman" w:cs="Times New Roman" w:eastAsia="Times New Roman" w:hAnsi="Times New Roman"/>
          <w:sz w:val="21"/>
          <w:szCs w:val="21"/>
          <w:u w:val="single" w:color="auto"/>
          <w:color w:val="auto"/>
        </w:rPr>
        <w:t>Exhibit I</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Conversion Notice</w:t>
      </w:r>
      <w:r>
        <w:rPr>
          <w:rFonts w:ascii="Times New Roman" w:cs="Times New Roman" w:eastAsia="Times New Roman" w:hAnsi="Times New Roman"/>
          <w:sz w:val="21"/>
          <w:szCs w:val="21"/>
          <w:color w:val="auto"/>
        </w:rPr>
        <w:t>") to the Company and (B) if required by Section (3)(b)(iii), surrender this Debenture to a nationally recognized overnight delivery service for delivery to the Company (or an indemnification undertaking reasonably satisfactory to the Company with respect to this Debenture in the case of its loss, theft or destruction). On or before the second (2nd) Trading Day following the date of receipt of the initial Conversion Notice or the first (1st) Trading Day (unless such Conversion Notice was received after 4:30 p.m. New York time, then the second (2) Trading Day) following the date of receipt of any subsequent Conversion Notices (together, the "</w:t>
      </w:r>
      <w:r>
        <w:rPr>
          <w:rFonts w:ascii="Times New Roman" w:cs="Times New Roman" w:eastAsia="Times New Roman" w:hAnsi="Times New Roman"/>
          <w:sz w:val="21"/>
          <w:szCs w:val="21"/>
          <w:u w:val="single" w:color="auto"/>
          <w:color w:val="auto"/>
        </w:rPr>
        <w:t>Share Delivery Date</w:t>
      </w:r>
      <w:r>
        <w:rPr>
          <w:rFonts w:ascii="Times New Roman" w:cs="Times New Roman" w:eastAsia="Times New Roman" w:hAnsi="Times New Roman"/>
          <w:sz w:val="21"/>
          <w:szCs w:val="21"/>
          <w:color w:val="auto"/>
        </w:rPr>
        <w:t>"), the Company shall (X) if legends are not required to be placed on certificates or the book-entry position of the Common Shares and provided that the Company’s transfer agent (the “</w:t>
      </w:r>
      <w:r>
        <w:rPr>
          <w:rFonts w:ascii="Times New Roman" w:cs="Times New Roman" w:eastAsia="Times New Roman" w:hAnsi="Times New Roman"/>
          <w:sz w:val="21"/>
          <w:szCs w:val="21"/>
          <w:u w:val="single" w:color="auto"/>
          <w:color w:val="auto"/>
        </w:rPr>
        <w:t>Transfer Agent</w:t>
      </w:r>
      <w:r>
        <w:rPr>
          <w:rFonts w:ascii="Times New Roman" w:cs="Times New Roman" w:eastAsia="Times New Roman" w:hAnsi="Times New Roman"/>
          <w:sz w:val="21"/>
          <w:szCs w:val="21"/>
          <w:color w:val="auto"/>
        </w:rPr>
        <w:t>”) is participating in the Depository Trust Company's ("</w:t>
      </w:r>
      <w:r>
        <w:rPr>
          <w:rFonts w:ascii="Times New Roman" w:cs="Times New Roman" w:eastAsia="Times New Roman" w:hAnsi="Times New Roman"/>
          <w:sz w:val="21"/>
          <w:szCs w:val="21"/>
          <w:u w:val="single" w:color="auto"/>
          <w:color w:val="auto"/>
        </w:rPr>
        <w:t>DTC</w:t>
      </w:r>
      <w:r>
        <w:rPr>
          <w:rFonts w:ascii="Times New Roman" w:cs="Times New Roman" w:eastAsia="Times New Roman" w:hAnsi="Times New Roman"/>
          <w:sz w:val="21"/>
          <w:szCs w:val="21"/>
          <w:color w:val="auto"/>
        </w:rPr>
        <w:t>") Fast Automated Securities Transfer Program, instruct such Transfer Agent to credit such aggregate number of Common Shares to which the Holder shall be entitled to the Holder's or its designee's balance account with DTC through its Deposit Withdrawal Agent Commission system or (Y) if legends are required to be placed on certificates or the book-entry position of the Common Shares or if the Transfer Agent is not participating in the DTC Fast Automated</w:t>
      </w:r>
    </w:p>
    <w:p>
      <w:pPr>
        <w:sectPr>
          <w:pgSz w:w="11900" w:h="16838" w:orient="portrait"/>
          <w:cols w:equalWidth="0" w:num="1">
            <w:col w:w="11240"/>
          </w:cols>
          <w:pgMar w:left="320" w:top="1422" w:right="339" w:bottom="1440" w:gutter="0" w:footer="0" w:header="0"/>
        </w:sectPr>
      </w:pPr>
    </w:p>
    <w:bookmarkStart w:id="12" w:name="page13"/>
    <w:bookmarkEnd w:id="12"/>
    <w:p>
      <w:pPr>
        <w:jc w:val="both"/>
        <w:spacing w:after="0" w:line="249" w:lineRule="auto"/>
        <w:rPr>
          <w:sz w:val="20"/>
          <w:szCs w:val="20"/>
          <w:color w:val="auto"/>
        </w:rPr>
      </w:pPr>
      <w:r>
        <w:rPr>
          <w:rFonts w:ascii="Times New Roman" w:cs="Times New Roman" w:eastAsia="Times New Roman" w:hAnsi="Times New Roman"/>
          <w:sz w:val="22"/>
          <w:szCs w:val="22"/>
          <w:color w:val="auto"/>
        </w:rPr>
        <w:t>Securities Transfer Program, issue and deliver to the address as specified in the Conversion Notice, a certificate or book-entry position, registered in the name of the Holder or its designee, for the number of Common Shares to which the Holder shall be entitled. If this Debenture is physically surrendered for conversion and the outstanding Principal of this Debenture is greater than the Principal portion of the Conversion Amount being converted, then the Company shall as soon as practicable and in no event later than three (3) Business Days after receipt of this Debenture and at its own expense, issue and deliver to the holder a new Debenture representing the outstanding Principal not converted. The Person or Persons entitled to receive the Common Shares issuable upon a conversion of this Debenture shall be treated for all purposes as the record holder or holders of such Common Shares upon the transmission of a Conversion Notice.</w:t>
      </w:r>
    </w:p>
    <w:p>
      <w:pPr>
        <w:spacing w:after="0" w:line="195" w:lineRule="exact"/>
        <w:rPr>
          <w:sz w:val="20"/>
          <w:szCs w:val="20"/>
          <w:color w:val="auto"/>
        </w:rPr>
      </w:pPr>
    </w:p>
    <w:p>
      <w:pPr>
        <w:jc w:val="both"/>
        <w:ind w:firstLine="2600"/>
        <w:spacing w:after="0" w:line="247" w:lineRule="auto"/>
        <w:tabs>
          <w:tab w:leader="none" w:pos="3166"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Failure to Timely Convert</w:t>
      </w:r>
      <w:r>
        <w:rPr>
          <w:rFonts w:ascii="Times New Roman" w:cs="Times New Roman" w:eastAsia="Times New Roman" w:hAnsi="Times New Roman"/>
          <w:sz w:val="22"/>
          <w:szCs w:val="22"/>
          <w:color w:val="auto"/>
        </w:rPr>
        <w:t>. If the Company shall fail, for any reason or for no reason, on or prior to the applicable Share Delivery Date to issue and deliver a certificate to the Holder or credit the Holder's balance account with DTC for the number of Common Shares to which the Holder is entitled upon such Holder's conversion of any Conversion Amount, and if on or after such Trading Day the Holder purchases (in an open market transaction or otherwise) Common Shares to deliver in satisfaction of a sale by the Holder of Common Shares issuable upon such conversion that the Holder anticipated receiving from the Company (a "</w:t>
      </w:r>
      <w:r>
        <w:rPr>
          <w:rFonts w:ascii="Times New Roman" w:cs="Times New Roman" w:eastAsia="Times New Roman" w:hAnsi="Times New Roman"/>
          <w:sz w:val="22"/>
          <w:szCs w:val="22"/>
          <w:u w:val="single" w:color="auto"/>
          <w:color w:val="auto"/>
        </w:rPr>
        <w:t>Buy-In</w:t>
      </w:r>
      <w:r>
        <w:rPr>
          <w:rFonts w:ascii="Times New Roman" w:cs="Times New Roman" w:eastAsia="Times New Roman" w:hAnsi="Times New Roman"/>
          <w:sz w:val="22"/>
          <w:szCs w:val="22"/>
          <w:color w:val="auto"/>
        </w:rPr>
        <w:t>"), then the Company shall, within three (3) Business Days after the Holder's request and in the Holder's discretion, either (i) pay cash to the Holder in an amount equal to the Holder's total purchase price (including brokerage commissions and other out of pocket expenses, if any) for the Common Shares so purchased (the “</w:t>
      </w:r>
      <w:r>
        <w:rPr>
          <w:rFonts w:ascii="Times New Roman" w:cs="Times New Roman" w:eastAsia="Times New Roman" w:hAnsi="Times New Roman"/>
          <w:sz w:val="22"/>
          <w:szCs w:val="22"/>
          <w:u w:val="single" w:color="auto"/>
          <w:color w:val="auto"/>
        </w:rPr>
        <w:t>Buy-In Price</w:t>
      </w:r>
      <w:r>
        <w:rPr>
          <w:rFonts w:ascii="Times New Roman" w:cs="Times New Roman" w:eastAsia="Times New Roman" w:hAnsi="Times New Roman"/>
          <w:sz w:val="22"/>
          <w:szCs w:val="22"/>
          <w:color w:val="auto"/>
        </w:rPr>
        <w:t xml:space="preserve">”), at which point the Company's obligation to deliver such certificate (and to issue such Common Shares) shall terminate, or (ii) promptly honor its obligation to deliver to the Holder a certificate or certificates representing such Common Shares to which the Holder is entitled with respect to such Conversion Notice and pay cash to the Holder in an amount equal to the excess (if any) of the Buy-In Price over the product of (A) such number of Common Shares,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(B) the Closing Price on the Conversion Date.</w:t>
      </w:r>
    </w:p>
    <w:p>
      <w:pPr>
        <w:spacing w:after="0" w:line="192" w:lineRule="exact"/>
        <w:rPr>
          <w:rFonts w:ascii="Times New Roman" w:cs="Times New Roman" w:eastAsia="Times New Roman" w:hAnsi="Times New Roman"/>
          <w:sz w:val="22"/>
          <w:szCs w:val="22"/>
          <w:color w:val="auto"/>
        </w:rPr>
      </w:pPr>
    </w:p>
    <w:p>
      <w:pPr>
        <w:jc w:val="both"/>
        <w:ind w:firstLine="2600"/>
        <w:spacing w:after="0" w:line="250" w:lineRule="auto"/>
        <w:tabs>
          <w:tab w:leader="none" w:pos="3199"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Book-Entry</w:t>
      </w:r>
      <w:r>
        <w:rPr>
          <w:rFonts w:ascii="Times New Roman" w:cs="Times New Roman" w:eastAsia="Times New Roman" w:hAnsi="Times New Roman"/>
          <w:sz w:val="22"/>
          <w:szCs w:val="22"/>
          <w:color w:val="auto"/>
        </w:rPr>
        <w:t>. Notwithstanding anything to the contrary set forth herein, upon conversion of any portion of this Debenture in accordance with the terms hereof, the Holder shall not be required to physically surrender this Debenture to the Company unless (A) the full Conversion Amount represented by this Debenture is being converted or (B) the Holder has provided the Company with prior written notice (which notice may be included in a Conversion Notice) requesting reissuance of this Debenture upon physical surrender of this Debenture. The Holder and the Company shall maintain records showing the Principal and Interest converted and the dates of such conversions or shall use such other method, reasonably satisfactory to the Holder and the Company, so as not to require physical surrender of this Debenture upon any conversion.</w:t>
      </w:r>
    </w:p>
    <w:p>
      <w:pPr>
        <w:spacing w:after="0" w:line="180"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Conversions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22" w:right="339" w:bottom="1440" w:gutter="0" w:footer="0" w:header="0"/>
        </w:sectPr>
      </w:pP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(i)</w:t>
      </w:r>
    </w:p>
    <w:p>
      <w:pPr>
        <w:spacing w:after="0" w:line="2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2"/>
          <w:szCs w:val="22"/>
          <w:color w:val="auto"/>
        </w:rPr>
        <w:t>Debenture to the extent that after beneficially own (as determined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20" w:hanging="47"/>
        <w:spacing w:after="0" w:line="284" w:lineRule="auto"/>
        <w:rPr>
          <w:sz w:val="20"/>
          <w:szCs w:val="20"/>
          <w:color w:val="auto"/>
        </w:rPr>
      </w:pPr>
      <w:r>
        <w:rPr>
          <w:rFonts w:ascii="Times New Roman" w:cs="Times New Roman" w:eastAsia="Times New Roman" w:hAnsi="Times New Roman"/>
          <w:sz w:val="22"/>
          <w:szCs w:val="22"/>
          <w:u w:val="single" w:color="auto"/>
          <w:color w:val="auto"/>
        </w:rPr>
        <w:t>Beneficial Ownership</w:t>
      </w:r>
      <w:r>
        <w:rPr>
          <w:rFonts w:ascii="Times New Roman" w:cs="Times New Roman" w:eastAsia="Times New Roman" w:hAnsi="Times New Roman"/>
          <w:sz w:val="22"/>
          <w:szCs w:val="22"/>
          <w:color w:val="auto"/>
        </w:rPr>
        <w:t>. The Holder shall not have the right to convert any portion of this giving effect to such conversion, the Holder, together with any affiliate thereof, would</w:t>
      </w:r>
    </w:p>
    <w:p>
      <w:pPr>
        <w:sectPr>
          <w:pgSz w:w="11900" w:h="16838" w:orient="portrait"/>
          <w:cols w:equalWidth="0" w:num="2">
            <w:col w:w="3100" w:space="100"/>
            <w:col w:w="8040"/>
          </w:cols>
          <w:pgMar w:left="320" w:top="1422" w:right="339" w:bottom="1440" w:gutter="0" w:footer="0" w:header="0"/>
          <w:type w:val="continuous"/>
        </w:sectPr>
      </w:pPr>
    </w:p>
    <w:bookmarkStart w:id="13" w:name="page14"/>
    <w:bookmarkEnd w:id="13"/>
    <w:p>
      <w:pPr>
        <w:jc w:val="both"/>
        <w:spacing w:after="0" w:line="260" w:lineRule="auto"/>
        <w:rPr>
          <w:sz w:val="20"/>
          <w:szCs w:val="20"/>
          <w:color w:val="auto"/>
        </w:rPr>
      </w:pPr>
      <w:r>
        <w:rPr>
          <w:rFonts w:ascii="Times New Roman" w:cs="Times New Roman" w:eastAsia="Times New Roman" w:hAnsi="Times New Roman"/>
          <w:sz w:val="21"/>
          <w:szCs w:val="21"/>
          <w:color w:val="auto"/>
        </w:rPr>
        <w:t>accordance with Section 13(d) of the Exchange Act and the rules promulgated thereunder) in excess of 4.99% of the number of Common Shares outstanding immediately after giving effect to such conversion. Since the Holder will not be obligated to report to the Company the number of Common Shares it may hold at the time of a conversion hereunder, unless the conversion at issue would result in the issuance of Common Shares in excess of 4.99% of the then outstanding Common Shares without regard to any other shares which may be beneficially owned by the Holder or an affiliate thereof, the Holder shall have the authority and obligation to determine whether the restriction contained in this Section will limit any particular conversion hereunder and to the extent that the Holder determines that the limitation contained in this Section applies, the determination of which portion of the Principal Amount of this Debenture is convertible shall be the responsibility and obligation of the Holder. If the Holder has delivered a Conversion Notice for a principal amount of this Debenture that, without regard to any other shares that the Holder or its affiliates may beneficially own, would result in the issuance in excess of the permitted amount hereunder or under the rules and regulations of the Principal Market, the Company shall notify the Holder of this fact and shall honor the conversion for the maximum principal amount permitted to be converted on such Conversion Date in accordance with Section (3)(a) and, any principal amount tendered for conversion in excess of the permitted amount hereunder shall remain outstanding under this Debenture. The provisions of this Section may be waived by a Holder (but only as to itself and not to any other Holder) upon not less than 65 days prior notice to the Company. Other Holders shall be unaffected by any such waiver.</w:t>
      </w:r>
    </w:p>
    <w:p>
      <w:pPr>
        <w:spacing w:after="0" w:line="180" w:lineRule="exact"/>
        <w:rPr>
          <w:sz w:val="20"/>
          <w:szCs w:val="20"/>
          <w:color w:val="auto"/>
        </w:rPr>
      </w:pPr>
    </w:p>
    <w:p>
      <w:pPr>
        <w:jc w:val="both"/>
        <w:ind w:firstLine="2600"/>
        <w:spacing w:after="0" w:line="249" w:lineRule="auto"/>
        <w:tabs>
          <w:tab w:leader="none" w:pos="3112"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Principal Market Limitation</w:t>
      </w:r>
      <w:r>
        <w:rPr>
          <w:rFonts w:ascii="Times New Roman" w:cs="Times New Roman" w:eastAsia="Times New Roman" w:hAnsi="Times New Roman"/>
          <w:sz w:val="22"/>
          <w:szCs w:val="22"/>
          <w:color w:val="auto"/>
        </w:rPr>
        <w:t>. Notwithstanding anything in this Debenture to the contrary, the Company shall not issue any Common Shares upon conversion of this Debenture, or otherwise, if the issuance of such Common Shares, together with any Common Shares issued in connection with any other related transactions that may be considered part of the same series of transactions, would exceed the aggregate number of Common Shares that the Company may issue in a transaction in compliance with the Company’s obligations under the rules or regulations of The Nasdaq Stock Market LLC (“</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and this limitation shall be referred to as the “</w:t>
      </w:r>
      <w:r>
        <w:rPr>
          <w:rFonts w:ascii="Times New Roman" w:cs="Times New Roman" w:eastAsia="Times New Roman" w:hAnsi="Times New Roman"/>
          <w:sz w:val="22"/>
          <w:szCs w:val="22"/>
          <w:u w:val="single" w:color="auto"/>
          <w:color w:val="auto"/>
        </w:rPr>
        <w:t>Exchange Cap,</w:t>
      </w:r>
      <w:r>
        <w:rPr>
          <w:rFonts w:ascii="Times New Roman" w:cs="Times New Roman" w:eastAsia="Times New Roman" w:hAnsi="Times New Roman"/>
          <w:sz w:val="22"/>
          <w:szCs w:val="22"/>
          <w:color w:val="auto"/>
        </w:rPr>
        <w:t>” except that such limitation shall not apply if the Company’s stockholders have approved such issuances on such terms in excess of the Exchange Cap in accordance with the rules and regulations of Nasdaq.</w:t>
      </w:r>
    </w:p>
    <w:p>
      <w:pPr>
        <w:spacing w:after="0" w:line="181"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Provisions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3000" w:hanging="400"/>
        <w:spacing w:after="0"/>
        <w:tabs>
          <w:tab w:leader="none" w:pos="300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calculations under this Section (3) shall be rounded to the nearest $0.0001 or whole share.</w:t>
      </w:r>
    </w:p>
    <w:p>
      <w:pPr>
        <w:spacing w:after="0" w:line="231" w:lineRule="exact"/>
        <w:rPr>
          <w:sz w:val="20"/>
          <w:szCs w:val="20"/>
          <w:color w:val="auto"/>
        </w:rPr>
      </w:pPr>
    </w:p>
    <w:p>
      <w:pPr>
        <w:jc w:val="both"/>
        <w:ind w:firstLine="2600"/>
        <w:spacing w:after="0" w:line="250" w:lineRule="auto"/>
        <w:tabs>
          <w:tab w:leader="none" w:pos="314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this Debenture or any Other Debentures remain outstanding, the Company shall have reserved from its duly authorized share capital, and shall have instructed the Transfer Agent to irrevocably reserve, the maximum number of Common Shares issuable upon conversion of this Debenture and the Other Debentures (assuming for purposes hereof that (x) this Debenture and such Other Debentures are convertible at the Floor Price as of the date of determination, and (y) any such conversion shall not take into account any limitations on the conversion of the Debenture or Other Debentures set forth herein or therein (the “</w:t>
      </w:r>
      <w:r>
        <w:rPr>
          <w:rFonts w:ascii="Times New Roman" w:cs="Times New Roman" w:eastAsia="Times New Roman" w:hAnsi="Times New Roman"/>
          <w:sz w:val="22"/>
          <w:szCs w:val="22"/>
          <w:u w:val="single" w:color="auto"/>
          <w:color w:val="auto"/>
        </w:rPr>
        <w:t>Required Reserve Amount</w:t>
      </w:r>
      <w:r>
        <w:rPr>
          <w:rFonts w:ascii="Times New Roman" w:cs="Times New Roman" w:eastAsia="Times New Roman" w:hAnsi="Times New Roman"/>
          <w:sz w:val="22"/>
          <w:szCs w:val="22"/>
          <w:color w:val="auto"/>
        </w:rPr>
        <w:t>”)), provided that at no time shall the number of Common Shares</w:t>
      </w:r>
    </w:p>
    <w:p>
      <w:pPr>
        <w:sectPr>
          <w:pgSz w:w="11900" w:h="16838" w:orient="portrait"/>
          <w:cols w:equalWidth="0" w:num="1">
            <w:col w:w="11240"/>
          </w:cols>
          <w:pgMar w:left="320" w:top="1422" w:right="339" w:bottom="1440" w:gutter="0" w:footer="0" w:header="0"/>
        </w:sectPr>
      </w:pPr>
    </w:p>
    <w:bookmarkStart w:id="14" w:name="page15"/>
    <w:bookmarkEnd w:id="14"/>
    <w:p>
      <w:pPr>
        <w:jc w:val="both"/>
        <w:spacing w:after="0" w:line="248" w:lineRule="auto"/>
        <w:rPr>
          <w:sz w:val="20"/>
          <w:szCs w:val="20"/>
          <w:color w:val="auto"/>
        </w:rPr>
      </w:pPr>
      <w:r>
        <w:rPr>
          <w:rFonts w:ascii="Times New Roman" w:cs="Times New Roman" w:eastAsia="Times New Roman" w:hAnsi="Times New Roman"/>
          <w:sz w:val="22"/>
          <w:szCs w:val="22"/>
          <w:color w:val="auto"/>
        </w:rPr>
        <w:t>reserved pursuant to this Section (3)(d)(ii) be reduced other than pursuant to the conversion of this Debenture and the Other Debentures in accordance with their terms, and/or cancellation, or reverse stock split. If at any time while this Debenture or any Other Debentures remain outstanding, the Company does not have a sufficient number of authorized and unreserved Common Shares to satisfy its obligations for the conversion of this Debenture, the Company will promptly take all corporate action necessary to propose to a meeting of its stockholders an increase of its authorized share capital necessary to meet the Company's obligations pursuant to this Debenture, and cause its board of directors to recommend to the stockholders that they approve such proposal. If at any time the number of Common Shares that remain available for issuance under the Exchange Cap is less than 100% of the maximum number of shares issuable upon conversion of all the Debentures and Other Debentures then outstanding (assuming for purposes hereof that (x) the Debentures are convertible at the Conversion Price then in effect, and (y) any such conversion shall not take into account any limitations on the conversion of the Debenture, other than the Floor Price then in effect but solely with respect to the Variable Price), the Company will use commercially reasonable efforts to promptly call and hold a stockholder meeting for the purpose of seeking the approval of its stockholders as required by the applicable rules of the Principal Market, for issuances of shares in excess of the Exchange Cap. The Company covenants that, upon issuance in accordance with conversion of this Debenture in accordance with its terms, the Common Shares, when issued, will be validly issued, fully paid and nonassessable</w:t>
      </w:r>
    </w:p>
    <w:p>
      <w:pPr>
        <w:spacing w:after="0" w:line="183" w:lineRule="exact"/>
        <w:rPr>
          <w:sz w:val="20"/>
          <w:szCs w:val="20"/>
          <w:color w:val="auto"/>
        </w:rPr>
      </w:pPr>
    </w:p>
    <w:p>
      <w:pPr>
        <w:jc w:val="both"/>
        <w:ind w:firstLine="2600"/>
        <w:spacing w:after="0" w:line="251" w:lineRule="auto"/>
        <w:tabs>
          <w:tab w:leader="none" w:pos="3192"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limit a Holder's right to pursue actual damages or declare an Event of Default pursuant to Section (2) herein for the Company’s failure to deliver certificates representing Common Shares upon conversion within the period specified herein and such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spacing w:after="0" w:line="181" w:lineRule="exact"/>
        <w:rPr>
          <w:rFonts w:ascii="Times New Roman" w:cs="Times New Roman" w:eastAsia="Times New Roman" w:hAnsi="Times New Roman"/>
          <w:sz w:val="22"/>
          <w:szCs w:val="22"/>
          <w:color w:val="auto"/>
        </w:rPr>
      </w:pPr>
    </w:p>
    <w:p>
      <w:pPr>
        <w:jc w:val="both"/>
        <w:ind w:firstLine="2600"/>
        <w:spacing w:after="0" w:line="248" w:lineRule="auto"/>
        <w:tabs>
          <w:tab w:leader="none" w:pos="312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Opinions</w:t>
      </w:r>
      <w:r>
        <w:rPr>
          <w:rFonts w:ascii="Times New Roman" w:cs="Times New Roman" w:eastAsia="Times New Roman" w:hAnsi="Times New Roman"/>
          <w:sz w:val="22"/>
          <w:szCs w:val="22"/>
          <w:color w:val="auto"/>
        </w:rPr>
        <w:t>. The Company is obligated to cause its legal counsel to deliver legal opinions to the Company’s transfer agent in connection with any legend removal upon the expiration of any holding period or other requirement for which the Underlying Shares may bear legends restricting the transfer thereof; provided that the Holder shall provide to the Company and its counsel certificates and letters of representation, if any, that are reasonably required and customary under the circumstances to effect such legend removal. To the extent a legal opinion is not provided (either timely or at all), then the Company agrees to reimburse the Holder for all reasonable costs incurred by the Holder in connection with any legal opinions paid for by the Holder in connection with the removal of such legends in connection with a sale or transfer of the Underlying Shares. The Holder shall notify the Company of any such costs and expenses it incurs that are referred to in this section from time to time and all amounts owed hereunder shall be paid by the Company with reasonable promptness.</w:t>
      </w:r>
    </w:p>
    <w:p>
      <w:pPr>
        <w:spacing w:after="0" w:line="198" w:lineRule="exact"/>
        <w:rPr>
          <w:rFonts w:ascii="Times New Roman" w:cs="Times New Roman" w:eastAsia="Times New Roman" w:hAnsi="Times New Roman"/>
          <w:sz w:val="22"/>
          <w:szCs w:val="22"/>
          <w:color w:val="auto"/>
        </w:rPr>
      </w:pPr>
    </w:p>
    <w:p>
      <w:pPr>
        <w:ind w:firstLine="1952"/>
        <w:spacing w:after="0" w:line="271" w:lineRule="auto"/>
        <w:tabs>
          <w:tab w:leader="none" w:pos="258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of Conversion Price upon Subdivision or Combination of Common Shares</w:t>
      </w:r>
      <w:r>
        <w:rPr>
          <w:rFonts w:ascii="Times New Roman" w:cs="Times New Roman" w:eastAsia="Times New Roman" w:hAnsi="Times New Roman"/>
          <w:sz w:val="22"/>
          <w:szCs w:val="22"/>
          <w:color w:val="auto"/>
        </w:rPr>
        <w:t>. If the Company, at any time while this Debenture is outstanding, shall (i) pay a</w:t>
      </w:r>
    </w:p>
    <w:p>
      <w:pPr>
        <w:sectPr>
          <w:pgSz w:w="11900" w:h="16838" w:orient="portrait"/>
          <w:cols w:equalWidth="0" w:num="1">
            <w:col w:w="11240"/>
          </w:cols>
          <w:pgMar w:left="320" w:top="1422" w:right="339" w:bottom="1440" w:gutter="0" w:footer="0" w:header="0"/>
        </w:sectPr>
      </w:pPr>
    </w:p>
    <w:bookmarkStart w:id="15" w:name="page16"/>
    <w:bookmarkEnd w:id="15"/>
    <w:p>
      <w:pPr>
        <w:jc w:val="both"/>
        <w:spacing w:after="0" w:line="249" w:lineRule="auto"/>
        <w:rPr>
          <w:sz w:val="20"/>
          <w:szCs w:val="20"/>
          <w:color w:val="auto"/>
        </w:rPr>
      </w:pPr>
      <w:r>
        <w:rPr>
          <w:rFonts w:ascii="Times New Roman" w:cs="Times New Roman" w:eastAsia="Times New Roman" w:hAnsi="Times New Roman"/>
          <w:sz w:val="22"/>
          <w:szCs w:val="22"/>
          <w:color w:val="auto"/>
        </w:rPr>
        <w:t>stock dividend or otherwise make a distribution or distributions on its Common Shares or any other equity or equity equivalent securities payable in Common Shares, (ii) subdivide outstanding Common Shares into a larger number of shares, (iii) combine (including by way of reverse stock split) outstanding Common Shares into a smaller number of shares, or (iv) issue by reclassification of Common Shares any shares of capital stock of the Company, then each of the Fixed Price and the Floor Price shall be multiplied by a fraction of which the numerator shall be the number of Common Shares (excluding treasury shares, if any) outstanding before such event and of which the denominator shall be the number of Common Shares outstanding after such event. Any adjustment made pursuant to this Section shall become effective, in the case of a dividend distribution, immediately after the record date for the determination of stockholders entitled to receive such dividend or distribution or, in the case of a subdivision, combination or re-classification, and shall become effective immediately after the effective date of such subdivision, combination or re-classification.</w:t>
      </w:r>
    </w:p>
    <w:p>
      <w:pPr>
        <w:spacing w:after="0" w:line="183" w:lineRule="exact"/>
        <w:rPr>
          <w:sz w:val="20"/>
          <w:szCs w:val="20"/>
          <w:color w:val="auto"/>
        </w:rPr>
      </w:pPr>
    </w:p>
    <w:p>
      <w:pPr>
        <w:ind w:left="2380" w:hanging="428"/>
        <w:spacing w:after="0"/>
        <w:tabs>
          <w:tab w:leader="none" w:pos="23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p>
    <w:p>
      <w:pPr>
        <w:spacing w:after="0" w:line="219" w:lineRule="exact"/>
        <w:rPr>
          <w:rFonts w:ascii="Times New Roman" w:cs="Times New Roman" w:eastAsia="Times New Roman" w:hAnsi="Times New Roman"/>
          <w:sz w:val="22"/>
          <w:szCs w:val="22"/>
          <w:color w:val="auto"/>
        </w:rPr>
      </w:pPr>
    </w:p>
    <w:p>
      <w:pPr>
        <w:jc w:val="both"/>
        <w:ind w:firstLine="1952"/>
        <w:spacing w:after="0" w:line="248" w:lineRule="auto"/>
        <w:tabs>
          <w:tab w:leader="none" w:pos="243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Corporate Events</w:t>
      </w:r>
      <w:r>
        <w:rPr>
          <w:rFonts w:ascii="Times New Roman" w:cs="Times New Roman" w:eastAsia="Times New Roman" w:hAnsi="Times New Roman"/>
          <w:sz w:val="22"/>
          <w:szCs w:val="22"/>
          <w:color w:val="auto"/>
        </w:rPr>
        <w:t>. In addition to and not in substitution for any other rights hereunder, prior to the consummation of any Fundamental Transaction pursuant to which holders of Common Shares are entitled to receive securities or other assets with respect to or in exchange for Common Shares (a "</w:t>
      </w:r>
      <w:r>
        <w:rPr>
          <w:rFonts w:ascii="Times New Roman" w:cs="Times New Roman" w:eastAsia="Times New Roman" w:hAnsi="Times New Roman"/>
          <w:sz w:val="22"/>
          <w:szCs w:val="22"/>
          <w:u w:val="single" w:color="auto"/>
          <w:color w:val="auto"/>
        </w:rPr>
        <w:t>Corporate Event</w:t>
      </w:r>
      <w:r>
        <w:rPr>
          <w:rFonts w:ascii="Times New Roman" w:cs="Times New Roman" w:eastAsia="Times New Roman" w:hAnsi="Times New Roman"/>
          <w:sz w:val="22"/>
          <w:szCs w:val="22"/>
          <w:color w:val="auto"/>
        </w:rPr>
        <w:t>"), the Company shall make appropriate provision to ensure that the Holder will thereafter have the right to receive upon a conversion of this Debenture, at the Holder's option, (i) in addition to the Common Shares receivable upon such conversion, such securities or other assets to which the Holder would have been entitled with respect to such Common Shares had such Common Shares been held by the Holder upon the consummation of such Corporate Event (without taking into account any limitations or restrictions on the convertibility of this Debenture) or (ii) in lieu of the Common Shares otherwise receivable upon such conversion, such securities or other assets received by the holders of Common Shares in connection with the consummation of such Corporate Event in such amounts as the Holder would have been entitled to receive had this Debenture initially been issued with conversion rights for the form of such consideration (as opposed to Common Shares) at a conversion rate for such consideration commensurate with the Conversion Price. Provision made pursuant to the preceding sentence shall be in a form and substance satisfactory to the Holders. The provisions of this Section shall apply similarly and equally to successive Corporate Events and shall be applied without regard to any limitations on the conversion or redemption of this Debenture.</w:t>
      </w:r>
    </w:p>
    <w:p>
      <w:pPr>
        <w:spacing w:after="0" w:line="187"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1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Conversion Price is adjusted pursuant to the terms hereof, the Company shall promptly provide the Holder with a written notice setting forth the Conversion Price after such adjustment and setting forth a brief statement of the facts requiring such adjustment.</w:t>
      </w:r>
    </w:p>
    <w:p>
      <w:pPr>
        <w:spacing w:after="0" w:line="172" w:lineRule="exact"/>
        <w:rPr>
          <w:rFonts w:ascii="Times New Roman" w:cs="Times New Roman" w:eastAsia="Times New Roman" w:hAnsi="Times New Roman"/>
          <w:sz w:val="22"/>
          <w:szCs w:val="22"/>
          <w:color w:val="auto"/>
        </w:rPr>
      </w:pPr>
    </w:p>
    <w:p>
      <w:pPr>
        <w:jc w:val="both"/>
        <w:ind w:firstLine="1952"/>
        <w:spacing w:after="0" w:line="281" w:lineRule="auto"/>
        <w:tabs>
          <w:tab w:leader="none" w:pos="2387"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of any (1) merger or consolidation of the Company with or into another Person, or (2) sale by the Company of substantially all of the assets of the Company in one or a series of related transactions, a Holder shall have the right to convert the aggregate amount of this Debenture then outstanding into the shares of stock and other securities, cash and</w:t>
      </w:r>
    </w:p>
    <w:p>
      <w:pPr>
        <w:sectPr>
          <w:pgSz w:w="11900" w:h="16838" w:orient="portrait"/>
          <w:cols w:equalWidth="0" w:num="1">
            <w:col w:w="11240"/>
          </w:cols>
          <w:pgMar w:left="320" w:top="1422" w:right="339" w:bottom="1440" w:gutter="0" w:footer="0" w:header="0"/>
        </w:sectPr>
      </w:pPr>
    </w:p>
    <w:bookmarkStart w:id="16" w:name="page17"/>
    <w:bookmarkEnd w:id="16"/>
    <w:p>
      <w:pPr>
        <w:jc w:val="both"/>
        <w:spacing w:after="0" w:line="265" w:lineRule="auto"/>
        <w:rPr>
          <w:sz w:val="20"/>
          <w:szCs w:val="20"/>
          <w:color w:val="auto"/>
        </w:rPr>
      </w:pPr>
      <w:r>
        <w:rPr>
          <w:rFonts w:ascii="Times New Roman" w:cs="Times New Roman" w:eastAsia="Times New Roman" w:hAnsi="Times New Roman"/>
          <w:sz w:val="21"/>
          <w:szCs w:val="21"/>
          <w:color w:val="auto"/>
        </w:rPr>
        <w:t>property receivable upon or deemed to be held by holders of Common Shares following such merger, consolidation or sale, and such Holder shall be entitled upon such event or series of related events to receive such amount of securities, cash and property as the Common Shares into which such aggregate Principal Amount of this Debenture could have been converted immediately prior to such merger, consolidation or sales would have been entitled. The terms of any such merger, sale or consolidation shall include such terms so as to continue to give the Holder the right to receive the securities, cash and property set forth in this Section upon any conversion or redemption following such event. This provision shall similarly apply to successive such events.</w:t>
      </w:r>
    </w:p>
    <w:p>
      <w:pPr>
        <w:spacing w:after="0" w:line="169" w:lineRule="exact"/>
        <w:rPr>
          <w:sz w:val="20"/>
          <w:szCs w:val="20"/>
          <w:color w:val="auto"/>
        </w:rPr>
      </w:pPr>
    </w:p>
    <w:p>
      <w:pPr>
        <w:ind w:left="1780" w:hanging="476"/>
        <w:spacing w:after="0"/>
        <w:tabs>
          <w:tab w:leader="none" w:pos="17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REISSUANCE OF THIS DEBENTURE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2"/>
        <w:spacing w:after="0" w:line="264" w:lineRule="auto"/>
        <w:tabs>
          <w:tab w:leader="none" w:pos="2535"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 If this Debenture is to be transferred, the Holder shall surrender this Debenture to the Company, whereupon the Company will forthwith issue and deliver upon the order of the Holder a new Debenture (in accordance with Section (4)(d)), registered in the name of the registered transferee or assignee, representing the outstanding Principal being transferred by the Holder (along with any accrued and unpaid Interest thereof) and, if less than the entire outstanding Principal is being transferred, a new Debenture (in accordance with Section (4)(d)) to the Holder representing the outstanding Principal not being transferred. The Holder and any assignee, by acceptance of this Debenture, acknowledge and agree that, by reason of the provisions of Section (3)(b)(iii) following conversion or redemption of any portion of this Debenture, the outstanding Principal represented by this Debenture may be less than the Principal stated on the face of this Debenture.</w:t>
      </w:r>
    </w:p>
    <w:p>
      <w:pPr>
        <w:spacing w:after="0" w:line="169" w:lineRule="exact"/>
        <w:rPr>
          <w:rFonts w:ascii="Times New Roman" w:cs="Times New Roman" w:eastAsia="Times New Roman" w:hAnsi="Times New Roman"/>
          <w:sz w:val="21"/>
          <w:szCs w:val="21"/>
          <w:color w:val="auto"/>
        </w:rPr>
      </w:pPr>
    </w:p>
    <w:p>
      <w:pPr>
        <w:jc w:val="both"/>
        <w:ind w:firstLine="1952"/>
        <w:spacing w:after="0" w:line="253" w:lineRule="auto"/>
        <w:tabs>
          <w:tab w:leader="none" w:pos="2641"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Lost, Stolen or Mutilated Debenture</w:t>
      </w:r>
      <w:r>
        <w:rPr>
          <w:rFonts w:ascii="Times New Roman" w:cs="Times New Roman" w:eastAsia="Times New Roman" w:hAnsi="Times New Roman"/>
          <w:sz w:val="22"/>
          <w:szCs w:val="22"/>
          <w:color w:val="auto"/>
        </w:rPr>
        <w:t>. Upon receipt by the Company of evidence reasonably satisfactory to the Company of the loss, theft, destruction or mutilation of this Debenture, and, in the case of loss, theft or destruction, of any indemnification undertaking by the Holder to the Company in customary form and substance and, in the case of mutilation, upon surrender and cancellation of this Debenture, the Company shall execute and deliver to the Holder a new Debenture (in accordance with Section (4)(d)) representing the outstanding Principal.</w:t>
      </w:r>
    </w:p>
    <w:p>
      <w:pPr>
        <w:spacing w:after="0" w:line="178"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08"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Debenture Exchangeable for Different Denominations</w:t>
      </w:r>
      <w:r>
        <w:rPr>
          <w:rFonts w:ascii="Times New Roman" w:cs="Times New Roman" w:eastAsia="Times New Roman" w:hAnsi="Times New Roman"/>
          <w:sz w:val="22"/>
          <w:szCs w:val="22"/>
          <w:color w:val="auto"/>
        </w:rPr>
        <w:t>. This Debenture is exchangeable, upon the surrender hereof by the Holder at the principal office of the Company, for a new Debenture or Debentures (in accordance with Section (4)(d)) representing in the aggregate the outstanding Principal of this Debenture, and each such new Debenture will represent such portion of such outstanding Principal as is designated by the Holder at the time of such surrender.</w:t>
      </w:r>
    </w:p>
    <w:p>
      <w:pPr>
        <w:spacing w:after="0" w:line="192" w:lineRule="exact"/>
        <w:rPr>
          <w:rFonts w:ascii="Times New Roman" w:cs="Times New Roman" w:eastAsia="Times New Roman" w:hAnsi="Times New Roman"/>
          <w:sz w:val="22"/>
          <w:szCs w:val="22"/>
          <w:color w:val="auto"/>
        </w:rPr>
      </w:pPr>
    </w:p>
    <w:p>
      <w:pPr>
        <w:jc w:val="both"/>
        <w:ind w:firstLine="1952"/>
        <w:spacing w:after="0" w:line="248" w:lineRule="auto"/>
        <w:tabs>
          <w:tab w:leader="none" w:pos="2439"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New Debentures</w:t>
      </w:r>
      <w:r>
        <w:rPr>
          <w:rFonts w:ascii="Times New Roman" w:cs="Times New Roman" w:eastAsia="Times New Roman" w:hAnsi="Times New Roman"/>
          <w:sz w:val="22"/>
          <w:szCs w:val="22"/>
          <w:color w:val="auto"/>
        </w:rPr>
        <w:t>. Whenever the Company is required to issue a new Debenture pursuant to the terms of this Debenture, such new Debenture (i) shall be of like tenor with this Debenture, (ii) shall represent, as indicated on the face of such new Debenture, the Principal remaining outstanding (or in the case of a new Debenture being issued pursuant to Section (4)(a) or Section (4)(c), the Principal designated by the Holder which, when added to the Principal represented by the other new Debentures issued in connection with such issuance, does not exceed the Principal remaining outstanding under this Debenture immediately</w:t>
      </w:r>
    </w:p>
    <w:p>
      <w:pPr>
        <w:sectPr>
          <w:pgSz w:w="11900" w:h="16838" w:orient="portrait"/>
          <w:cols w:equalWidth="0" w:num="1">
            <w:col w:w="11240"/>
          </w:cols>
          <w:pgMar w:left="320" w:top="1422" w:right="339" w:bottom="1440" w:gutter="0" w:footer="0" w:header="0"/>
        </w:sectPr>
      </w:pPr>
    </w:p>
    <w:bookmarkStart w:id="17" w:name="page18"/>
    <w:bookmarkEnd w:id="17"/>
    <w:p>
      <w:pPr>
        <w:jc w:val="both"/>
        <w:spacing w:after="0" w:line="257" w:lineRule="auto"/>
        <w:rPr>
          <w:sz w:val="20"/>
          <w:szCs w:val="20"/>
          <w:color w:val="auto"/>
        </w:rPr>
      </w:pPr>
      <w:r>
        <w:rPr>
          <w:rFonts w:ascii="Times New Roman" w:cs="Times New Roman" w:eastAsia="Times New Roman" w:hAnsi="Times New Roman"/>
          <w:sz w:val="22"/>
          <w:szCs w:val="22"/>
          <w:color w:val="auto"/>
        </w:rPr>
        <w:t>prior to such issuance of new Debentures), (iii) shall have an issuance date, as indicated on the face of such new Debenture, which is the same as the Issuance Date of this Debenture, (iv) shall have the same rights and conditions as this Debenture, and (v) shall represent accrued and unpaid Interest from the Issuance Date.</w:t>
      </w:r>
    </w:p>
    <w:p>
      <w:pPr>
        <w:spacing w:after="0" w:line="186" w:lineRule="exact"/>
        <w:rPr>
          <w:sz w:val="20"/>
          <w:szCs w:val="20"/>
          <w:color w:val="auto"/>
        </w:rPr>
      </w:pPr>
    </w:p>
    <w:p>
      <w:pPr>
        <w:jc w:val="both"/>
        <w:ind w:firstLine="1304"/>
        <w:spacing w:after="0" w:line="250" w:lineRule="auto"/>
        <w:tabs>
          <w:tab w:leader="none" w:pos="185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consents, waivers or other communications required or permitted to be given under the terms hereof must be in writing by letter or electronic mail (“e-mail”) and will be deemed to have been delivered (i) upon receipt, when delivered personally, (ii) one (1) Business Day after deposit with an overnight courier service with next day delivery specified, as applicable or (iii) receipt, when sent by e-mail, and, in each case of the foregoing clauses (i), (ii) and (iii), properly addressed to the party to receive the same. The addresses and email­ addresses for such communications shall be:</w:t>
      </w:r>
    </w:p>
    <w:p>
      <w:pPr>
        <w:spacing w:after="0" w:line="200" w:lineRule="exact"/>
        <w:rPr>
          <w:sz w:val="20"/>
          <w:szCs w:val="20"/>
          <w:color w:val="auto"/>
        </w:rPr>
      </w:pP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If to the Company, to:</w:t>
            </w:r>
          </w:p>
        </w:tc>
        <w:tc>
          <w:tcPr>
            <w:tcW w:w="5260" w:type="dxa"/>
            <w:vAlign w:val="bottom"/>
            <w:gridSpan w:val="3"/>
          </w:tcPr>
          <w:p>
            <w:pPr>
              <w:ind w:left="380"/>
              <w:spacing w:after="0"/>
              <w:rPr>
                <w:sz w:val="20"/>
                <w:szCs w:val="20"/>
                <w:color w:val="auto"/>
              </w:rPr>
            </w:pPr>
            <w:r>
              <w:rPr>
                <w:rFonts w:ascii="Times New Roman" w:cs="Times New Roman" w:eastAsia="Times New Roman" w:hAnsi="Times New Roman"/>
                <w:sz w:val="22"/>
                <w:szCs w:val="22"/>
                <w:color w:val="auto"/>
              </w:rPr>
              <w:t>INNVENTURE, INC.</w:t>
            </w:r>
          </w:p>
        </w:tc>
      </w:tr>
      <w:tr>
        <w:trPr>
          <w:trHeight w:val="297"/>
        </w:trPr>
        <w:tc>
          <w:tcPr>
            <w:tcW w:w="3660" w:type="dxa"/>
            <w:vAlign w:val="bottom"/>
          </w:tcPr>
          <w:p>
            <w:pPr>
              <w:spacing w:after="0"/>
              <w:rPr>
                <w:sz w:val="24"/>
                <w:szCs w:val="24"/>
                <w:color w:val="auto"/>
              </w:rPr>
            </w:pPr>
          </w:p>
        </w:tc>
        <w:tc>
          <w:tcPr>
            <w:tcW w:w="526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6900 Tavistock Lakes Blvd, Suire 400</w:t>
            </w:r>
          </w:p>
        </w:tc>
      </w:tr>
      <w:tr>
        <w:trPr>
          <w:trHeight w:val="473"/>
        </w:trPr>
        <w:tc>
          <w:tcPr>
            <w:tcW w:w="3660" w:type="dxa"/>
            <w:vAlign w:val="bottom"/>
          </w:tcPr>
          <w:p>
            <w:pPr>
              <w:spacing w:after="0"/>
              <w:rPr>
                <w:sz w:val="24"/>
                <w:szCs w:val="24"/>
                <w:color w:val="auto"/>
              </w:rPr>
            </w:pPr>
          </w:p>
        </w:tc>
        <w:tc>
          <w:tcPr>
            <w:tcW w:w="526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Orlando, FL 32827</w:t>
            </w:r>
          </w:p>
        </w:tc>
      </w:tr>
      <w:tr>
        <w:trPr>
          <w:trHeight w:val="447"/>
        </w:trPr>
        <w:tc>
          <w:tcPr>
            <w:tcW w:w="3660" w:type="dxa"/>
            <w:vAlign w:val="bottom"/>
          </w:tcPr>
          <w:p>
            <w:pPr>
              <w:spacing w:after="0"/>
              <w:rPr>
                <w:sz w:val="24"/>
                <w:szCs w:val="24"/>
                <w:color w:val="auto"/>
              </w:rPr>
            </w:pPr>
          </w:p>
        </w:tc>
        <w:tc>
          <w:tcPr>
            <w:tcW w:w="526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Telephone: (610) 996-1767</w:t>
            </w:r>
          </w:p>
        </w:tc>
      </w:tr>
      <w:tr>
        <w:trPr>
          <w:trHeight w:val="257"/>
        </w:trPr>
        <w:tc>
          <w:tcPr>
            <w:tcW w:w="3660" w:type="dxa"/>
            <w:vAlign w:val="bottom"/>
          </w:tcPr>
          <w:p>
            <w:pPr>
              <w:spacing w:after="0"/>
              <w:rPr>
                <w:sz w:val="22"/>
                <w:szCs w:val="22"/>
                <w:color w:val="auto"/>
              </w:rPr>
            </w:pPr>
          </w:p>
        </w:tc>
        <w:tc>
          <w:tcPr>
            <w:tcW w:w="526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Attention: Suzanne Niemeyer, General Counsel</w:t>
            </w:r>
          </w:p>
        </w:tc>
      </w:tr>
      <w:tr>
        <w:trPr>
          <w:trHeight w:val="230"/>
        </w:trPr>
        <w:tc>
          <w:tcPr>
            <w:tcW w:w="3660" w:type="dxa"/>
            <w:vAlign w:val="bottom"/>
          </w:tcPr>
          <w:p>
            <w:pPr>
              <w:spacing w:after="0"/>
              <w:rPr>
                <w:sz w:val="19"/>
                <w:szCs w:val="19"/>
                <w:color w:val="auto"/>
              </w:rPr>
            </w:pPr>
          </w:p>
        </w:tc>
        <w:tc>
          <w:tcPr>
            <w:tcW w:w="5260" w:type="dxa"/>
            <w:vAlign w:val="bottom"/>
            <w:gridSpan w:val="3"/>
          </w:tcPr>
          <w:p>
            <w:pPr>
              <w:ind w:left="320"/>
              <w:spacing w:after="0" w:line="230" w:lineRule="exact"/>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color w:val="00006F"/>
              </w:rPr>
              <w:t>legalnotices@innventure.com</w:t>
            </w:r>
          </w:p>
        </w:tc>
      </w:tr>
      <w:tr>
        <w:trPr>
          <w:trHeight w:val="20"/>
        </w:trPr>
        <w:tc>
          <w:tcPr>
            <w:tcW w:w="3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80" w:type="dxa"/>
            <w:vAlign w:val="bottom"/>
            <w:shd w:val="clear" w:color="auto" w:fill="00006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601"/>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with a copy (which shall not constitute</w:t>
            </w:r>
          </w:p>
        </w:tc>
        <w:tc>
          <w:tcPr>
            <w:tcW w:w="5260" w:type="dxa"/>
            <w:vAlign w:val="bottom"/>
            <w:gridSpan w:val="3"/>
          </w:tcPr>
          <w:p>
            <w:pPr>
              <w:ind w:left="380"/>
              <w:spacing w:after="0"/>
              <w:rPr>
                <w:sz w:val="20"/>
                <w:szCs w:val="20"/>
                <w:color w:val="auto"/>
              </w:rPr>
            </w:pPr>
            <w:r>
              <w:rPr>
                <w:rFonts w:ascii="Times New Roman" w:cs="Times New Roman" w:eastAsia="Times New Roman" w:hAnsi="Times New Roman"/>
                <w:sz w:val="22"/>
                <w:szCs w:val="22"/>
                <w:color w:val="auto"/>
              </w:rPr>
              <w:t>Jones Day</w:t>
            </w:r>
          </w:p>
        </w:tc>
      </w:tr>
      <w:tr>
        <w:trPr>
          <w:trHeight w:val="25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notice) to:</w:t>
            </w:r>
          </w:p>
        </w:tc>
        <w:tc>
          <w:tcPr>
            <w:tcW w:w="5260" w:type="dxa"/>
            <w:vAlign w:val="bottom"/>
            <w:gridSpan w:val="3"/>
          </w:tcPr>
          <w:p>
            <w:pPr>
              <w:ind w:left="380"/>
              <w:spacing w:after="0"/>
              <w:rPr>
                <w:sz w:val="20"/>
                <w:szCs w:val="20"/>
                <w:color w:val="auto"/>
              </w:rPr>
            </w:pPr>
            <w:r>
              <w:rPr>
                <w:rFonts w:ascii="Times New Roman" w:cs="Times New Roman" w:eastAsia="Times New Roman" w:hAnsi="Times New Roman"/>
                <w:sz w:val="22"/>
                <w:szCs w:val="22"/>
                <w:color w:val="auto"/>
              </w:rPr>
              <w:t>1221 Peachtree Street, N.E., Suite 400</w:t>
            </w:r>
          </w:p>
        </w:tc>
      </w:tr>
      <w:tr>
        <w:trPr>
          <w:trHeight w:val="256"/>
        </w:trPr>
        <w:tc>
          <w:tcPr>
            <w:tcW w:w="3660" w:type="dxa"/>
            <w:vAlign w:val="bottom"/>
          </w:tcPr>
          <w:p>
            <w:pPr>
              <w:spacing w:after="0"/>
              <w:rPr>
                <w:sz w:val="22"/>
                <w:szCs w:val="22"/>
                <w:color w:val="auto"/>
              </w:rPr>
            </w:pPr>
          </w:p>
        </w:tc>
        <w:tc>
          <w:tcPr>
            <w:tcW w:w="5260" w:type="dxa"/>
            <w:vAlign w:val="bottom"/>
            <w:gridSpan w:val="3"/>
          </w:tcPr>
          <w:p>
            <w:pPr>
              <w:ind w:left="380"/>
              <w:spacing w:after="0"/>
              <w:rPr>
                <w:sz w:val="20"/>
                <w:szCs w:val="20"/>
                <w:color w:val="auto"/>
              </w:rPr>
            </w:pPr>
            <w:r>
              <w:rPr>
                <w:rFonts w:ascii="Times New Roman" w:cs="Times New Roman" w:eastAsia="Times New Roman" w:hAnsi="Times New Roman"/>
                <w:sz w:val="22"/>
                <w:szCs w:val="22"/>
                <w:color w:val="auto"/>
              </w:rPr>
              <w:t>Atlanta, GA 30361</w:t>
            </w:r>
          </w:p>
        </w:tc>
      </w:tr>
      <w:tr>
        <w:trPr>
          <w:trHeight w:val="257"/>
        </w:trPr>
        <w:tc>
          <w:tcPr>
            <w:tcW w:w="3660" w:type="dxa"/>
            <w:vAlign w:val="bottom"/>
          </w:tcPr>
          <w:p>
            <w:pPr>
              <w:spacing w:after="0"/>
              <w:rPr>
                <w:sz w:val="22"/>
                <w:szCs w:val="22"/>
                <w:color w:val="auto"/>
              </w:rPr>
            </w:pPr>
          </w:p>
        </w:tc>
        <w:tc>
          <w:tcPr>
            <w:tcW w:w="5260" w:type="dxa"/>
            <w:vAlign w:val="bottom"/>
            <w:gridSpan w:val="3"/>
          </w:tcPr>
          <w:p>
            <w:pPr>
              <w:ind w:left="380"/>
              <w:spacing w:after="0"/>
              <w:rPr>
                <w:sz w:val="20"/>
                <w:szCs w:val="20"/>
                <w:color w:val="auto"/>
              </w:rPr>
            </w:pPr>
            <w:r>
              <w:rPr>
                <w:rFonts w:ascii="Times New Roman" w:cs="Times New Roman" w:eastAsia="Times New Roman" w:hAnsi="Times New Roman"/>
                <w:sz w:val="22"/>
                <w:szCs w:val="22"/>
                <w:color w:val="auto"/>
              </w:rPr>
              <w:t>Telephone: (404) 521-3939</w:t>
            </w:r>
          </w:p>
        </w:tc>
      </w:tr>
      <w:tr>
        <w:trPr>
          <w:trHeight w:val="256"/>
        </w:trPr>
        <w:tc>
          <w:tcPr>
            <w:tcW w:w="3660" w:type="dxa"/>
            <w:vAlign w:val="bottom"/>
          </w:tcPr>
          <w:p>
            <w:pPr>
              <w:spacing w:after="0"/>
              <w:rPr>
                <w:sz w:val="22"/>
                <w:szCs w:val="22"/>
                <w:color w:val="auto"/>
              </w:rPr>
            </w:pPr>
          </w:p>
        </w:tc>
        <w:tc>
          <w:tcPr>
            <w:tcW w:w="5260" w:type="dxa"/>
            <w:vAlign w:val="bottom"/>
            <w:gridSpan w:val="3"/>
          </w:tcPr>
          <w:p>
            <w:pPr>
              <w:ind w:left="380"/>
              <w:spacing w:after="0"/>
              <w:rPr>
                <w:sz w:val="20"/>
                <w:szCs w:val="20"/>
                <w:color w:val="auto"/>
              </w:rPr>
            </w:pPr>
            <w:r>
              <w:rPr>
                <w:rFonts w:ascii="Times New Roman" w:cs="Times New Roman" w:eastAsia="Times New Roman" w:hAnsi="Times New Roman"/>
                <w:sz w:val="22"/>
                <w:szCs w:val="22"/>
                <w:color w:val="auto"/>
                <w:w w:val="99"/>
              </w:rPr>
              <w:t>Attention: Joel T. May, Esq. and Thomas L. Short, Esq.</w:t>
            </w:r>
          </w:p>
        </w:tc>
      </w:tr>
      <w:tr>
        <w:trPr>
          <w:trHeight w:val="282"/>
        </w:trPr>
        <w:tc>
          <w:tcPr>
            <w:tcW w:w="3660" w:type="dxa"/>
            <w:vAlign w:val="bottom"/>
          </w:tcPr>
          <w:p>
            <w:pPr>
              <w:spacing w:after="0"/>
              <w:rPr>
                <w:sz w:val="24"/>
                <w:szCs w:val="24"/>
                <w:color w:val="auto"/>
              </w:rPr>
            </w:pPr>
          </w:p>
        </w:tc>
        <w:tc>
          <w:tcPr>
            <w:tcW w:w="5260" w:type="dxa"/>
            <w:vAlign w:val="bottom"/>
            <w:gridSpan w:val="3"/>
          </w:tcPr>
          <w:p>
            <w:pPr>
              <w:ind w:left="380"/>
              <w:spacing w:after="0"/>
              <w:rPr>
                <w:sz w:val="20"/>
                <w:szCs w:val="20"/>
                <w:color w:val="auto"/>
              </w:rPr>
            </w:pPr>
            <w:r>
              <w:rPr>
                <w:rFonts w:ascii="Times New Roman" w:cs="Times New Roman" w:eastAsia="Times New Roman" w:hAnsi="Times New Roman"/>
                <w:sz w:val="22"/>
                <w:szCs w:val="22"/>
                <w:color w:val="auto"/>
                <w:w w:val="97"/>
              </w:rPr>
              <w:t>E-Mail: jtmay@jonesday.com and tshort@jonesday.com</w:t>
            </w:r>
          </w:p>
        </w:tc>
      </w:tr>
      <w:tr>
        <w:trPr>
          <w:trHeight w:val="783"/>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If to the Holder:</w:t>
            </w:r>
          </w:p>
        </w:tc>
        <w:tc>
          <w:tcPr>
            <w:tcW w:w="5260" w:type="dxa"/>
            <w:vAlign w:val="bottom"/>
            <w:gridSpan w:val="3"/>
          </w:tcPr>
          <w:p>
            <w:pPr>
              <w:ind w:left="380"/>
              <w:spacing w:after="0"/>
              <w:rPr>
                <w:sz w:val="20"/>
                <w:szCs w:val="20"/>
                <w:color w:val="auto"/>
              </w:rPr>
            </w:pPr>
            <w:r>
              <w:rPr>
                <w:rFonts w:ascii="Times New Roman" w:cs="Times New Roman" w:eastAsia="Times New Roman" w:hAnsi="Times New Roman"/>
                <w:sz w:val="22"/>
                <w:szCs w:val="22"/>
                <w:color w:val="auto"/>
              </w:rPr>
              <w:t>YA II PN, Ltd</w:t>
            </w:r>
          </w:p>
        </w:tc>
      </w:tr>
      <w:tr>
        <w:trPr>
          <w:trHeight w:val="271"/>
        </w:trPr>
        <w:tc>
          <w:tcPr>
            <w:tcW w:w="3660" w:type="dxa"/>
            <w:vAlign w:val="bottom"/>
          </w:tcPr>
          <w:p>
            <w:pPr>
              <w:spacing w:after="0"/>
              <w:rPr>
                <w:sz w:val="23"/>
                <w:szCs w:val="23"/>
                <w:color w:val="auto"/>
              </w:rPr>
            </w:pPr>
          </w:p>
        </w:tc>
        <w:tc>
          <w:tcPr>
            <w:tcW w:w="5260" w:type="dxa"/>
            <w:vAlign w:val="bottom"/>
            <w:gridSpan w:val="3"/>
          </w:tcPr>
          <w:p>
            <w:pPr>
              <w:ind w:left="380"/>
              <w:spacing w:after="0"/>
              <w:rPr>
                <w:sz w:val="20"/>
                <w:szCs w:val="20"/>
                <w:color w:val="auto"/>
              </w:rPr>
            </w:pPr>
            <w:r>
              <w:rPr>
                <w:rFonts w:ascii="Times New Roman" w:cs="Times New Roman" w:eastAsia="Times New Roman" w:hAnsi="Times New Roman"/>
                <w:sz w:val="22"/>
                <w:szCs w:val="22"/>
                <w:color w:val="auto"/>
              </w:rPr>
              <w:t>c/o Yorkville Advisors Global, LLC</w:t>
            </w:r>
          </w:p>
        </w:tc>
      </w:tr>
      <w:tr>
        <w:trPr>
          <w:trHeight w:val="282"/>
        </w:trPr>
        <w:tc>
          <w:tcPr>
            <w:tcW w:w="3660" w:type="dxa"/>
            <w:vAlign w:val="bottom"/>
          </w:tcPr>
          <w:p>
            <w:pPr>
              <w:spacing w:after="0"/>
              <w:rPr>
                <w:sz w:val="24"/>
                <w:szCs w:val="24"/>
                <w:color w:val="auto"/>
              </w:rPr>
            </w:pPr>
          </w:p>
        </w:tc>
        <w:tc>
          <w:tcPr>
            <w:tcW w:w="5260" w:type="dxa"/>
            <w:vAlign w:val="bottom"/>
            <w:gridSpan w:val="3"/>
          </w:tcPr>
          <w:p>
            <w:pPr>
              <w:ind w:left="380"/>
              <w:spacing w:after="0"/>
              <w:rPr>
                <w:sz w:val="20"/>
                <w:szCs w:val="20"/>
                <w:color w:val="auto"/>
              </w:rPr>
            </w:pPr>
            <w:r>
              <w:rPr>
                <w:rFonts w:ascii="Times New Roman" w:cs="Times New Roman" w:eastAsia="Times New Roman" w:hAnsi="Times New Roman"/>
                <w:sz w:val="22"/>
                <w:szCs w:val="22"/>
                <w:color w:val="auto"/>
              </w:rPr>
              <w:t>1012 Springfield Avenue</w:t>
            </w:r>
          </w:p>
        </w:tc>
      </w:tr>
      <w:tr>
        <w:trPr>
          <w:trHeight w:val="271"/>
        </w:trPr>
        <w:tc>
          <w:tcPr>
            <w:tcW w:w="3660" w:type="dxa"/>
            <w:vAlign w:val="bottom"/>
          </w:tcPr>
          <w:p>
            <w:pPr>
              <w:spacing w:after="0"/>
              <w:rPr>
                <w:sz w:val="23"/>
                <w:szCs w:val="23"/>
                <w:color w:val="auto"/>
              </w:rPr>
            </w:pPr>
          </w:p>
        </w:tc>
        <w:tc>
          <w:tcPr>
            <w:tcW w:w="5260" w:type="dxa"/>
            <w:vAlign w:val="bottom"/>
            <w:gridSpan w:val="3"/>
          </w:tcPr>
          <w:p>
            <w:pPr>
              <w:ind w:left="380"/>
              <w:spacing w:after="0"/>
              <w:rPr>
                <w:sz w:val="20"/>
                <w:szCs w:val="20"/>
                <w:color w:val="auto"/>
              </w:rPr>
            </w:pPr>
            <w:r>
              <w:rPr>
                <w:rFonts w:ascii="Times New Roman" w:cs="Times New Roman" w:eastAsia="Times New Roman" w:hAnsi="Times New Roman"/>
                <w:sz w:val="22"/>
                <w:szCs w:val="22"/>
                <w:color w:val="auto"/>
              </w:rPr>
              <w:t>Mountainside, NJ 07092</w:t>
            </w:r>
          </w:p>
        </w:tc>
      </w:tr>
      <w:tr>
        <w:trPr>
          <w:trHeight w:val="270"/>
        </w:trPr>
        <w:tc>
          <w:tcPr>
            <w:tcW w:w="3660" w:type="dxa"/>
            <w:vAlign w:val="bottom"/>
          </w:tcPr>
          <w:p>
            <w:pPr>
              <w:spacing w:after="0"/>
              <w:rPr>
                <w:sz w:val="23"/>
                <w:szCs w:val="23"/>
                <w:color w:val="auto"/>
              </w:rPr>
            </w:pPr>
          </w:p>
        </w:tc>
        <w:tc>
          <w:tcPr>
            <w:tcW w:w="5260" w:type="dxa"/>
            <w:vAlign w:val="bottom"/>
            <w:gridSpan w:val="3"/>
          </w:tcPr>
          <w:p>
            <w:pPr>
              <w:ind w:left="380"/>
              <w:spacing w:after="0"/>
              <w:rPr>
                <w:sz w:val="20"/>
                <w:szCs w:val="20"/>
                <w:color w:val="auto"/>
              </w:rPr>
            </w:pPr>
            <w:r>
              <w:rPr>
                <w:rFonts w:ascii="Times New Roman" w:cs="Times New Roman" w:eastAsia="Times New Roman" w:hAnsi="Times New Roman"/>
                <w:sz w:val="22"/>
                <w:szCs w:val="22"/>
                <w:color w:val="auto"/>
              </w:rPr>
              <w:t>Attention: Mark Angelo</w:t>
            </w:r>
          </w:p>
        </w:tc>
      </w:tr>
      <w:tr>
        <w:trPr>
          <w:trHeight w:val="270"/>
        </w:trPr>
        <w:tc>
          <w:tcPr>
            <w:tcW w:w="3660" w:type="dxa"/>
            <w:vAlign w:val="bottom"/>
          </w:tcPr>
          <w:p>
            <w:pPr>
              <w:spacing w:after="0"/>
              <w:rPr>
                <w:sz w:val="23"/>
                <w:szCs w:val="23"/>
                <w:color w:val="auto"/>
              </w:rPr>
            </w:pPr>
          </w:p>
        </w:tc>
        <w:tc>
          <w:tcPr>
            <w:tcW w:w="5260" w:type="dxa"/>
            <w:vAlign w:val="bottom"/>
            <w:gridSpan w:val="3"/>
          </w:tcPr>
          <w:p>
            <w:pPr>
              <w:ind w:left="380"/>
              <w:spacing w:after="0"/>
              <w:rPr>
                <w:sz w:val="20"/>
                <w:szCs w:val="20"/>
                <w:color w:val="auto"/>
              </w:rPr>
            </w:pPr>
            <w:r>
              <w:rPr>
                <w:rFonts w:ascii="Times New Roman" w:cs="Times New Roman" w:eastAsia="Times New Roman" w:hAnsi="Times New Roman"/>
                <w:sz w:val="22"/>
                <w:szCs w:val="22"/>
                <w:color w:val="auto"/>
              </w:rPr>
              <w:t>Telephone: 201-985-8300</w:t>
            </w:r>
          </w:p>
        </w:tc>
      </w:tr>
      <w:tr>
        <w:trPr>
          <w:trHeight w:val="282"/>
        </w:trPr>
        <w:tc>
          <w:tcPr>
            <w:tcW w:w="3660" w:type="dxa"/>
            <w:vAlign w:val="bottom"/>
          </w:tcPr>
          <w:p>
            <w:pPr>
              <w:spacing w:after="0"/>
              <w:rPr>
                <w:sz w:val="24"/>
                <w:szCs w:val="24"/>
                <w:color w:val="auto"/>
              </w:rPr>
            </w:pPr>
          </w:p>
        </w:tc>
        <w:tc>
          <w:tcPr>
            <w:tcW w:w="5260" w:type="dxa"/>
            <w:vAlign w:val="bottom"/>
            <w:gridSpan w:val="3"/>
          </w:tcPr>
          <w:p>
            <w:pPr>
              <w:ind w:left="380"/>
              <w:spacing w:after="0"/>
              <w:rPr>
                <w:sz w:val="20"/>
                <w:szCs w:val="20"/>
                <w:color w:val="auto"/>
              </w:rPr>
            </w:pPr>
            <w:r>
              <w:rPr>
                <w:rFonts w:ascii="Times New Roman" w:cs="Times New Roman" w:eastAsia="Times New Roman" w:hAnsi="Times New Roman"/>
                <w:sz w:val="22"/>
                <w:szCs w:val="22"/>
                <w:color w:val="auto"/>
              </w:rPr>
              <w:t>Email: Legal@yorkvilleadvisors.com</w:t>
            </w:r>
          </w:p>
        </w:tc>
      </w:tr>
    </w:tbl>
    <w:p>
      <w:pPr>
        <w:spacing w:after="0" w:line="200" w:lineRule="exact"/>
        <w:rPr>
          <w:sz w:val="20"/>
          <w:szCs w:val="20"/>
          <w:color w:val="auto"/>
        </w:rPr>
      </w:pPr>
    </w:p>
    <w:p>
      <w:pPr>
        <w:spacing w:after="0" w:line="32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or at such other address and/or e-mail address and/or to the attention of such other person as the recipient party has specified by written notice given to each other party in accordance with this Section at least three (3) Business Days prior to the effectiveness of such change. Written confirmation of receipt (a) given by the recipient of such notice, consent, waiver or other</w:t>
      </w:r>
    </w:p>
    <w:p>
      <w:pPr>
        <w:sectPr>
          <w:pgSz w:w="11900" w:h="16838" w:orient="portrait"/>
          <w:cols w:equalWidth="0" w:num="1">
            <w:col w:w="11240"/>
          </w:cols>
          <w:pgMar w:left="320" w:top="1422" w:right="339" w:bottom="1440" w:gutter="0" w:footer="0" w:header="0"/>
        </w:sectPr>
      </w:pPr>
    </w:p>
    <w:bookmarkStart w:id="18" w:name="page19"/>
    <w:bookmarkEnd w:id="18"/>
    <w:p>
      <w:pPr>
        <w:jc w:val="both"/>
        <w:spacing w:after="0" w:line="256" w:lineRule="auto"/>
        <w:rPr>
          <w:sz w:val="20"/>
          <w:szCs w:val="20"/>
          <w:color w:val="auto"/>
        </w:rPr>
      </w:pPr>
      <w:r>
        <w:rPr>
          <w:rFonts w:ascii="Times New Roman" w:cs="Times New Roman" w:eastAsia="Times New Roman" w:hAnsi="Times New Roman"/>
          <w:sz w:val="22"/>
          <w:szCs w:val="22"/>
          <w:color w:val="auto"/>
        </w:rPr>
        <w:t>communication, (b) electronically generated by the sender's email service provider containing the time, date, recipient email address or (c) provided by a nationally recognized overnight delivery service, shall be rebuttable evidence of personal service, receipt from a nationally recognized overnight delivery service or receipt by e-mail in accordance with clause (i), (ii) or (iii) above, respectively.</w:t>
      </w:r>
    </w:p>
    <w:p>
      <w:pPr>
        <w:spacing w:after="0" w:line="176" w:lineRule="exact"/>
        <w:rPr>
          <w:sz w:val="20"/>
          <w:szCs w:val="20"/>
          <w:color w:val="auto"/>
        </w:rPr>
      </w:pPr>
    </w:p>
    <w:p>
      <w:pPr>
        <w:jc w:val="both"/>
        <w:ind w:firstLine="1304"/>
        <w:spacing w:after="0" w:line="250" w:lineRule="auto"/>
        <w:tabs>
          <w:tab w:leader="none" w:pos="182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provided herein, no provision of this Debenture shall alter or impair the obligations of the Company, which are absolute and unconditional, to pay the Principal of, Interest and other charges (if any) on, this Debenture at the time, place, and rate, and in the currency, herein prescribed. This Debenture is a direct obligation of the Company. As long as this Debenture is outstanding, the Company shall not and shall cause each of its subsidiaries not to, without the consent of the Holder, enter into any agreement, arrangement or transaction in or of which the terms thereof would restrict, materially delay, conflict with or impair the ability of the Company to perform its obligations under the this Debenture, including, without limitation, the obligation of the Company to make cash payments hereunder.</w:t>
      </w:r>
    </w:p>
    <w:p>
      <w:pPr>
        <w:spacing w:after="0" w:line="180"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1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Debenture shall not entitle the Holder to any of the rights of a stockholder of the Company, including without limitation, the right to vote, to receive dividends and other distributions, or to receive any notice of, or to attend, meetings of stockholders or any other proceedings of the Company, unless and to the extent converted into Common Shares in accordance with the terms hereof.</w:t>
      </w:r>
    </w:p>
    <w:p>
      <w:pPr>
        <w:spacing w:after="0" w:line="17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 VENUE; WAIVER OF JURY TRIAL</w:t>
      </w:r>
    </w:p>
    <w:p>
      <w:pPr>
        <w:spacing w:after="0" w:line="219" w:lineRule="exact"/>
        <w:rPr>
          <w:rFonts w:ascii="Times New Roman" w:cs="Times New Roman" w:eastAsia="Times New Roman" w:hAnsi="Times New Roman"/>
          <w:sz w:val="22"/>
          <w:szCs w:val="22"/>
          <w:color w:val="auto"/>
        </w:rPr>
      </w:pPr>
    </w:p>
    <w:p>
      <w:pPr>
        <w:jc w:val="both"/>
        <w:ind w:firstLine="1952"/>
        <w:spacing w:after="0" w:line="256" w:lineRule="auto"/>
        <w:tabs>
          <w:tab w:leader="none" w:pos="2454"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Debenture and the rights and obligations of the Parties hereunder shall, in all respects, be governed by, and construed in accordance with, the laws (excluding the principles of conflict of laws) of the State of New York (the “</w:t>
      </w:r>
      <w:r>
        <w:rPr>
          <w:rFonts w:ascii="Times New Roman" w:cs="Times New Roman" w:eastAsia="Times New Roman" w:hAnsi="Times New Roman"/>
          <w:sz w:val="22"/>
          <w:szCs w:val="22"/>
          <w:u w:val="single" w:color="auto"/>
          <w:color w:val="auto"/>
        </w:rPr>
        <w:t>Governing Jurisdiction</w:t>
      </w:r>
      <w:r>
        <w:rPr>
          <w:rFonts w:ascii="Times New Roman" w:cs="Times New Roman" w:eastAsia="Times New Roman" w:hAnsi="Times New Roman"/>
          <w:sz w:val="22"/>
          <w:szCs w:val="22"/>
          <w:color w:val="auto"/>
        </w:rPr>
        <w:t>”) (including Section 5-1401 and Section 5-1402 of the General Obligations Law of the State of New York), including all matters of construction, validity and performance.</w:t>
      </w:r>
    </w:p>
    <w:p>
      <w:pPr>
        <w:spacing w:after="0" w:line="176"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Jurisdiction; Venue; Service.</w:t>
      </w:r>
    </w:p>
    <w:p>
      <w:pPr>
        <w:spacing w:after="0" w:line="219" w:lineRule="exact"/>
        <w:rPr>
          <w:rFonts w:ascii="Times New Roman" w:cs="Times New Roman" w:eastAsia="Times New Roman" w:hAnsi="Times New Roman"/>
          <w:sz w:val="22"/>
          <w:szCs w:val="22"/>
          <w:color w:val="auto"/>
        </w:rPr>
      </w:pPr>
    </w:p>
    <w:p>
      <w:pPr>
        <w:jc w:val="both"/>
        <w:ind w:firstLine="2600"/>
        <w:spacing w:after="0" w:line="257" w:lineRule="auto"/>
        <w:tabs>
          <w:tab w:leader="none" w:pos="3094"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irrevocably consents to the non-exclusive personal jurisdiction of the state courts of the Governing Jurisdiction and, if a basis for federal jurisdiction exists, the non-exclusive personal jurisdiction of any United States District Court for the Governing Jurisdiction.</w:t>
      </w:r>
    </w:p>
    <w:p>
      <w:pPr>
        <w:spacing w:after="0" w:line="186" w:lineRule="exact"/>
        <w:rPr>
          <w:rFonts w:ascii="Times New Roman" w:cs="Times New Roman" w:eastAsia="Times New Roman" w:hAnsi="Times New Roman"/>
          <w:sz w:val="22"/>
          <w:szCs w:val="22"/>
          <w:color w:val="auto"/>
        </w:rPr>
      </w:pPr>
    </w:p>
    <w:p>
      <w:pPr>
        <w:jc w:val="both"/>
        <w:ind w:firstLine="2600"/>
        <w:spacing w:after="0" w:line="250" w:lineRule="auto"/>
        <w:tabs>
          <w:tab w:leader="none" w:pos="3085"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venue shall be proper in any court of the Governing Jurisdiction or, if a basis for federal jurisdiction exists, in any United States District Court in the Governing Jurisdiction. The Company waives any right to object to the maintenance of any suit, claim, action, litigation or proceeding of any kind or description, whether in law or equity, whether in contract or in tort or otherwise, in any of the state or federal courts of the Governing Jurisdiction on the basis of improper venue or inconvenience of forum.</w:t>
      </w:r>
    </w:p>
    <w:p>
      <w:pPr>
        <w:spacing w:after="0" w:line="180" w:lineRule="exact"/>
        <w:rPr>
          <w:rFonts w:ascii="Times New Roman" w:cs="Times New Roman" w:eastAsia="Times New Roman" w:hAnsi="Times New Roman"/>
          <w:sz w:val="22"/>
          <w:szCs w:val="22"/>
          <w:color w:val="auto"/>
        </w:rPr>
      </w:pPr>
    </w:p>
    <w:p>
      <w:pPr>
        <w:ind w:firstLine="2600"/>
        <w:spacing w:after="0" w:line="284" w:lineRule="auto"/>
        <w:tabs>
          <w:tab w:leader="none" w:pos="3140"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suit, claim, action, litigation or proceeding of any kind or description, whether in law or equity, whether in contract or tort or otherwise, brought by the</w:t>
      </w:r>
    </w:p>
    <w:p>
      <w:pPr>
        <w:sectPr>
          <w:pgSz w:w="11900" w:h="16838" w:orient="portrait"/>
          <w:cols w:equalWidth="0" w:num="1">
            <w:col w:w="11240"/>
          </w:cols>
          <w:pgMar w:left="320" w:top="1422" w:right="339" w:bottom="1440" w:gutter="0" w:footer="0" w:header="0"/>
        </w:sectPr>
      </w:pPr>
    </w:p>
    <w:bookmarkStart w:id="19" w:name="page20"/>
    <w:bookmarkEnd w:id="19"/>
    <w:p>
      <w:pPr>
        <w:jc w:val="both"/>
        <w:spacing w:after="0" w:line="247" w:lineRule="auto"/>
        <w:rPr>
          <w:sz w:val="20"/>
          <w:szCs w:val="20"/>
          <w:color w:val="auto"/>
        </w:rPr>
      </w:pPr>
      <w:r>
        <w:rPr>
          <w:rFonts w:ascii="Times New Roman" w:cs="Times New Roman" w:eastAsia="Times New Roman" w:hAnsi="Times New Roman"/>
          <w:sz w:val="22"/>
          <w:szCs w:val="22"/>
          <w:color w:val="auto"/>
        </w:rPr>
        <w:t>Company against the Holder arising out of or based upon this Debenture or any matter relating to this Debenture, or any other Transaction Document, or any contemplated transaction, shall be brought in a court only in the Governing Jurisdiction. The Company shall not file any counterclaim against the Holder in any suit, claim, action, litigation or proceeding brought by the Holder against the Company in a jurisdiction outside of the Governing Jurisdiction unless under the rules of the court in which the Holder brought such suit, claim, action, litigation or proceeding the counterclaim is mandatory, and not permissive, and would be considered waived unless filed as a counterclaim in the suit, claim, action, litigation or proceeding instituted by the Holder against the Company. The Company agrees that any forum outside the Governing Jurisdiction is an inconvenient forum and that any suit, claim, action, litigation or proceeding brought by the Company against the Holder in any court outside the Governing Jurisdiction should be dismissed or transferred to a court located in the Governing Jurisdiction. Furthermore, the Company irrevocably and unconditionally agrees that it will not bring or commence any suit, claim, action, litigation or proceeding of any kind or description, whether in law or equity, whether in contract or in tort or otherwise, against the Holder arising out of or based upon this Debenture or any matter relating to this Debenture, or any other Transaction Document, or any contemplated transaction, in any forum other than the courts of the State of New York sitting in New York County, and the United States District Court of the Southern District of New York, and any appellate court from any thereof, and each of the parties hereto irrevocably and unconditionally submits to the jurisdiction of such courts and agrees that all claims in respect of any such suit, claim, action, litigation or proceeding may be heard and determined in such New York State Court or, to the fullest extent permitted by applicable law, in such federal court. The Company and the Holder agree that a final judgment in any such suit, claim, action, litigation or proceeding shall be conclusive and may be enforced in other jurisdictions by suit on the judgment or in any other manner provided by law.</w:t>
      </w:r>
    </w:p>
    <w:p>
      <w:pPr>
        <w:spacing w:after="0" w:line="197" w:lineRule="exact"/>
        <w:rPr>
          <w:sz w:val="20"/>
          <w:szCs w:val="20"/>
          <w:color w:val="auto"/>
        </w:rPr>
      </w:pPr>
    </w:p>
    <w:p>
      <w:pPr>
        <w:jc w:val="both"/>
        <w:ind w:firstLine="2600"/>
        <w:spacing w:after="0" w:line="252" w:lineRule="auto"/>
        <w:tabs>
          <w:tab w:leader="none" w:pos="3148"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Holder irrevocably consent to the service of process out of any of the aforementioned courts in any such suit, claim, action, litigation or proceeding by e-mail or the mailing of copies thereof by registered or certified mail postage prepaid, to it at the e-mail address or physical address, as applicable, provided for notices in this Note, such service to become effective thirty (30) days after the date of such e-mail or mailing, as applicable.</w:t>
      </w:r>
    </w:p>
    <w:p>
      <w:pPr>
        <w:spacing w:after="0" w:line="179" w:lineRule="exact"/>
        <w:rPr>
          <w:rFonts w:ascii="Times New Roman" w:cs="Times New Roman" w:eastAsia="Times New Roman" w:hAnsi="Times New Roman"/>
          <w:sz w:val="22"/>
          <w:szCs w:val="22"/>
          <w:color w:val="auto"/>
        </w:rPr>
      </w:pPr>
    </w:p>
    <w:p>
      <w:pPr>
        <w:jc w:val="both"/>
        <w:ind w:firstLine="2600"/>
        <w:spacing w:after="0" w:line="263" w:lineRule="auto"/>
        <w:tabs>
          <w:tab w:leader="none" w:pos="319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affect the right of the Holder to serve process in any other manner permitted by law or to commence legal proceedings or to otherwise proceed against the Company or any other Person in the Governing Jurisdiction or in any other jurisdiction.</w:t>
      </w:r>
    </w:p>
    <w:p>
      <w:pPr>
        <w:spacing w:after="0" w:line="167" w:lineRule="exact"/>
        <w:rPr>
          <w:rFonts w:ascii="Times New Roman" w:cs="Times New Roman" w:eastAsia="Times New Roman" w:hAnsi="Times New Roman"/>
          <w:sz w:val="22"/>
          <w:szCs w:val="22"/>
          <w:color w:val="auto"/>
        </w:rPr>
      </w:pPr>
    </w:p>
    <w:p>
      <w:pPr>
        <w:jc w:val="both"/>
        <w:ind w:firstLine="1952"/>
        <w:spacing w:after="0" w:line="251" w:lineRule="auto"/>
        <w:tabs>
          <w:tab w:leader="none" w:pos="248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MUTUALLY WAIVE ALL RIGHT TO TRIAL BY JURY OF ALL CLAIMS OF ANY KIND ARISING OUT OF OR BASED UPON THIS DEBENTURE OR ANY MATTER RELATING TO THIS DEBENTURE, OR ANY OTHER TRANSACTION DOCUMENT, OR ANY CONTEMPLATED TRANSACTION. THE PARTIES ACKNOWLEDGE THAT THIS IS A WAIVER OF A LEGAL RIGHT AND THAT THE PARTIES EACH MAKE THIS WAIVER VOLUNTARILY AND KNOWINGLY AFTER CONSULTATION WITH COUNSEL OF THEIR RESPECTIVE CHOICE. THE PARTIES</w:t>
      </w:r>
    </w:p>
    <w:p>
      <w:pPr>
        <w:sectPr>
          <w:pgSz w:w="11900" w:h="16838" w:orient="portrait"/>
          <w:cols w:equalWidth="0" w:num="1">
            <w:col w:w="11240"/>
          </w:cols>
          <w:pgMar w:left="320" w:top="1422" w:right="339" w:bottom="1440" w:gutter="0" w:footer="0" w:header="0"/>
        </w:sectPr>
      </w:pPr>
    </w:p>
    <w:bookmarkStart w:id="20" w:name="page21"/>
    <w:bookmarkEnd w:id="20"/>
    <w:p>
      <w:pPr>
        <w:spacing w:after="0" w:line="271" w:lineRule="auto"/>
        <w:rPr>
          <w:sz w:val="20"/>
          <w:szCs w:val="20"/>
          <w:color w:val="auto"/>
        </w:rPr>
      </w:pPr>
      <w:r>
        <w:rPr>
          <w:rFonts w:ascii="Times New Roman" w:cs="Times New Roman" w:eastAsia="Times New Roman" w:hAnsi="Times New Roman"/>
          <w:sz w:val="22"/>
          <w:szCs w:val="22"/>
          <w:color w:val="auto"/>
        </w:rPr>
        <w:t>AGREE THAT ALL SUCH CLAIMS SHALL BE TRIED BEFORE A JUDGE OF A COURT HAVING JURISDICTION, WITHOUT A JURY.</w:t>
      </w:r>
    </w:p>
    <w:p>
      <w:pPr>
        <w:spacing w:after="0" w:line="158" w:lineRule="exact"/>
        <w:rPr>
          <w:sz w:val="20"/>
          <w:szCs w:val="20"/>
          <w:color w:val="auto"/>
        </w:rPr>
      </w:pPr>
    </w:p>
    <w:p>
      <w:pPr>
        <w:jc w:val="both"/>
        <w:ind w:firstLine="1304"/>
        <w:spacing w:after="0" w:line="264" w:lineRule="auto"/>
        <w:tabs>
          <w:tab w:leader="none" w:pos="1800"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fails to strictly comply with the terms of this Debenture, then the Company shall reimburse the Holder promptly for all fees, costs and expenses, including, without limitation, attorneys’ fees and expenses incurred by the Holder in any action in connection with this Debenture, including, without limitation, those incurred: (i) during any workout, attempted workout, and/or in connection with the rendering of legal advice as to the Holder’s rights, remedies and obligations,</w:t>
      </w:r>
    </w:p>
    <w:p>
      <w:pPr>
        <w:ind w:firstLine="8"/>
        <w:spacing w:after="0" w:line="248" w:lineRule="auto"/>
        <w:tabs>
          <w:tab w:leader="none" w:pos="33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collecting any sums which become due to the Holder, (iii) defending or prosecuting any proceeding or any counterclaim to any proceeding or appeal; or (iv) the protection, preservation or enforcement of any rights or remedies of the Holder.</w:t>
      </w:r>
    </w:p>
    <w:p>
      <w:pPr>
        <w:spacing w:after="0" w:line="195" w:lineRule="exact"/>
        <w:rPr>
          <w:rFonts w:ascii="Times New Roman" w:cs="Times New Roman" w:eastAsia="Times New Roman" w:hAnsi="Times New Roman"/>
          <w:sz w:val="22"/>
          <w:szCs w:val="22"/>
          <w:color w:val="auto"/>
        </w:rPr>
      </w:pPr>
    </w:p>
    <w:p>
      <w:pPr>
        <w:jc w:val="both"/>
        <w:ind w:firstLine="1304"/>
        <w:spacing w:after="0" w:line="250" w:lineRule="auto"/>
        <w:tabs>
          <w:tab w:leader="none" w:pos="201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waiver by the Holder of a breach of any provision of this Debenture shall not operate as or be construed to be a waiver of any other breach of such provision or of any breach of any other provision of this Debenture. The failure of the Holder to insist upon strict adherence to any term of this Debenture on one or more occasions shall not be considered a waiver or deprive that party of the right thereafter to insist upon strict adherence to that term or any other term of this Debenture. Any waiver must be in writing.</w:t>
      </w:r>
    </w:p>
    <w:p>
      <w:pPr>
        <w:spacing w:after="0" w:line="180"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2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w:t>
      </w:r>
    </w:p>
    <w:p>
      <w:pPr>
        <w:spacing w:after="0" w:line="17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xml:space="preserve"> For purposes of this Debenture, the following terms shall have the following</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meanings:</w:t>
      </w:r>
    </w:p>
    <w:p>
      <w:pPr>
        <w:spacing w:after="0" w:line="207" w:lineRule="exact"/>
        <w:rPr>
          <w:rFonts w:ascii="Times New Roman" w:cs="Times New Roman" w:eastAsia="Times New Roman" w:hAnsi="Times New Roman"/>
          <w:sz w:val="22"/>
          <w:szCs w:val="22"/>
          <w:color w:val="auto"/>
        </w:rPr>
      </w:pPr>
    </w:p>
    <w:p>
      <w:pPr>
        <w:jc w:val="both"/>
        <w:ind w:firstLine="1952"/>
        <w:spacing w:after="0" w:line="251" w:lineRule="auto"/>
        <w:tabs>
          <w:tab w:leader="none" w:pos="2467"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Amortization Event</w:t>
      </w:r>
      <w:r>
        <w:rPr>
          <w:rFonts w:ascii="Times New Roman" w:cs="Times New Roman" w:eastAsia="Times New Roman" w:hAnsi="Times New Roman"/>
          <w:sz w:val="22"/>
          <w:szCs w:val="22"/>
          <w:color w:val="auto"/>
        </w:rPr>
        <w:t>” shall mean (i) the daily VWAP of the Common Shares is less than the Floor Price then in effect for five Trading Days during a period of seven consecutive Trading Days (a “</w:t>
      </w:r>
      <w:r>
        <w:rPr>
          <w:rFonts w:ascii="Times New Roman" w:cs="Times New Roman" w:eastAsia="Times New Roman" w:hAnsi="Times New Roman"/>
          <w:sz w:val="22"/>
          <w:szCs w:val="22"/>
          <w:u w:val="single" w:color="auto"/>
          <w:color w:val="auto"/>
        </w:rPr>
        <w:t>Floor Price Event</w:t>
      </w:r>
      <w:r>
        <w:rPr>
          <w:rFonts w:ascii="Times New Roman" w:cs="Times New Roman" w:eastAsia="Times New Roman" w:hAnsi="Times New Roman"/>
          <w:sz w:val="22"/>
          <w:szCs w:val="22"/>
          <w:color w:val="auto"/>
        </w:rPr>
        <w:t>”), (ii) the Company has issued in excess of 99% of the Common Shares available under the Exchange Cap, where applicable (an “</w:t>
      </w:r>
      <w:r>
        <w:rPr>
          <w:rFonts w:ascii="Times New Roman" w:cs="Times New Roman" w:eastAsia="Times New Roman" w:hAnsi="Times New Roman"/>
          <w:sz w:val="22"/>
          <w:szCs w:val="22"/>
          <w:u w:val="single" w:color="auto"/>
          <w:color w:val="auto"/>
        </w:rPr>
        <w:t>Exchange Cap Event</w:t>
      </w:r>
      <w:r>
        <w:rPr>
          <w:rFonts w:ascii="Times New Roman" w:cs="Times New Roman" w:eastAsia="Times New Roman" w:hAnsi="Times New Roman"/>
          <w:sz w:val="22"/>
          <w:szCs w:val="22"/>
          <w:color w:val="auto"/>
        </w:rPr>
        <w:t>”), or (iii) any time after the Effectiveness Deadline (as defined in the Registration Rights Agreement), the Investor is unable to utilize a Registration Statement to resell Underlying Shares for a period of twenty (20) consecutive Trading Days (a “</w:t>
      </w:r>
      <w:r>
        <w:rPr>
          <w:rFonts w:ascii="Times New Roman" w:cs="Times New Roman" w:eastAsia="Times New Roman" w:hAnsi="Times New Roman"/>
          <w:sz w:val="22"/>
          <w:szCs w:val="22"/>
          <w:u w:val="single" w:color="auto"/>
          <w:color w:val="auto"/>
        </w:rPr>
        <w:t>Registration Event</w:t>
      </w:r>
      <w:r>
        <w:rPr>
          <w:rFonts w:ascii="Times New Roman" w:cs="Times New Roman" w:eastAsia="Times New Roman" w:hAnsi="Times New Roman"/>
          <w:sz w:val="22"/>
          <w:szCs w:val="22"/>
          <w:color w:val="auto"/>
        </w:rPr>
        <w:t>”) (the last day of each such occurrence, an “</w:t>
      </w:r>
      <w:r>
        <w:rPr>
          <w:rFonts w:ascii="Times New Roman" w:cs="Times New Roman" w:eastAsia="Times New Roman" w:hAnsi="Times New Roman"/>
          <w:sz w:val="22"/>
          <w:szCs w:val="22"/>
          <w:u w:val="single" w:color="auto"/>
          <w:color w:val="auto"/>
        </w:rPr>
        <w:t>Amortization Event Date</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right="20" w:firstLine="1952"/>
        <w:spacing w:after="0" w:line="271" w:lineRule="auto"/>
        <w:tabs>
          <w:tab w:leader="none" w:pos="2452"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Amortization Principal Amount</w:t>
      </w:r>
      <w:r>
        <w:rPr>
          <w:rFonts w:ascii="Times New Roman" w:cs="Times New Roman" w:eastAsia="Times New Roman" w:hAnsi="Times New Roman"/>
          <w:sz w:val="22"/>
          <w:szCs w:val="22"/>
          <w:color w:val="auto"/>
        </w:rPr>
        <w:t>” means an amount equal to 10 % of the original Principal Amount of this Debenture (or the outstanding Principal, if less than such amount).</w:t>
      </w:r>
    </w:p>
    <w:p>
      <w:pPr>
        <w:spacing w:after="0" w:line="157" w:lineRule="exact"/>
        <w:rPr>
          <w:rFonts w:ascii="Times New Roman" w:cs="Times New Roman" w:eastAsia="Times New Roman" w:hAnsi="Times New Roman"/>
          <w:sz w:val="22"/>
          <w:szCs w:val="22"/>
          <w:color w:val="auto"/>
        </w:rPr>
      </w:pPr>
    </w:p>
    <w:p>
      <w:pPr>
        <w:ind w:right="20" w:firstLine="1952"/>
        <w:spacing w:after="0" w:line="271" w:lineRule="auto"/>
        <w:tabs>
          <w:tab w:leader="none" w:pos="2454"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Bloomberg</w:t>
      </w:r>
      <w:r>
        <w:rPr>
          <w:rFonts w:ascii="Times New Roman" w:cs="Times New Roman" w:eastAsia="Times New Roman" w:hAnsi="Times New Roman"/>
          <w:sz w:val="22"/>
          <w:szCs w:val="22"/>
          <w:color w:val="auto"/>
        </w:rPr>
        <w:t>" means Bloomberg Financial Markets (or if not available, a similar service provider of national recognized standing).</w:t>
      </w:r>
    </w:p>
    <w:p>
      <w:pPr>
        <w:sectPr>
          <w:pgSz w:w="11900" w:h="16838" w:orient="portrait"/>
          <w:cols w:equalWidth="0" w:num="1">
            <w:col w:w="11240"/>
          </w:cols>
          <w:pgMar w:left="320" w:top="1422" w:right="339" w:bottom="1440" w:gutter="0" w:footer="0" w:header="0"/>
        </w:sectPr>
      </w:pPr>
    </w:p>
    <w:bookmarkStart w:id="21" w:name="page22"/>
    <w:bookmarkEnd w:id="21"/>
    <w:p>
      <w:pPr>
        <w:jc w:val="both"/>
        <w:ind w:firstLine="1952"/>
        <w:spacing w:after="0" w:line="257" w:lineRule="auto"/>
        <w:tabs>
          <w:tab w:leader="none" w:pos="245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except Saturday, Sunday and any day which shall be a federal legal holiday in the United States or a day on which banking institutions in the State of New York are authorized or required by law or other government action to close.</w:t>
      </w:r>
    </w:p>
    <w:p>
      <w:pPr>
        <w:spacing w:after="0" w:line="186"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Buy-In</w:t>
      </w:r>
      <w:r>
        <w:rPr>
          <w:rFonts w:ascii="Times New Roman" w:cs="Times New Roman" w:eastAsia="Times New Roman" w:hAnsi="Times New Roman"/>
          <w:sz w:val="22"/>
          <w:szCs w:val="22"/>
          <w:color w:val="auto"/>
        </w:rPr>
        <w:t>” shall have the meaning set forth in Section (3)(b)(ii).</w:t>
      </w:r>
    </w:p>
    <w:p>
      <w:pPr>
        <w:spacing w:after="0" w:line="219"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Buy-In Price</w:t>
      </w:r>
      <w:r>
        <w:rPr>
          <w:rFonts w:ascii="Times New Roman" w:cs="Times New Roman" w:eastAsia="Times New Roman" w:hAnsi="Times New Roman"/>
          <w:sz w:val="22"/>
          <w:szCs w:val="22"/>
          <w:color w:val="auto"/>
        </w:rPr>
        <w:t>” shall have the meaning set forth in Section (3)(b)(ii).</w:t>
      </w:r>
    </w:p>
    <w:p>
      <w:pPr>
        <w:spacing w:after="0" w:line="219"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Calendar Month</w:t>
      </w:r>
      <w:r>
        <w:rPr>
          <w:rFonts w:ascii="Times New Roman" w:cs="Times New Roman" w:eastAsia="Times New Roman" w:hAnsi="Times New Roman"/>
          <w:sz w:val="21"/>
          <w:szCs w:val="21"/>
          <w:color w:val="auto"/>
        </w:rPr>
        <w:t>” means the period from a particular date in one month to the same date in the next</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month.</w:t>
      </w:r>
    </w:p>
    <w:p>
      <w:pPr>
        <w:spacing w:after="0" w:line="195" w:lineRule="exact"/>
        <w:rPr>
          <w:rFonts w:ascii="Times New Roman" w:cs="Times New Roman" w:eastAsia="Times New Roman" w:hAnsi="Times New Roman"/>
          <w:sz w:val="21"/>
          <w:szCs w:val="21"/>
          <w:color w:val="auto"/>
        </w:rPr>
      </w:pPr>
    </w:p>
    <w:p>
      <w:pPr>
        <w:jc w:val="both"/>
        <w:ind w:firstLine="1952"/>
        <w:spacing w:after="0" w:line="248" w:lineRule="auto"/>
        <w:tabs>
          <w:tab w:leader="none" w:pos="243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Transaction</w:t>
      </w:r>
      <w:r>
        <w:rPr>
          <w:rFonts w:ascii="Times New Roman" w:cs="Times New Roman" w:eastAsia="Times New Roman" w:hAnsi="Times New Roman"/>
          <w:sz w:val="22"/>
          <w:szCs w:val="22"/>
          <w:color w:val="auto"/>
        </w:rPr>
        <w:t>” means the occurrence of (a)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the closing of any privatization (i.e., a take-private transaction), (c) the closing of a transaction that constitutes a management buyout of the existing stockholders or the closing of a transaction that constitutes a stockholder buyout in which one or more stockholders that previously had a controlling interest in Company acquire the interests of all of the non-controlling stockholders, (d) the closing of any sale, lease, license, transfer or other disposition or sale of all or substantially all of the assets of the Company in one or a series of related transactions, or (e) the execution by the Company of an agreement to which the Company is a party or by which it is bound, providing for any of the events set forth above in (a) or (b). No transfer to a wholly-owned Subsidiary shall be deemed a Change of Control Transaction under this provision.</w:t>
      </w:r>
    </w:p>
    <w:p>
      <w:pPr>
        <w:spacing w:after="0" w:line="197" w:lineRule="exact"/>
        <w:rPr>
          <w:rFonts w:ascii="Times New Roman" w:cs="Times New Roman" w:eastAsia="Times New Roman" w:hAnsi="Times New Roman"/>
          <w:sz w:val="22"/>
          <w:szCs w:val="22"/>
          <w:color w:val="auto"/>
        </w:rPr>
      </w:pPr>
    </w:p>
    <w:p>
      <w:pPr>
        <w:ind w:right="20" w:firstLine="1952"/>
        <w:spacing w:after="0" w:line="271" w:lineRule="auto"/>
        <w:tabs>
          <w:tab w:leader="none" w:pos="248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Price</w:t>
      </w:r>
      <w:r>
        <w:rPr>
          <w:rFonts w:ascii="Times New Roman" w:cs="Times New Roman" w:eastAsia="Times New Roman" w:hAnsi="Times New Roman"/>
          <w:sz w:val="22"/>
          <w:szCs w:val="22"/>
          <w:color w:val="auto"/>
        </w:rPr>
        <w:t>” means the price per share in the last reported trade of the Common Shares on a Principal Market or on the exchange which the Common Shares is then listed as quoted by Bloomberg.</w:t>
      </w:r>
    </w:p>
    <w:p>
      <w:pPr>
        <w:spacing w:after="0" w:line="157"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means the Securities and Exchange Commission.</w:t>
      </w:r>
    </w:p>
    <w:p>
      <w:pPr>
        <w:spacing w:after="0" w:line="219" w:lineRule="exact"/>
        <w:rPr>
          <w:rFonts w:ascii="Times New Roman" w:cs="Times New Roman" w:eastAsia="Times New Roman" w:hAnsi="Times New Roman"/>
          <w:sz w:val="22"/>
          <w:szCs w:val="22"/>
          <w:color w:val="auto"/>
        </w:rPr>
      </w:pPr>
    </w:p>
    <w:p>
      <w:pPr>
        <w:ind w:firstLine="1952"/>
        <w:spacing w:after="0" w:line="271" w:lineRule="auto"/>
        <w:tabs>
          <w:tab w:leader="none" w:pos="242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Shares</w:t>
      </w:r>
      <w:r>
        <w:rPr>
          <w:rFonts w:ascii="Times New Roman" w:cs="Times New Roman" w:eastAsia="Times New Roman" w:hAnsi="Times New Roman"/>
          <w:sz w:val="22"/>
          <w:szCs w:val="22"/>
          <w:color w:val="auto"/>
        </w:rPr>
        <w:t>” means the shares of common stock, par value $0.0001, of the Company and stock of any other class into which such shares may hereafter be changed or reclassified.</w:t>
      </w:r>
    </w:p>
    <w:p>
      <w:pPr>
        <w:spacing w:after="0" w:line="171" w:lineRule="exact"/>
        <w:rPr>
          <w:rFonts w:ascii="Times New Roman" w:cs="Times New Roman" w:eastAsia="Times New Roman" w:hAnsi="Times New Roman"/>
          <w:sz w:val="22"/>
          <w:szCs w:val="22"/>
          <w:color w:val="auto"/>
        </w:rPr>
      </w:pPr>
    </w:p>
    <w:p>
      <w:pPr>
        <w:ind w:firstLine="1952"/>
        <w:spacing w:after="0" w:line="271" w:lineRule="auto"/>
        <w:tabs>
          <w:tab w:leader="none" w:pos="249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Amount</w:t>
      </w:r>
      <w:r>
        <w:rPr>
          <w:rFonts w:ascii="Times New Roman" w:cs="Times New Roman" w:eastAsia="Times New Roman" w:hAnsi="Times New Roman"/>
          <w:sz w:val="22"/>
          <w:szCs w:val="22"/>
          <w:color w:val="auto"/>
        </w:rPr>
        <w:t>” means the portion of the Principal, Interest, or other amounts outstanding under this Note to be converted, redeemed or otherwise with respect to which this determination is being made.</w:t>
      </w:r>
    </w:p>
    <w:p>
      <w:pPr>
        <w:spacing w:after="0" w:line="157"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Date</w:t>
      </w:r>
      <w:r>
        <w:rPr>
          <w:rFonts w:ascii="Times New Roman" w:cs="Times New Roman" w:eastAsia="Times New Roman" w:hAnsi="Times New Roman"/>
          <w:sz w:val="22"/>
          <w:szCs w:val="22"/>
          <w:color w:val="auto"/>
        </w:rPr>
        <w:t>" shall have the meaning set forth in Section (3)(b)(i).</w:t>
      </w:r>
    </w:p>
    <w:p>
      <w:pPr>
        <w:sectPr>
          <w:pgSz w:w="11900" w:h="16838" w:orient="portrait"/>
          <w:cols w:equalWidth="0" w:num="1">
            <w:col w:w="11240"/>
          </w:cols>
          <w:pgMar w:left="320" w:top="1422" w:right="339" w:bottom="1440" w:gutter="0" w:footer="0" w:header="0"/>
        </w:sectPr>
      </w:pPr>
    </w:p>
    <w:bookmarkStart w:id="22" w:name="page23"/>
    <w:bookmarkEnd w:id="22"/>
    <w:p>
      <w:pPr>
        <w:ind w:left="1300" w:hanging="468"/>
        <w:spacing w:after="0"/>
        <w:tabs>
          <w:tab w:leader="none" w:pos="13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Notice</w:t>
      </w:r>
      <w:r>
        <w:rPr>
          <w:rFonts w:ascii="Times New Roman" w:cs="Times New Roman" w:eastAsia="Times New Roman" w:hAnsi="Times New Roman"/>
          <w:sz w:val="22"/>
          <w:szCs w:val="22"/>
          <w:color w:val="auto"/>
        </w:rPr>
        <w:t>" shall have the meaning set forth in Section (3)(b)(i).</w:t>
      </w:r>
    </w:p>
    <w:p>
      <w:pPr>
        <w:spacing w:after="0" w:line="219" w:lineRule="exact"/>
        <w:rPr>
          <w:rFonts w:ascii="Times New Roman" w:cs="Times New Roman" w:eastAsia="Times New Roman" w:hAnsi="Times New Roman"/>
          <w:sz w:val="22"/>
          <w:szCs w:val="22"/>
          <w:color w:val="auto"/>
        </w:rPr>
      </w:pPr>
    </w:p>
    <w:p>
      <w:pPr>
        <w:jc w:val="both"/>
        <w:ind w:left="-1120" w:firstLine="1952"/>
        <w:spacing w:after="0" w:line="253" w:lineRule="auto"/>
        <w:tabs>
          <w:tab w:leader="none" w:pos="131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Price</w:t>
      </w:r>
      <w:r>
        <w:rPr>
          <w:rFonts w:ascii="Times New Roman" w:cs="Times New Roman" w:eastAsia="Times New Roman" w:hAnsi="Times New Roman"/>
          <w:sz w:val="22"/>
          <w:szCs w:val="22"/>
          <w:color w:val="auto"/>
        </w:rPr>
        <w:t>" means, as of any Conversion Date or other date of determination the lower of (i) $7.00 per Common Share (the “</w:t>
      </w:r>
      <w:r>
        <w:rPr>
          <w:rFonts w:ascii="Times New Roman" w:cs="Times New Roman" w:eastAsia="Times New Roman" w:hAnsi="Times New Roman"/>
          <w:sz w:val="22"/>
          <w:szCs w:val="22"/>
          <w:u w:val="single" w:color="auto"/>
          <w:color w:val="auto"/>
        </w:rPr>
        <w:t>Fixed Price</w:t>
      </w:r>
      <w:r>
        <w:rPr>
          <w:rFonts w:ascii="Times New Roman" w:cs="Times New Roman" w:eastAsia="Times New Roman" w:hAnsi="Times New Roman"/>
          <w:sz w:val="22"/>
          <w:szCs w:val="22"/>
          <w:color w:val="auto"/>
        </w:rPr>
        <w:t>”), or (ii) 95% of the lowest daily VWAP during the 5 consecutive Trading Days immediately preceding the Conversion Date or other date of determination (the “</w:t>
      </w:r>
      <w:r>
        <w:rPr>
          <w:rFonts w:ascii="Times New Roman" w:cs="Times New Roman" w:eastAsia="Times New Roman" w:hAnsi="Times New Roman"/>
          <w:sz w:val="22"/>
          <w:szCs w:val="22"/>
          <w:u w:val="single" w:color="auto"/>
          <w:color w:val="auto"/>
        </w:rPr>
        <w:t>Variable Price</w:t>
      </w:r>
      <w:r>
        <w:rPr>
          <w:rFonts w:ascii="Times New Roman" w:cs="Times New Roman" w:eastAsia="Times New Roman" w:hAnsi="Times New Roman"/>
          <w:sz w:val="22"/>
          <w:szCs w:val="22"/>
          <w:color w:val="auto"/>
        </w:rPr>
        <w:t>”), but which Variable Price shall not be lower than the Floor Price then in effect. The Conversion Price shall be adjusted from time to time pursuant to the other terms and conditions of this Note.</w:t>
      </w:r>
    </w:p>
    <w:p>
      <w:pPr>
        <w:spacing w:after="0" w:line="178"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19"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 Price</w:t>
      </w:r>
      <w:r>
        <w:rPr>
          <w:rFonts w:ascii="Times New Roman" w:cs="Times New Roman" w:eastAsia="Times New Roman" w:hAnsi="Times New Roman"/>
          <w:sz w:val="22"/>
          <w:szCs w:val="22"/>
          <w:color w:val="auto"/>
        </w:rPr>
        <w:t>” solely with respect to the Variable Price, shall mean $1.16 per Common Share.</w:t>
      </w:r>
    </w:p>
    <w:p>
      <w:pPr>
        <w:spacing w:after="0" w:line="233" w:lineRule="exact"/>
        <w:rPr>
          <w:rFonts w:ascii="Times New Roman" w:cs="Times New Roman" w:eastAsia="Times New Roman" w:hAnsi="Times New Roman"/>
          <w:sz w:val="22"/>
          <w:szCs w:val="22"/>
          <w:color w:val="auto"/>
        </w:rPr>
      </w:pPr>
    </w:p>
    <w:p>
      <w:pPr>
        <w:jc w:val="both"/>
        <w:ind w:left="-1120" w:firstLine="1952"/>
        <w:spacing w:after="0" w:line="249" w:lineRule="auto"/>
        <w:tabs>
          <w:tab w:leader="none" w:pos="139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Fundamental Transaction</w:t>
      </w:r>
      <w:r>
        <w:rPr>
          <w:rFonts w:ascii="Times New Roman" w:cs="Times New Roman" w:eastAsia="Times New Roman" w:hAnsi="Times New Roman"/>
          <w:sz w:val="22"/>
          <w:szCs w:val="22"/>
          <w:color w:val="auto"/>
        </w:rPr>
        <w:t>” 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Common Shares are permitted to tender or exchange all of their shares for other securities, cash or property, or (4) the Company effects any reclassification of the Common Shares or any compulsory share exchange pursuant to which the Common Shares is effectively converted into or exchanged for other securities, cash or property.</w:t>
      </w:r>
    </w:p>
    <w:p>
      <w:pPr>
        <w:spacing w:after="0" w:line="181" w:lineRule="exact"/>
        <w:rPr>
          <w:rFonts w:ascii="Times New Roman" w:cs="Times New Roman" w:eastAsia="Times New Roman" w:hAnsi="Times New Roman"/>
          <w:sz w:val="22"/>
          <w:szCs w:val="22"/>
          <w:color w:val="auto"/>
        </w:rPr>
      </w:pPr>
    </w:p>
    <w:p>
      <w:pPr>
        <w:ind w:left="1280" w:hanging="448"/>
        <w:spacing w:after="0"/>
        <w:tabs>
          <w:tab w:leader="none" w:pos="12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Redemption</w:t>
      </w:r>
      <w:r>
        <w:rPr>
          <w:rFonts w:ascii="Times New Roman" w:cs="Times New Roman" w:eastAsia="Times New Roman" w:hAnsi="Times New Roman"/>
          <w:sz w:val="22"/>
          <w:szCs w:val="22"/>
          <w:color w:val="auto"/>
        </w:rPr>
        <w:t>” shall have the meaning set forth in (1)(d).</w:t>
      </w:r>
    </w:p>
    <w:p>
      <w:pPr>
        <w:spacing w:after="0" w:line="219" w:lineRule="exact"/>
        <w:rPr>
          <w:rFonts w:ascii="Times New Roman" w:cs="Times New Roman" w:eastAsia="Times New Roman" w:hAnsi="Times New Roman"/>
          <w:sz w:val="22"/>
          <w:szCs w:val="22"/>
          <w:color w:val="auto"/>
        </w:rPr>
      </w:pPr>
    </w:p>
    <w:p>
      <w:pPr>
        <w:ind w:left="-1120" w:firstLine="1952"/>
        <w:spacing w:after="0" w:line="295" w:lineRule="auto"/>
        <w:tabs>
          <w:tab w:leader="none" w:pos="1244"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Debentures</w:t>
      </w:r>
      <w:r>
        <w:rPr>
          <w:rFonts w:ascii="Times New Roman" w:cs="Times New Roman" w:eastAsia="Times New Roman" w:hAnsi="Times New Roman"/>
          <w:sz w:val="21"/>
          <w:szCs w:val="21"/>
          <w:color w:val="auto"/>
        </w:rPr>
        <w:t>” means any other debentures issued pursuant to the Securities Purchase Agreement and any other debentures, notes, or other instruments issued in exchange, replacement, or modification of the foregoing.</w:t>
      </w:r>
    </w:p>
    <w:p>
      <w:pPr>
        <w:spacing w:after="0" w:line="148" w:lineRule="exact"/>
        <w:rPr>
          <w:rFonts w:ascii="Times New Roman" w:cs="Times New Roman" w:eastAsia="Times New Roman" w:hAnsi="Times New Roman"/>
          <w:sz w:val="21"/>
          <w:szCs w:val="21"/>
          <w:color w:val="auto"/>
        </w:rPr>
      </w:pPr>
    </w:p>
    <w:p>
      <w:pPr>
        <w:ind w:left="1300" w:hanging="468"/>
        <w:spacing w:after="0"/>
        <w:tabs>
          <w:tab w:leader="none" w:pos="13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Premium</w:t>
      </w:r>
      <w:r>
        <w:rPr>
          <w:rFonts w:ascii="Times New Roman" w:cs="Times New Roman" w:eastAsia="Times New Roman" w:hAnsi="Times New Roman"/>
          <w:sz w:val="22"/>
          <w:szCs w:val="22"/>
          <w:color w:val="auto"/>
        </w:rPr>
        <w:t>” means 5% of the Principal Amount being paid.</w:t>
      </w:r>
    </w:p>
    <w:p>
      <w:pPr>
        <w:spacing w:after="0" w:line="219" w:lineRule="exact"/>
        <w:rPr>
          <w:rFonts w:ascii="Times New Roman" w:cs="Times New Roman" w:eastAsia="Times New Roman" w:hAnsi="Times New Roman"/>
          <w:sz w:val="22"/>
          <w:szCs w:val="22"/>
          <w:color w:val="auto"/>
        </w:rPr>
      </w:pPr>
    </w:p>
    <w:p>
      <w:pPr>
        <w:jc w:val="both"/>
        <w:ind w:left="-1120" w:firstLine="1952"/>
        <w:spacing w:after="0" w:line="252" w:lineRule="auto"/>
        <w:tabs>
          <w:tab w:leader="none" w:pos="137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Periodic Report</w:t>
      </w:r>
      <w:r>
        <w:rPr>
          <w:rFonts w:ascii="Times New Roman" w:cs="Times New Roman" w:eastAsia="Times New Roman" w:hAnsi="Times New Roman"/>
          <w:sz w:val="22"/>
          <w:szCs w:val="22"/>
          <w:color w:val="auto"/>
        </w:rPr>
        <w:t>” shall mean each of the Company’s reports required to be filed by the Company with the Commission under applicable laws and regulations (including, without limitation, Regulation S-K), including annual reports (on Form 10-K) and quarterly reports (on Form 10-Q), but excluding current reports on Form 8-K, for so long as any amounts are outstanding under this Debenture.</w:t>
      </w:r>
    </w:p>
    <w:p>
      <w:pPr>
        <w:spacing w:after="0" w:line="192" w:lineRule="exact"/>
        <w:rPr>
          <w:rFonts w:ascii="Times New Roman" w:cs="Times New Roman" w:eastAsia="Times New Roman" w:hAnsi="Times New Roman"/>
          <w:sz w:val="22"/>
          <w:szCs w:val="22"/>
          <w:color w:val="auto"/>
        </w:rPr>
      </w:pPr>
    </w:p>
    <w:p>
      <w:pPr>
        <w:ind w:left="-1120" w:right="20" w:firstLine="1952"/>
        <w:spacing w:after="0" w:line="271" w:lineRule="auto"/>
        <w:tabs>
          <w:tab w:leader="none" w:pos="13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 corporation, an association, a partnership, organization, a business, an individual, a government or political subdivision thereof or a governmental agency.</w:t>
      </w:r>
    </w:p>
    <w:p>
      <w:pPr>
        <w:sectPr>
          <w:pgSz w:w="11900" w:h="16838" w:orient="portrait"/>
          <w:cols w:equalWidth="0" w:num="1">
            <w:col w:w="10120"/>
          </w:cols>
          <w:pgMar w:left="1440" w:top="1422" w:right="339" w:bottom="1440" w:gutter="0" w:footer="0" w:header="0"/>
        </w:sectPr>
      </w:pPr>
    </w:p>
    <w:bookmarkStart w:id="23" w:name="page24"/>
    <w:bookmarkEnd w:id="23"/>
    <w:p>
      <w:pPr>
        <w:jc w:val="both"/>
        <w:ind w:firstLine="1952"/>
        <w:spacing w:after="0" w:line="257" w:lineRule="auto"/>
        <w:tabs>
          <w:tab w:leader="none" w:pos="260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Market</w:t>
      </w:r>
      <w:r>
        <w:rPr>
          <w:rFonts w:ascii="Times New Roman" w:cs="Times New Roman" w:eastAsia="Times New Roman" w:hAnsi="Times New Roman"/>
          <w:sz w:val="22"/>
          <w:szCs w:val="22"/>
          <w:color w:val="auto"/>
        </w:rPr>
        <w:t>” means the Nasdaq Stock Market; provided however, that in the event the Company’s Common Shares are ever listed or traded on any of the New York Stock Exchange, the NYSE American, or any such successor thereto, the “Principal Market” shall mean that market on which the Common Shares are then listed or traded.</w:t>
      </w:r>
    </w:p>
    <w:p>
      <w:pPr>
        <w:spacing w:after="0" w:line="186"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Redemption Amount</w:t>
      </w:r>
      <w:r>
        <w:rPr>
          <w:rFonts w:ascii="Times New Roman" w:cs="Times New Roman" w:eastAsia="Times New Roman" w:hAnsi="Times New Roman"/>
          <w:sz w:val="22"/>
          <w:szCs w:val="22"/>
          <w:color w:val="auto"/>
        </w:rPr>
        <w:t>” shall have the meaning set forth in Section (1)(d).</w:t>
      </w:r>
    </w:p>
    <w:p>
      <w:pPr>
        <w:spacing w:after="0" w:line="219"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Redemption Notice</w:t>
      </w:r>
      <w:r>
        <w:rPr>
          <w:rFonts w:ascii="Times New Roman" w:cs="Times New Roman" w:eastAsia="Times New Roman" w:hAnsi="Times New Roman"/>
          <w:sz w:val="22"/>
          <w:szCs w:val="22"/>
          <w:color w:val="auto"/>
        </w:rPr>
        <w:t>” shall have the meaning set forth in Section (1)(d).</w:t>
      </w:r>
    </w:p>
    <w:p>
      <w:pPr>
        <w:spacing w:after="0" w:line="220" w:lineRule="exact"/>
        <w:rPr>
          <w:sz w:val="20"/>
          <w:szCs w:val="20"/>
          <w:color w:val="auto"/>
        </w:rPr>
      </w:pPr>
    </w:p>
    <w:p>
      <w:pPr>
        <w:ind w:left="2500" w:hanging="548"/>
        <w:spacing w:after="0"/>
        <w:tabs>
          <w:tab w:leader="none" w:pos="25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Redemption Premium</w:t>
      </w:r>
      <w:r>
        <w:rPr>
          <w:rFonts w:ascii="Times New Roman" w:cs="Times New Roman" w:eastAsia="Times New Roman" w:hAnsi="Times New Roman"/>
          <w:sz w:val="22"/>
          <w:szCs w:val="22"/>
          <w:color w:val="auto"/>
        </w:rPr>
        <w:t>” means 10% of the Principal Amount being redeemed.</w:t>
      </w:r>
    </w:p>
    <w:p>
      <w:pPr>
        <w:spacing w:after="0" w:line="219" w:lineRule="exact"/>
        <w:rPr>
          <w:rFonts w:ascii="Times New Roman" w:cs="Times New Roman" w:eastAsia="Times New Roman" w:hAnsi="Times New Roman"/>
          <w:sz w:val="22"/>
          <w:szCs w:val="22"/>
          <w:color w:val="auto"/>
        </w:rPr>
      </w:pPr>
    </w:p>
    <w:p>
      <w:pPr>
        <w:ind w:left="2680" w:hanging="728"/>
        <w:spacing w:after="0"/>
        <w:tabs>
          <w:tab w:leader="none" w:pos="26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Rights Agreement</w:t>
      </w:r>
      <w:r>
        <w:rPr>
          <w:rFonts w:ascii="Times New Roman" w:cs="Times New Roman" w:eastAsia="Times New Roman" w:hAnsi="Times New Roman"/>
          <w:sz w:val="22"/>
          <w:szCs w:val="22"/>
          <w:color w:val="auto"/>
        </w:rPr>
        <w:t>” has the meaning given such term in the Securities Purchase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209" w:lineRule="exact"/>
        <w:rPr>
          <w:sz w:val="20"/>
          <w:szCs w:val="20"/>
          <w:color w:val="auto"/>
        </w:rPr>
      </w:pPr>
    </w:p>
    <w:p>
      <w:pPr>
        <w:jc w:val="both"/>
        <w:ind w:firstLine="1952"/>
        <w:spacing w:after="0" w:line="257" w:lineRule="auto"/>
        <w:tabs>
          <w:tab w:leader="none" w:pos="257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means a registration statement meeting the requirements set forth in the Registration Rights Agreement, covering among other things the resale of the Underlying Shares and naming the Holder as a “selling stockholder” thereunder.</w:t>
      </w:r>
    </w:p>
    <w:p>
      <w:pPr>
        <w:spacing w:after="0" w:line="172" w:lineRule="exact"/>
        <w:rPr>
          <w:rFonts w:ascii="Times New Roman" w:cs="Times New Roman" w:eastAsia="Times New Roman" w:hAnsi="Times New Roman"/>
          <w:sz w:val="22"/>
          <w:szCs w:val="22"/>
          <w:color w:val="auto"/>
        </w:rPr>
      </w:pPr>
    </w:p>
    <w:p>
      <w:pPr>
        <w:ind w:left="2680" w:hanging="728"/>
        <w:spacing w:after="0"/>
        <w:tabs>
          <w:tab w:leader="none" w:pos="26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and the rules and regulations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promulgated thereunder.</w:t>
      </w:r>
    </w:p>
    <w:p>
      <w:pPr>
        <w:spacing w:after="0" w:line="195" w:lineRule="exact"/>
        <w:rPr>
          <w:rFonts w:ascii="Times New Roman" w:cs="Times New Roman" w:eastAsia="Times New Roman" w:hAnsi="Times New Roman"/>
          <w:sz w:val="22"/>
          <w:szCs w:val="22"/>
          <w:color w:val="auto"/>
        </w:rPr>
      </w:pPr>
    </w:p>
    <w:p>
      <w:pPr>
        <w:ind w:firstLine="1952"/>
        <w:spacing w:after="0" w:line="284" w:lineRule="auto"/>
        <w:tabs>
          <w:tab w:leader="none" w:pos="253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SEPA</w:t>
      </w:r>
      <w:r>
        <w:rPr>
          <w:rFonts w:ascii="Times New Roman" w:cs="Times New Roman" w:eastAsia="Times New Roman" w:hAnsi="Times New Roman"/>
          <w:sz w:val="22"/>
          <w:szCs w:val="22"/>
          <w:color w:val="auto"/>
        </w:rPr>
        <w:t>” means the Standby Equity Distribution Agreement entered into between the Company and the Holder on October 24, 2023.</w:t>
      </w:r>
    </w:p>
    <w:p>
      <w:pPr>
        <w:spacing w:after="0" w:line="143"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 Delivery Date</w:t>
      </w:r>
      <w:r>
        <w:rPr>
          <w:rFonts w:ascii="Times New Roman" w:cs="Times New Roman" w:eastAsia="Times New Roman" w:hAnsi="Times New Roman"/>
          <w:sz w:val="22"/>
          <w:szCs w:val="22"/>
          <w:color w:val="auto"/>
        </w:rPr>
        <w:t>" shall have the meaning set forth in Section (3)(b)(i).</w:t>
      </w:r>
    </w:p>
    <w:p>
      <w:pPr>
        <w:spacing w:after="0" w:line="219" w:lineRule="exact"/>
        <w:rPr>
          <w:rFonts w:ascii="Times New Roman" w:cs="Times New Roman" w:eastAsia="Times New Roman" w:hAnsi="Times New Roman"/>
          <w:sz w:val="22"/>
          <w:szCs w:val="22"/>
          <w:color w:val="auto"/>
        </w:rPr>
      </w:pPr>
    </w:p>
    <w:p>
      <w:pPr>
        <w:jc w:val="both"/>
        <w:ind w:firstLine="1952"/>
        <w:spacing w:after="0" w:line="256" w:lineRule="auto"/>
        <w:tabs>
          <w:tab w:leader="none" w:pos="266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mean any Person in which the Company, directly or indirectly, (x) owns a majority of the outstanding capital stock or holds a majority of the equity or similar interest of such Person or (y) controls or operates all or substantially all of the business, operations or administration of such Person, and the foregoing are collectively referred to herein as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952"/>
        <w:spacing w:after="0" w:line="257" w:lineRule="auto"/>
        <w:tabs>
          <w:tab w:leader="none" w:pos="264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means a day on which the Common Shares are quoted or traded on a Principal Market on which the Common Shares are then quoted or listed; provided, that in the event that the Common Shares are not listed or quoted, then Trading Day shall mean a Business Day.</w:t>
      </w:r>
    </w:p>
    <w:p>
      <w:pPr>
        <w:spacing w:after="0" w:line="172"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Document</w:t>
      </w:r>
      <w:r>
        <w:rPr>
          <w:rFonts w:ascii="Times New Roman" w:cs="Times New Roman" w:eastAsia="Times New Roman" w:hAnsi="Times New Roman"/>
          <w:sz w:val="22"/>
          <w:szCs w:val="22"/>
          <w:color w:val="auto"/>
        </w:rPr>
        <w:t>” has the meaning given such term in the Securities Purchase Agreement.</w:t>
      </w:r>
    </w:p>
    <w:p>
      <w:pPr>
        <w:spacing w:after="0" w:line="233" w:lineRule="exact"/>
        <w:rPr>
          <w:rFonts w:ascii="Times New Roman" w:cs="Times New Roman" w:eastAsia="Times New Roman" w:hAnsi="Times New Roman"/>
          <w:sz w:val="22"/>
          <w:szCs w:val="22"/>
          <w:color w:val="auto"/>
        </w:rPr>
      </w:pPr>
    </w:p>
    <w:p>
      <w:pPr>
        <w:ind w:right="20" w:firstLine="1952"/>
        <w:spacing w:after="0" w:line="271" w:lineRule="auto"/>
        <w:tabs>
          <w:tab w:leader="none" w:pos="255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Underlying Shares</w:t>
      </w:r>
      <w:r>
        <w:rPr>
          <w:rFonts w:ascii="Times New Roman" w:cs="Times New Roman" w:eastAsia="Times New Roman" w:hAnsi="Times New Roman"/>
          <w:sz w:val="22"/>
          <w:szCs w:val="22"/>
          <w:color w:val="auto"/>
        </w:rPr>
        <w:t>” means the Common Shares issuable upon conversion of this Debenture in accordance with the terms hereof.</w:t>
      </w:r>
    </w:p>
    <w:p>
      <w:pPr>
        <w:sectPr>
          <w:pgSz w:w="11900" w:h="16838" w:orient="portrait"/>
          <w:cols w:equalWidth="0" w:num="1">
            <w:col w:w="11240"/>
          </w:cols>
          <w:pgMar w:left="320" w:top="1422" w:right="339" w:bottom="1440" w:gutter="0" w:footer="0" w:header="0"/>
        </w:sectPr>
      </w:pPr>
    </w:p>
    <w:bookmarkStart w:id="24" w:name="page25"/>
    <w:bookmarkEnd w:id="24"/>
    <w:p>
      <w:pPr>
        <w:ind w:left="-20" w:firstLine="1952"/>
        <w:spacing w:after="0" w:line="271" w:lineRule="auto"/>
        <w:tabs>
          <w:tab w:leader="none" w:pos="259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VWAP</w:t>
      </w:r>
      <w:r>
        <w:rPr>
          <w:rFonts w:ascii="Times New Roman" w:cs="Times New Roman" w:eastAsia="Times New Roman" w:hAnsi="Times New Roman"/>
          <w:sz w:val="22"/>
          <w:szCs w:val="22"/>
          <w:color w:val="auto"/>
        </w:rPr>
        <w:t>" means, for any Trading Day, the daily volume weighted average price of the Common Shares for such Trading Day on the Principal Market during regular trading hours as reported by Bloomberg.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ectPr>
          <w:pgSz w:w="11900" w:h="16838" w:orient="portrait"/>
          <w:cols w:equalWidth="0" w:num="1">
            <w:col w:w="11220"/>
          </w:cols>
          <w:pgMar w:left="340" w:top="1422" w:right="339" w:bottom="1440" w:gutter="0" w:footer="0" w:header="0"/>
        </w:sectPr>
      </w:pPr>
    </w:p>
    <w:bookmarkStart w:id="25" w:name="page26"/>
    <w:bookmarkEnd w:id="25"/>
    <w:p>
      <w:pPr>
        <w:spacing w:after="0" w:line="221"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has caused this Convertible Debenture to be duly executed by a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officer as of the date set forth above.</w:t>
      </w:r>
    </w:p>
    <w:p>
      <w:pPr>
        <w:spacing w:after="0" w:line="200" w:lineRule="exact"/>
        <w:rPr>
          <w:sz w:val="20"/>
          <w:szCs w:val="20"/>
          <w:color w:val="auto"/>
        </w:rPr>
      </w:pPr>
    </w:p>
    <w:p>
      <w:pPr>
        <w:spacing w:after="0" w:line="2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3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color w:val="auto"/>
        </w:rPr>
        <w:t>INNVENTURE INC.</w:t>
      </w:r>
    </w:p>
    <w:p>
      <w:pPr>
        <w:spacing w:after="0" w:line="200" w:lineRule="exact"/>
        <w:rPr>
          <w:sz w:val="20"/>
          <w:szCs w:val="20"/>
          <w:color w:val="auto"/>
        </w:rPr>
      </w:pPr>
    </w:p>
    <w:p>
      <w:pPr>
        <w:spacing w:after="0" w:line="318"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-13970</wp:posOffset>
            </wp:positionV>
            <wp:extent cx="17310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1010" cy="8255"/>
                    </a:xfrm>
                    <a:prstGeom prst="rect">
                      <a:avLst/>
                    </a:prstGeom>
                    <a:noFill/>
                  </pic:spPr>
                </pic:pic>
              </a:graphicData>
            </a:graphic>
          </wp:anchor>
        </w:drawing>
      </w:r>
    </w:p>
    <w:p>
      <w:pPr>
        <w:spacing w:after="0" w:line="11" w:lineRule="exact"/>
        <w:rPr>
          <w:sz w:val="20"/>
          <w:szCs w:val="20"/>
          <w:color w:val="auto"/>
        </w:rPr>
      </w:pPr>
    </w:p>
    <w:p>
      <w:pPr>
        <w:ind w:left="5660"/>
        <w:spacing w:after="0"/>
        <w:tabs>
          <w:tab w:leader="none" w:pos="6500" w:val="left"/>
        </w:tabs>
        <w:rPr>
          <w:sz w:val="20"/>
          <w:szCs w:val="20"/>
          <w:color w:val="auto"/>
        </w:rPr>
      </w:pPr>
      <w:r>
        <w:rPr>
          <w:rFonts w:ascii="Times New Roman" w:cs="Times New Roman" w:eastAsia="Times New Roman" w:hAnsi="Times New Roman"/>
          <w:sz w:val="22"/>
          <w:szCs w:val="22"/>
          <w:color w:val="auto"/>
        </w:rPr>
        <w:t>Name:</w:t>
        <w:tab/>
        <w:t>David Yablunosky</w:t>
      </w:r>
    </w:p>
    <w:p>
      <w:pPr>
        <w:spacing w:after="0" w:line="29" w:lineRule="exact"/>
        <w:rPr>
          <w:sz w:val="20"/>
          <w:szCs w:val="20"/>
          <w:color w:val="auto"/>
        </w:rPr>
      </w:pPr>
    </w:p>
    <w:p>
      <w:pPr>
        <w:ind w:left="5660"/>
        <w:spacing w:after="0"/>
        <w:tabs>
          <w:tab w:leader="none" w:pos="63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ectPr>
          <w:pgSz w:w="11900" w:h="16838" w:orient="portrait"/>
          <w:cols w:equalWidth="0" w:num="1">
            <w:col w:w="11240"/>
          </w:cols>
          <w:pgMar w:left="320" w:top="1440" w:right="339" w:bottom="1440" w:gutter="0" w:footer="0" w:header="0"/>
        </w:sectPr>
      </w:pPr>
    </w:p>
    <w:bookmarkStart w:id="26" w:name="page27"/>
    <w:bookmarkEnd w:id="26"/>
    <w:p>
      <w:pPr>
        <w:ind w:left="7140"/>
        <w:spacing w:after="0"/>
        <w:rPr>
          <w:sz w:val="20"/>
          <w:szCs w:val="20"/>
          <w:color w:val="auto"/>
        </w:rPr>
      </w:pPr>
      <w:r>
        <w:rPr>
          <w:rFonts w:ascii="Times New Roman" w:cs="Times New Roman" w:eastAsia="Times New Roman" w:hAnsi="Times New Roman"/>
          <w:sz w:val="20"/>
          <w:szCs w:val="20"/>
          <w:b w:val="1"/>
          <w:bCs w:val="1"/>
          <w:color w:val="6D6D6D"/>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SECURITIES PURCHASE AGREEMENT</w:t>
      </w:r>
    </w:p>
    <w:p>
      <w:pPr>
        <w:spacing w:after="0" w:line="24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1"/>
          <w:szCs w:val="21"/>
          <w:b w:val="1"/>
          <w:bCs w:val="1"/>
          <w:color w:val="auto"/>
        </w:rPr>
        <w:t xml:space="preserve">THIS SECURITIES PURCHASE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September 15, 2025, is between</w:t>
      </w:r>
      <w:r>
        <w:rPr>
          <w:rFonts w:ascii="Times New Roman" w:cs="Times New Roman" w:eastAsia="Times New Roman" w:hAnsi="Times New Roman"/>
          <w:sz w:val="21"/>
          <w:szCs w:val="21"/>
          <w:b w:val="1"/>
          <w:bCs w:val="1"/>
          <w:color w:val="auto"/>
        </w:rPr>
        <w:t xml:space="preserve"> INNVENTURE, INC., </w:t>
      </w:r>
      <w:r>
        <w:rPr>
          <w:rFonts w:ascii="Times New Roman" w:cs="Times New Roman" w:eastAsia="Times New Roman" w:hAnsi="Times New Roman"/>
          <w:sz w:val="21"/>
          <w:szCs w:val="21"/>
          <w:color w:val="auto"/>
        </w:rPr>
        <w:t>a company incorporated under the laws of the State of Delaware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each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investors listed on the Schedule of Buyers attached as Schedule I hereto (individually, a “</w:t>
      </w:r>
      <w:r>
        <w:rPr>
          <w:rFonts w:ascii="Times New Roman" w:cs="Times New Roman" w:eastAsia="Times New Roman" w:hAnsi="Times New Roman"/>
          <w:sz w:val="21"/>
          <w:szCs w:val="21"/>
          <w:u w:val="single" w:color="auto"/>
          <w:color w:val="auto"/>
        </w:rPr>
        <w:t>Buyer</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Buyers</w:t>
      </w:r>
      <w:r>
        <w:rPr>
          <w:rFonts w:ascii="Times New Roman" w:cs="Times New Roman" w:eastAsia="Times New Roman" w:hAnsi="Times New Roman"/>
          <w:sz w:val="21"/>
          <w:szCs w:val="21"/>
          <w:color w:val="auto"/>
        </w:rPr>
        <w: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WITNESSETH</w:t>
      </w:r>
    </w:p>
    <w:p>
      <w:pPr>
        <w:spacing w:after="0" w:line="2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each Buyer desire to enter into this transaction for the Company to sell and the Buyers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the Convertible Debentures (as defined below) pursuant to an exemption from registration pursuant to Section 4(a)(2) of the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and/or Rule 506 of Regulation D (“</w:t>
      </w:r>
      <w:r>
        <w:rPr>
          <w:rFonts w:ascii="Times New Roman" w:cs="Times New Roman" w:eastAsia="Times New Roman" w:hAnsi="Times New Roman"/>
          <w:sz w:val="22"/>
          <w:szCs w:val="22"/>
          <w:u w:val="single" w:color="auto"/>
          <w:color w:val="auto"/>
        </w:rPr>
        <w:t>Regulation D</w:t>
      </w:r>
      <w:r>
        <w:rPr>
          <w:rFonts w:ascii="Times New Roman" w:cs="Times New Roman" w:eastAsia="Times New Roman" w:hAnsi="Times New Roman"/>
          <w:sz w:val="22"/>
          <w:szCs w:val="22"/>
          <w:color w:val="auto"/>
        </w:rPr>
        <w:t>”) promulgated by the U.S.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thereunder;</w:t>
      </w:r>
    </w:p>
    <w:p>
      <w:pPr>
        <w:spacing w:after="0" w:line="16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parties desire that, upon the terms and subject to the conditions contained herein, the Company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issue and sell to the Buyer(s), as provided herein, and the Buyer(s) shall purchase convertible debentures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Convertible Debentures</w:t>
      </w:r>
      <w:r>
        <w:rPr>
          <w:rFonts w:ascii="Times New Roman" w:cs="Times New Roman" w:eastAsia="Times New Roman" w:hAnsi="Times New Roman"/>
          <w:sz w:val="21"/>
          <w:szCs w:val="21"/>
          <w:color w:val="auto"/>
        </w:rPr>
        <w:t>”) in the aggregate principal amount of up to $15,000,000 (the “</w:t>
      </w:r>
      <w:r>
        <w:rPr>
          <w:rFonts w:ascii="Times New Roman" w:cs="Times New Roman" w:eastAsia="Times New Roman" w:hAnsi="Times New Roman"/>
          <w:sz w:val="21"/>
          <w:szCs w:val="21"/>
          <w:u w:val="single" w:color="auto"/>
          <w:color w:val="auto"/>
        </w:rPr>
        <w:t>Subscription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Amount</w:t>
      </w:r>
      <w:r>
        <w:rPr>
          <w:rFonts w:ascii="Times New Roman" w:cs="Times New Roman" w:eastAsia="Times New Roman" w:hAnsi="Times New Roman"/>
          <w:sz w:val="21"/>
          <w:szCs w:val="21"/>
          <w:color w:val="auto"/>
        </w:rPr>
        <w:t>”), which shall be convertible into shares of the Company’s common stock, par value $0.0001 per share (the “</w:t>
      </w:r>
      <w:r>
        <w:rPr>
          <w:rFonts w:ascii="Times New Roman" w:cs="Times New Roman" w:eastAsia="Times New Roman" w:hAnsi="Times New Roman"/>
          <w:sz w:val="21"/>
          <w:szCs w:val="21"/>
          <w:u w:val="single" w:color="auto"/>
          <w:color w:val="auto"/>
        </w:rPr>
        <w:t>Common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(as converted, the “</w:t>
      </w:r>
      <w:r>
        <w:rPr>
          <w:rFonts w:ascii="Times New Roman" w:cs="Times New Roman" w:eastAsia="Times New Roman" w:hAnsi="Times New Roman"/>
          <w:sz w:val="21"/>
          <w:szCs w:val="21"/>
          <w:u w:val="single" w:color="auto"/>
          <w:color w:val="auto"/>
        </w:rPr>
        <w:t>Conversion Shares</w:t>
      </w:r>
      <w:r>
        <w:rPr>
          <w:rFonts w:ascii="Times New Roman" w:cs="Times New Roman" w:eastAsia="Times New Roman" w:hAnsi="Times New Roman"/>
          <w:sz w:val="21"/>
          <w:szCs w:val="21"/>
          <w:color w:val="auto"/>
        </w:rPr>
        <w:t>”), of which $10,000,000 shall be purchased upon the satisfaction of the conditions to closing in Sections 6 and 7 (the “</w:t>
      </w:r>
      <w:r>
        <w:rPr>
          <w:rFonts w:ascii="Times New Roman" w:cs="Times New Roman" w:eastAsia="Times New Roman" w:hAnsi="Times New Roman"/>
          <w:sz w:val="21"/>
          <w:szCs w:val="21"/>
          <w:u w:val="single" w:color="auto"/>
          <w:color w:val="auto"/>
        </w:rPr>
        <w:t>First Closing</w:t>
      </w:r>
      <w:r>
        <w:rPr>
          <w:rFonts w:ascii="Times New Roman" w:cs="Times New Roman" w:eastAsia="Times New Roman" w:hAnsi="Times New Roman"/>
          <w:sz w:val="21"/>
          <w:szCs w:val="21"/>
          <w:color w:val="auto"/>
        </w:rPr>
        <w:t>”) and $5,000,000 shall be purchased on the first Business Day after the date the Registration Statement has first been declared effective by the SEC (the “</w:t>
      </w:r>
      <w:r>
        <w:rPr>
          <w:rFonts w:ascii="Times New Roman" w:cs="Times New Roman" w:eastAsia="Times New Roman" w:hAnsi="Times New Roman"/>
          <w:sz w:val="21"/>
          <w:szCs w:val="21"/>
          <w:u w:val="single" w:color="auto"/>
          <w:color w:val="auto"/>
        </w:rPr>
        <w:t>Second Closing</w:t>
      </w:r>
      <w:r>
        <w:rPr>
          <w:rFonts w:ascii="Times New Roman" w:cs="Times New Roman" w:eastAsia="Times New Roman" w:hAnsi="Times New Roman"/>
          <w:sz w:val="21"/>
          <w:szCs w:val="21"/>
          <w:color w:val="auto"/>
        </w:rPr>
        <w:t>”) (individually referred to as a “</w:t>
      </w: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21"/>
          <w:szCs w:val="21"/>
          <w:color w:val="auto"/>
        </w:rPr>
        <w:t>” and collectively referred to as the “</w:t>
      </w:r>
      <w:r>
        <w:rPr>
          <w:rFonts w:ascii="Times New Roman" w:cs="Times New Roman" w:eastAsia="Times New Roman" w:hAnsi="Times New Roman"/>
          <w:sz w:val="21"/>
          <w:szCs w:val="21"/>
          <w:u w:val="single" w:color="auto"/>
          <w:color w:val="auto"/>
        </w:rPr>
        <w:t>Closings</w:t>
      </w:r>
      <w:r>
        <w:rPr>
          <w:rFonts w:ascii="Times New Roman" w:cs="Times New Roman" w:eastAsia="Times New Roman" w:hAnsi="Times New Roman"/>
          <w:sz w:val="21"/>
          <w:szCs w:val="21"/>
          <w:color w:val="auto"/>
        </w:rPr>
        <w:t>”), at a purchase price equal to 90% of the Subscription Amount (the “</w:t>
      </w:r>
      <w:r>
        <w:rPr>
          <w:rFonts w:ascii="Times New Roman" w:cs="Times New Roman" w:eastAsia="Times New Roman" w:hAnsi="Times New Roman"/>
          <w:sz w:val="21"/>
          <w:szCs w:val="21"/>
          <w:u w:val="single" w:color="auto"/>
          <w:color w:val="auto"/>
        </w:rPr>
        <w:t>Purchase Price</w:t>
      </w:r>
      <w:r>
        <w:rPr>
          <w:rFonts w:ascii="Times New Roman" w:cs="Times New Roman" w:eastAsia="Times New Roman" w:hAnsi="Times New Roman"/>
          <w:sz w:val="21"/>
          <w:szCs w:val="21"/>
          <w:color w:val="auto"/>
        </w:rPr>
        <w:t>”) in the respective amounts set forth opposite each Buyer(s) name on Schedule I to this Agreement;</w:t>
      </w:r>
    </w:p>
    <w:p>
      <w:pPr>
        <w:spacing w:after="0" w:line="1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the First Closing Date (as defined in Section 1(c) below), the parties hereto are executing and delivering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Registration Rights Agreement (the “</w:t>
      </w:r>
      <w:r>
        <w:rPr>
          <w:rFonts w:ascii="Times New Roman" w:cs="Times New Roman" w:eastAsia="Times New Roman" w:hAnsi="Times New Roman"/>
          <w:sz w:val="22"/>
          <w:szCs w:val="22"/>
          <w:u w:val="single" w:color="auto"/>
          <w:color w:val="auto"/>
        </w:rPr>
        <w:t>Registration Rights Agreement</w:t>
      </w:r>
      <w:r>
        <w:rPr>
          <w:rFonts w:ascii="Times New Roman" w:cs="Times New Roman" w:eastAsia="Times New Roman" w:hAnsi="Times New Roman"/>
          <w:sz w:val="22"/>
          <w:szCs w:val="22"/>
          <w:color w:val="auto"/>
        </w:rPr>
        <w:t>”) pursuant to which the Company has agreed to provide certain registration rights under the Securities Act and the rules and regulations promulgated thereunder, and applicable state securities laws; and</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Convertible Debentures and the Conversion Shares are collectively referred to herein as the “</w:t>
      </w:r>
      <w:r>
        <w:rPr>
          <w:rFonts w:ascii="Times New Roman" w:cs="Times New Roman" w:eastAsia="Times New Roman" w:hAnsi="Times New Roman"/>
          <w:sz w:val="21"/>
          <w:szCs w:val="21"/>
          <w:u w:val="single" w:color="auto"/>
          <w:color w:val="auto"/>
        </w:rPr>
        <w:t>Securities</w:t>
      </w:r>
      <w:r>
        <w:rPr>
          <w:rFonts w:ascii="Times New Roman" w:cs="Times New Roman" w:eastAsia="Times New Roman" w:hAnsi="Times New Roman"/>
          <w:sz w:val="21"/>
          <w:szCs w:val="21"/>
          <w:color w:val="auto"/>
        </w:rPr>
        <w:t>.”</w:t>
      </w:r>
    </w:p>
    <w:p>
      <w:pPr>
        <w:spacing w:after="0" w:line="2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00" w:lineRule="exact"/>
        <w:rPr>
          <w:sz w:val="20"/>
          <w:szCs w:val="20"/>
          <w:color w:val="auto"/>
        </w:rPr>
      </w:pPr>
    </w:p>
    <w:p>
      <w:pPr>
        <w:spacing w:after="0" w:line="276"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the mutual covenants contained herein and for other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valuable consideration, the receipt and sufficiency of which are hereby acknowledged, the Company and each Buyer hereby agree as follows:</w:t>
      </w:r>
    </w:p>
    <w:p>
      <w:pPr>
        <w:sectPr>
          <w:pgSz w:w="11900" w:h="16838" w:orient="portrait"/>
          <w:cols w:equalWidth="0" w:num="1">
            <w:col w:w="11240"/>
          </w:cols>
          <w:pgMar w:left="320" w:top="100" w:right="339" w:bottom="1440" w:gutter="0" w:footer="0" w:header="0"/>
        </w:sectPr>
      </w:pPr>
    </w:p>
    <w:bookmarkStart w:id="27" w:name="page28"/>
    <w:bookmarkEnd w:id="27"/>
    <w:p>
      <w:pPr>
        <w:ind w:left="382" w:hanging="382"/>
        <w:spacing w:after="0"/>
        <w:tabs>
          <w:tab w:leader="none" w:pos="382"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PURCHASE AND SALE OF CONVERTIBLE DEBENTURES.</w:t>
      </w:r>
    </w:p>
    <w:p>
      <w:pPr>
        <w:spacing w:after="0" w:line="250" w:lineRule="exact"/>
        <w:rPr>
          <w:rFonts w:ascii="Times New Roman" w:cs="Times New Roman" w:eastAsia="Times New Roman" w:hAnsi="Times New Roman"/>
          <w:sz w:val="22"/>
          <w:szCs w:val="22"/>
          <w:b w:val="1"/>
          <w:bCs w:val="1"/>
          <w:color w:val="auto"/>
        </w:rPr>
      </w:pPr>
    </w:p>
    <w:p>
      <w:pPr>
        <w:jc w:val="both"/>
        <w:ind w:left="2" w:right="20" w:firstLine="647"/>
        <w:spacing w:after="0" w:line="256" w:lineRule="auto"/>
        <w:tabs>
          <w:tab w:leader="none" w:pos="112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of Convertible Debentures</w:t>
      </w:r>
      <w:r>
        <w:rPr>
          <w:rFonts w:ascii="Times New Roman" w:cs="Times New Roman" w:eastAsia="Times New Roman" w:hAnsi="Times New Roman"/>
          <w:sz w:val="22"/>
          <w:szCs w:val="22"/>
          <w:color w:val="auto"/>
        </w:rPr>
        <w:t>. Subject to the satisfaction (or waiver) of the conditions set forth in Sections 6 and 7 below, the Company shall issue and sell to each Buyer, and each Buyer severally, but not jointly, agrees to purchase from the Company at each Closing, Convertible Debentures with principal amount corresponding to the Subscription Amount set forth opposite each Buyer’s name on Schedule I attached hereto.</w:t>
      </w:r>
    </w:p>
    <w:p>
      <w:pPr>
        <w:spacing w:after="0" w:line="203" w:lineRule="exact"/>
        <w:rPr>
          <w:rFonts w:ascii="Times New Roman" w:cs="Times New Roman" w:eastAsia="Times New Roman" w:hAnsi="Times New Roman"/>
          <w:sz w:val="22"/>
          <w:szCs w:val="22"/>
          <w:color w:val="auto"/>
        </w:rPr>
      </w:pPr>
    </w:p>
    <w:p>
      <w:pPr>
        <w:jc w:val="both"/>
        <w:ind w:left="2" w:firstLine="647"/>
        <w:spacing w:after="0" w:line="261" w:lineRule="auto"/>
        <w:tabs>
          <w:tab w:leader="none" w:pos="1173"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Closing Dates</w:t>
      </w:r>
      <w:r>
        <w:rPr>
          <w:rFonts w:ascii="Times New Roman" w:cs="Times New Roman" w:eastAsia="Times New Roman" w:hAnsi="Times New Roman"/>
          <w:sz w:val="21"/>
          <w:szCs w:val="21"/>
          <w:color w:val="auto"/>
        </w:rPr>
        <w:t>. Each Closing shall occur remotely by conference call and electronic delivery of documentation. The date and time of each Closing shall be as follows: (i) the First Closing shall be at 10:00 a.m., New York time, on the first Business Day on which the conditions to the Closing set forth in Sections 6 and 7 below are satisfied or waived (or such other date as is mutually agreed to by the Company and each Buyer) (the “</w:t>
      </w:r>
      <w:r>
        <w:rPr>
          <w:rFonts w:ascii="Times New Roman" w:cs="Times New Roman" w:eastAsia="Times New Roman" w:hAnsi="Times New Roman"/>
          <w:sz w:val="21"/>
          <w:szCs w:val="21"/>
          <w:u w:val="single" w:color="auto"/>
          <w:color w:val="auto"/>
        </w:rPr>
        <w:t>First Closing Date</w:t>
      </w:r>
      <w:r>
        <w:rPr>
          <w:rFonts w:ascii="Times New Roman" w:cs="Times New Roman" w:eastAsia="Times New Roman" w:hAnsi="Times New Roman"/>
          <w:sz w:val="21"/>
          <w:szCs w:val="21"/>
          <w:color w:val="auto"/>
        </w:rPr>
        <w:t>”) and (ii) the Second Closing shall be at 10:00 a.m., New York time, on the first Business Day after the Registration Statement is first declared effective by the SEC, provided the conditions to the Closing set forth in Sections 6 and 7 below are satisfied or waived at such time (or such other date as is mutually agreed to by the Company and each Buyer) (the “</w:t>
      </w:r>
      <w:r>
        <w:rPr>
          <w:rFonts w:ascii="Times New Roman" w:cs="Times New Roman" w:eastAsia="Times New Roman" w:hAnsi="Times New Roman"/>
          <w:sz w:val="21"/>
          <w:szCs w:val="21"/>
          <w:u w:val="single" w:color="auto"/>
          <w:color w:val="auto"/>
        </w:rPr>
        <w:t>Second Closing Date</w:t>
      </w:r>
      <w:r>
        <w:rPr>
          <w:rFonts w:ascii="Times New Roman" w:cs="Times New Roman" w:eastAsia="Times New Roman" w:hAnsi="Times New Roman"/>
          <w:sz w:val="21"/>
          <w:szCs w:val="21"/>
          <w:color w:val="auto"/>
        </w:rPr>
        <w:t>” and collectively with the First Closing Date, the “</w:t>
      </w:r>
      <w:r>
        <w:rPr>
          <w:rFonts w:ascii="Times New Roman" w:cs="Times New Roman" w:eastAsia="Times New Roman" w:hAnsi="Times New Roman"/>
          <w:sz w:val="21"/>
          <w:szCs w:val="21"/>
          <w:u w:val="single" w:color="auto"/>
          <w:color w:val="auto"/>
        </w:rPr>
        <w:t>Closing Dates</w:t>
      </w:r>
      <w:r>
        <w:rPr>
          <w:rFonts w:ascii="Times New Roman" w:cs="Times New Roman" w:eastAsia="Times New Roman" w:hAnsi="Times New Roman"/>
          <w:sz w:val="21"/>
          <w:szCs w:val="21"/>
          <w:color w:val="auto"/>
        </w:rPr>
        <w:t>”). As used herein “</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any day other than a Saturday, Sunday or other day on which commercial banks in New York, New York are authorized or required by law to remain closed.</w:t>
      </w:r>
    </w:p>
    <w:p>
      <w:pPr>
        <w:spacing w:after="0" w:line="215" w:lineRule="exact"/>
        <w:rPr>
          <w:rFonts w:ascii="Times New Roman" w:cs="Times New Roman" w:eastAsia="Times New Roman" w:hAnsi="Times New Roman"/>
          <w:sz w:val="21"/>
          <w:szCs w:val="21"/>
          <w:color w:val="auto"/>
        </w:rPr>
      </w:pPr>
    </w:p>
    <w:p>
      <w:pPr>
        <w:jc w:val="both"/>
        <w:ind w:left="2" w:firstLine="647"/>
        <w:spacing w:after="0" w:line="250" w:lineRule="auto"/>
        <w:tabs>
          <w:tab w:leader="none" w:pos="1309"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Payment; Deliveries</w:t>
      </w:r>
      <w:r>
        <w:rPr>
          <w:rFonts w:ascii="Times New Roman" w:cs="Times New Roman" w:eastAsia="Times New Roman" w:hAnsi="Times New Roman"/>
          <w:sz w:val="22"/>
          <w:szCs w:val="22"/>
          <w:color w:val="auto"/>
        </w:rPr>
        <w:t>. Subject to the satisfaction (or waiver) of the terms and conditions of this Agreement, on each Closing Date, (i) the Buyers shall deliver to the Company, in immediately available funds to a bank account designated in writing by the Company, the Purchase Price for the Convertible Debentures to be issued and sold to such Buyer at such Closing, minus any fees or expenses to be paid directly from the proceeds of such Closing as set forth herein, and (ii) the Company shall deliver to each Buyer, Convertible Debentures which such Buyer is purchasing at such Closing with a principal amount corresponding with the Subscription Amount set forth opposite each Buyer’s name on Schedule of Buyers attached as Schedule I hereto, duly executed on behalf of the Company.</w:t>
      </w:r>
    </w:p>
    <w:p>
      <w:pPr>
        <w:spacing w:after="0" w:line="207" w:lineRule="exact"/>
        <w:rPr>
          <w:rFonts w:ascii="Times New Roman" w:cs="Times New Roman" w:eastAsia="Times New Roman" w:hAnsi="Times New Roman"/>
          <w:sz w:val="22"/>
          <w:szCs w:val="22"/>
          <w:color w:val="auto"/>
        </w:rPr>
      </w:pPr>
    </w:p>
    <w:p>
      <w:pPr>
        <w:jc w:val="both"/>
        <w:ind w:left="2" w:firstLine="647"/>
        <w:spacing w:after="0" w:line="248" w:lineRule="auto"/>
        <w:tabs>
          <w:tab w:leader="none" w:pos="1159"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Shares</w:t>
      </w:r>
      <w:r>
        <w:rPr>
          <w:rFonts w:ascii="Times New Roman" w:cs="Times New Roman" w:eastAsia="Times New Roman" w:hAnsi="Times New Roman"/>
          <w:sz w:val="22"/>
          <w:szCs w:val="22"/>
          <w:color w:val="auto"/>
        </w:rPr>
        <w:t>. Notwithstanding anything in this Agreement to the contrary, the Company shall not issue any Common Shares pursuant to the transactions contemplated hereby or any other Transaction Documents (as defined below) (including the Conversion Shares) if the issuance of Common Shares would exceed the aggregate number of Common Shares that the Company may issue in this transaction, and any transaction aggregated with this transaction, in compliance with the Company’s obligations under the rules or regulations of The Nasdaq Stock Market LLC (“</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(the number of shares which may be issued without violating such rules and regulations being referred to as the “</w:t>
      </w:r>
      <w:r>
        <w:rPr>
          <w:rFonts w:ascii="Times New Roman" w:cs="Times New Roman" w:eastAsia="Times New Roman" w:hAnsi="Times New Roman"/>
          <w:sz w:val="22"/>
          <w:szCs w:val="22"/>
          <w:u w:val="single" w:color="auto"/>
          <w:color w:val="auto"/>
        </w:rPr>
        <w:t>Exchange Cap</w:t>
      </w:r>
      <w:r>
        <w:rPr>
          <w:rFonts w:ascii="Times New Roman" w:cs="Times New Roman" w:eastAsia="Times New Roman" w:hAnsi="Times New Roman"/>
          <w:sz w:val="22"/>
          <w:szCs w:val="22"/>
          <w:color w:val="auto"/>
        </w:rPr>
        <w:t>”), except that such limitation shall not apply in the event that the Company (A) obtains the approval of its stockholders as required by the applicable rules of the Nasdaq for issuances of Common Shares in excess of such amount or (B) obtains a written opinion from outside counsel to the Company that such approval is not required, which opinion shall be reasonably</w:t>
      </w:r>
    </w:p>
    <w:p>
      <w:pPr>
        <w:sectPr>
          <w:pgSz w:w="11900" w:h="16838" w:orient="portrait"/>
          <w:cols w:equalWidth="0" w:num="1">
            <w:col w:w="11042"/>
          </w:cols>
          <w:pgMar w:left="418" w:top="1418" w:right="439" w:bottom="1440" w:gutter="0" w:footer="0" w:header="0"/>
        </w:sectPr>
      </w:pPr>
    </w:p>
    <w:bookmarkStart w:id="28" w:name="page29"/>
    <w:bookmarkEnd w:id="28"/>
    <w:p>
      <w:pPr>
        <w:ind w:left="100" w:right="100"/>
        <w:spacing w:after="0" w:line="271" w:lineRule="auto"/>
        <w:rPr>
          <w:sz w:val="20"/>
          <w:szCs w:val="20"/>
          <w:color w:val="auto"/>
        </w:rPr>
      </w:pPr>
      <w:r>
        <w:rPr>
          <w:rFonts w:ascii="Times New Roman" w:cs="Times New Roman" w:eastAsia="Times New Roman" w:hAnsi="Times New Roman"/>
          <w:sz w:val="22"/>
          <w:szCs w:val="22"/>
          <w:color w:val="auto"/>
        </w:rPr>
        <w:t>satisfactory to the Buyers. The Exchange Cap shall be appropriately adjusted for any stock dividend, stock split, reverse stock split or similar transaction.</w:t>
      </w:r>
    </w:p>
    <w:p>
      <w:pPr>
        <w:spacing w:after="0" w:line="181" w:lineRule="exact"/>
        <w:rPr>
          <w:sz w:val="20"/>
          <w:szCs w:val="20"/>
          <w:color w:val="auto"/>
        </w:rPr>
      </w:pPr>
    </w:p>
    <w:p>
      <w:pPr>
        <w:ind w:left="480" w:hanging="382"/>
        <w:spacing w:after="0"/>
        <w:tabs>
          <w:tab w:leader="none" w:pos="48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BUYER’S REPRESENTATIONS AND WARRANTIES.</w:t>
      </w:r>
    </w:p>
    <w:p>
      <w:pPr>
        <w:spacing w:after="0" w:line="26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Each Buyer, severally and not jointly, represents and warrants to the Company with respect to only itself that, as of the date hereof and as of each Closing Date:</w:t>
      </w:r>
    </w:p>
    <w:p>
      <w:pPr>
        <w:spacing w:after="0" w:line="158" w:lineRule="exact"/>
        <w:rPr>
          <w:sz w:val="20"/>
          <w:szCs w:val="20"/>
          <w:color w:val="auto"/>
        </w:rPr>
      </w:pPr>
    </w:p>
    <w:p>
      <w:pPr>
        <w:jc w:val="both"/>
        <w:ind w:left="100" w:right="100" w:firstLine="647"/>
        <w:spacing w:after="0" w:line="249" w:lineRule="auto"/>
        <w:tabs>
          <w:tab w:leader="none" w:pos="127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Purpose</w:t>
      </w:r>
      <w:r>
        <w:rPr>
          <w:rFonts w:ascii="Times New Roman" w:cs="Times New Roman" w:eastAsia="Times New Roman" w:hAnsi="Times New Roman"/>
          <w:sz w:val="22"/>
          <w:szCs w:val="22"/>
          <w:color w:val="auto"/>
        </w:rPr>
        <w:t>. The Buyer is acquiring the Securities for its own account for investment purposes and not with a view towards, or for resale in connection with, the public sale or distribution thereof, except pursuant to sales registered under or exempt from the registration requirements of the Securities Act; provided, however, that by making the representations herein, such Buyer does not agree, or make any representation or warranty, to hold any of the Securities for any minimum or other specific term and reserves the right to dispose of the Securities at any time in accordance with, or pursuant to, a registration statement covering such Securities or an available exemption under the Securities Act. Such Buyer does not presently have any agreement or understanding, directly or indirectly, with any Person (as defined below) to distribute any of the Securities in violation of applicable securities laws. As used herein,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 corporation, a limited liability company, an association, a partnership, an organization, a business, an individual, a governmental or political subdivision thereof or a governmental agency.</w:t>
      </w:r>
    </w:p>
    <w:p>
      <w:pPr>
        <w:spacing w:after="0" w:line="210" w:lineRule="exact"/>
        <w:rPr>
          <w:rFonts w:ascii="Times New Roman" w:cs="Times New Roman" w:eastAsia="Times New Roman" w:hAnsi="Times New Roman"/>
          <w:sz w:val="22"/>
          <w:szCs w:val="22"/>
          <w:color w:val="auto"/>
        </w:rPr>
      </w:pPr>
    </w:p>
    <w:p>
      <w:pPr>
        <w:ind w:left="100" w:right="100" w:firstLine="647"/>
        <w:spacing w:after="0" w:line="271" w:lineRule="auto"/>
        <w:tabs>
          <w:tab w:leader="none" w:pos="129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Accredited Investor Status</w:t>
      </w:r>
      <w:r>
        <w:rPr>
          <w:rFonts w:ascii="Times New Roman" w:cs="Times New Roman" w:eastAsia="Times New Roman" w:hAnsi="Times New Roman"/>
          <w:sz w:val="22"/>
          <w:szCs w:val="22"/>
          <w:color w:val="auto"/>
        </w:rPr>
        <w:t>. The Buyer is an “Accredited Investor” as that term is defined in Rule 501(a)(3) of Regulation D.</w:t>
      </w:r>
    </w:p>
    <w:p>
      <w:pPr>
        <w:spacing w:after="0" w:line="184" w:lineRule="exact"/>
        <w:rPr>
          <w:rFonts w:ascii="Times New Roman" w:cs="Times New Roman" w:eastAsia="Times New Roman" w:hAnsi="Times New Roman"/>
          <w:sz w:val="22"/>
          <w:szCs w:val="22"/>
          <w:color w:val="auto"/>
        </w:rPr>
      </w:pPr>
    </w:p>
    <w:p>
      <w:pPr>
        <w:jc w:val="both"/>
        <w:ind w:left="100" w:right="100" w:firstLine="647"/>
        <w:spacing w:after="0" w:line="253" w:lineRule="auto"/>
        <w:tabs>
          <w:tab w:leader="none" w:pos="123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Reliance on Exemptions</w:t>
      </w:r>
      <w:r>
        <w:rPr>
          <w:rFonts w:ascii="Times New Roman" w:cs="Times New Roman" w:eastAsia="Times New Roman" w:hAnsi="Times New Roman"/>
          <w:sz w:val="22"/>
          <w:szCs w:val="22"/>
          <w:color w:val="auto"/>
        </w:rPr>
        <w:t>. The Buyer understands that the Securities are being offered and sold to it in reliance on specific exemptions from the registration requirements of United States federal and state securities laws and that the Company is relying in part upon the truth and accuracy of, and such Buyer’s compliance with, the representations, warranties, agreements, acknowledgments and understandings of such Buyer set forth herein in order to determine the availability of such exemptions and the eligibility of such Buyer to acquire the Securities.</w:t>
      </w:r>
    </w:p>
    <w:p>
      <w:pPr>
        <w:spacing w:after="0" w:line="205" w:lineRule="exact"/>
        <w:rPr>
          <w:rFonts w:ascii="Times New Roman" w:cs="Times New Roman" w:eastAsia="Times New Roman" w:hAnsi="Times New Roman"/>
          <w:sz w:val="22"/>
          <w:szCs w:val="22"/>
          <w:color w:val="auto"/>
        </w:rPr>
      </w:pPr>
    </w:p>
    <w:p>
      <w:pPr>
        <w:jc w:val="both"/>
        <w:ind w:left="100" w:right="100" w:firstLine="647"/>
        <w:spacing w:after="0" w:line="250" w:lineRule="auto"/>
        <w:tabs>
          <w:tab w:leader="none" w:pos="121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The Buyer and its advisors (and its counsel), if any, have been furnished with all materials relating to the business, finances and operations of the Company and information the Buyer deemed material to making an informed investment decision regarding its purchase of the Securities, which have been requested by such Buyer. The Buyer and its advisors, if any, have been afforded the opportunity to ask questions of the Company and its management. Neither such inquiries nor any other due diligence investigations conducted by such Buyer or its advisors, if any, or its representatives shall modify, amend or affect such Buyer’s right to rely on the Company’s representations and warranties contained in Section 3 below. The Buyer understands that its investment in the Securities involves a high degree of risk. The Buyer has sought such accounting, legal and tax advice, as it has considered necessary to make an informed investment decision with respect to its acquisition of the Securities.</w:t>
      </w:r>
    </w:p>
    <w:p>
      <w:pPr>
        <w:sectPr>
          <w:pgSz w:w="11900" w:h="16838" w:orient="portrait"/>
          <w:cols w:equalWidth="0" w:num="1">
            <w:col w:w="11240"/>
          </w:cols>
          <w:pgMar w:left="320" w:top="1422" w:right="339" w:bottom="1440" w:gutter="0" w:footer="0" w:header="0"/>
        </w:sectPr>
      </w:pPr>
    </w:p>
    <w:bookmarkStart w:id="29" w:name="page30"/>
    <w:bookmarkEnd w:id="29"/>
    <w:p>
      <w:pPr>
        <w:spacing w:after="0" w:line="225" w:lineRule="exact"/>
        <w:rPr>
          <w:sz w:val="20"/>
          <w:szCs w:val="20"/>
          <w:color w:val="auto"/>
        </w:rPr>
      </w:pPr>
    </w:p>
    <w:p>
      <w:pPr>
        <w:jc w:val="both"/>
        <w:ind w:left="-560" w:firstLine="647"/>
        <w:spacing w:after="0" w:line="247" w:lineRule="auto"/>
        <w:tabs>
          <w:tab w:leader="none" w:pos="54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or Resale</w:t>
      </w:r>
      <w:r>
        <w:rPr>
          <w:rFonts w:ascii="Times New Roman" w:cs="Times New Roman" w:eastAsia="Times New Roman" w:hAnsi="Times New Roman"/>
          <w:sz w:val="22"/>
          <w:szCs w:val="22"/>
          <w:color w:val="auto"/>
        </w:rPr>
        <w:t>. The Buyer understands that: (i) the Securities have not been registered under the Securities Act or any state securities laws, and may not be offered for sale, sold, assigned or transferred unless (A) subsequently registered thereunder, (B) such Buyer shall have delivered to the Company an opinion of counsel, in a generally acceptable form, to the effect that such Securities to be sold, assigned or transferred may be sold, assigned or transferred pursuant to an exemption from such registration requirements, or (C) such Buyer provides the Company with reasonable assurances (in the form of seller and broker representation letters) that such Securities can be sold, assigned or transferred pursuant to Rule 144 promulgated under the Securities Act, as amended (or a successor rule thereto) (collectively, “</w:t>
      </w:r>
      <w:r>
        <w:rPr>
          <w:rFonts w:ascii="Times New Roman" w:cs="Times New Roman" w:eastAsia="Times New Roman" w:hAnsi="Times New Roman"/>
          <w:sz w:val="22"/>
          <w:szCs w:val="22"/>
          <w:u w:val="single" w:color="auto"/>
          <w:color w:val="auto"/>
        </w:rPr>
        <w:t>Rule 144</w:t>
      </w:r>
      <w:r>
        <w:rPr>
          <w:rFonts w:ascii="Times New Roman" w:cs="Times New Roman" w:eastAsia="Times New Roman" w:hAnsi="Times New Roman"/>
          <w:sz w:val="22"/>
          <w:szCs w:val="22"/>
          <w:color w:val="auto"/>
        </w:rPr>
        <w:t>”), in each case following the applicable holding period set forth therein; and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 thereunder.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including, without limitation, this Section 2(e).</w:t>
      </w:r>
    </w:p>
    <w:p>
      <w:pPr>
        <w:spacing w:after="0" w:line="221" w:lineRule="exact"/>
        <w:rPr>
          <w:rFonts w:ascii="Times New Roman" w:cs="Times New Roman" w:eastAsia="Times New Roman" w:hAnsi="Times New Roman"/>
          <w:sz w:val="22"/>
          <w:szCs w:val="22"/>
          <w:color w:val="auto"/>
        </w:rPr>
      </w:pPr>
    </w:p>
    <w:p>
      <w:pPr>
        <w:ind w:left="-560" w:firstLine="647"/>
        <w:spacing w:after="0" w:line="271" w:lineRule="auto"/>
        <w:tabs>
          <w:tab w:leader="none" w:pos="53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Legends</w:t>
      </w:r>
      <w:r>
        <w:rPr>
          <w:rFonts w:ascii="Times New Roman" w:cs="Times New Roman" w:eastAsia="Times New Roman" w:hAnsi="Times New Roman"/>
          <w:sz w:val="22"/>
          <w:szCs w:val="22"/>
          <w:color w:val="auto"/>
        </w:rPr>
        <w:t>. The Buyer agrees to the imprinting, so long as its required by this Section 2(f), of a restrictive legend on the Convertible Debentures in substantially the following form:</w:t>
      </w:r>
    </w:p>
    <w:p>
      <w:pPr>
        <w:spacing w:after="0" w:line="185" w:lineRule="exact"/>
        <w:rPr>
          <w:sz w:val="20"/>
          <w:szCs w:val="20"/>
          <w:color w:val="auto"/>
        </w:rPr>
      </w:pPr>
    </w:p>
    <w:p>
      <w:pPr>
        <w:jc w:val="both"/>
        <w:ind w:right="540"/>
        <w:spacing w:after="0" w:line="248" w:lineRule="auto"/>
        <w:rPr>
          <w:sz w:val="20"/>
          <w:szCs w:val="20"/>
          <w:color w:val="auto"/>
        </w:rPr>
      </w:pPr>
      <w:r>
        <w:rPr>
          <w:rFonts w:ascii="Times New Roman" w:cs="Times New Roman" w:eastAsia="Times New Roman" w:hAnsi="Times New Roman"/>
          <w:sz w:val="22"/>
          <w:szCs w:val="22"/>
          <w:color w:val="auto"/>
        </w:rPr>
        <w:t>THE SECURITIES REPRESENTED BY THIS CERTIFICATE AND THOSE SECURITIES INTO WHICH THEY ARE CONVERTIBLE HAVE NOT BEEN REGISTERED UNDER THE SECURITIES ACT OF 1933, AS AMENDED, OR APPLICABLE STATE SECURITIES LAWS. THE SECURITIES AND THOSE SECURITIES INTO WHICH THEY ARE CONVERTIBLE HAVE BEEN ACQUIRED SOLELY FOR INVESTMENT PURPOSES AND NOT WITH A VIEW TOWARD RESALE AND MAY NOT BE OFFERED FOR SALE, SOLD, TRANSFERRED OR ASSIGNED IN THE ABSENCE OF AN EFFECTIVE REGISTRATION STATEMENT FOR THE SECURITIES UNDER THE SECURITIES ACT OF 1933, AS AMENDED, OR APPLICABLE STATE SECURITIES LAWS, OR AN OPINION OF COUNSEL, IN A GENERALLY ACCEPTABLE FORM, THAT REGISTRATION IS NOT REQUIRED UNDER SAID ACT OR APPLICABLE STATE SECURITIES LAWS. NOTWITHSTANDING THE FOREGOING, THE SECURITIES MAY BE PLEDGED IN CONNECTION WITH A BONA FIDE MARGIN ACCOUNT OR OTHER LOAN OR FINANCING ARRANGEMENT SECURED BY THE SECURITIES.</w:t>
      </w:r>
    </w:p>
    <w:p>
      <w:pPr>
        <w:sectPr>
          <w:pgSz w:w="11900" w:h="16838" w:orient="portrait"/>
          <w:cols w:equalWidth="0" w:num="1">
            <w:col w:w="10480"/>
          </w:cols>
          <w:pgMar w:left="980" w:top="1440" w:right="439" w:bottom="1440" w:gutter="0" w:footer="0" w:header="0"/>
        </w:sectPr>
      </w:pPr>
    </w:p>
    <w:bookmarkStart w:id="30" w:name="page31"/>
    <w:bookmarkEnd w:id="30"/>
    <w:p>
      <w:pPr>
        <w:spacing w:after="0" w:line="271" w:lineRule="auto"/>
        <w:rPr>
          <w:sz w:val="20"/>
          <w:szCs w:val="20"/>
          <w:color w:val="auto"/>
        </w:rPr>
      </w:pPr>
      <w:r>
        <w:rPr>
          <w:rFonts w:ascii="Times New Roman" w:cs="Times New Roman" w:eastAsia="Times New Roman" w:hAnsi="Times New Roman"/>
          <w:sz w:val="22"/>
          <w:szCs w:val="22"/>
          <w:color w:val="auto"/>
        </w:rPr>
        <w:t>The Buyer agrees to the imprinting, so long as its required by this Section 2(f), of a restrictive legend on the Conversion Shares in substantially the following form:</w:t>
      </w:r>
    </w:p>
    <w:p>
      <w:pPr>
        <w:spacing w:after="0" w:line="158" w:lineRule="exact"/>
        <w:rPr>
          <w:sz w:val="20"/>
          <w:szCs w:val="20"/>
          <w:color w:val="auto"/>
        </w:rPr>
      </w:pPr>
    </w:p>
    <w:p>
      <w:pPr>
        <w:jc w:val="both"/>
        <w:ind w:left="660" w:right="660"/>
        <w:spacing w:after="0" w:line="248" w:lineRule="auto"/>
        <w:rPr>
          <w:sz w:val="20"/>
          <w:szCs w:val="20"/>
          <w:color w:val="auto"/>
        </w:rPr>
      </w:pPr>
      <w:r>
        <w:rPr>
          <w:rFonts w:ascii="Times New Roman" w:cs="Times New Roman" w:eastAsia="Times New Roman" w:hAnsi="Times New Roman"/>
          <w:sz w:val="22"/>
          <w:szCs w:val="22"/>
          <w:color w:val="auto"/>
        </w:rPr>
        <w:t>THE SECURITIES REPRESENTED BY THIS CERTIFICATE HAVE NOT BEEN REGISTERED UNDER THE SECURITIES ACT OF 1933, AS AMENDED, OR APPLICABLE STATE SECURITIES LAWS. THE SECURITIES HAVE BEEN ACQUIRED SOLELY FOR INVESTMENT PURPOSES AND NOT WITH A VIEW TOWARD RESALE AND MAY NOT BE OFFERED FOR SALE, SOLD, TRANSFERRED OR ASSIGNED IN THE ABSENCE OF AN EFFECTIVE REGISTRATION STATEMENT FOR THE SECURITIES UNDER THE SECURITIES ACT OF 1933, AS AMENDED, OR APPLICABLE STATE SECURITIES LAWS, OR AN OPINION OF COUNSEL, IN A GENERALLY ACCEPTABLE FORM, THAT REGISTRATION IS NOT REQUIRED UNDER SAID ACT OR APPLICABLE STATE SECURITIES LAWS. NOTWITHSTANDING THE FOREGOING, THE SECURITIES MAY BE PLEDGED IN CONNECTION WITH A BONA FIDE MARGIN ACCOUNT OR OTHER LOAN OR FINANCING ARRANGEMENT SECURED BY THE SECURITIES.</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Certificates, if any, evidencing the Conversion Shares shall not contain any legend (including the legend set forth above), (i) following any sale of such Conversion Shares pursuant to Rule 144, (ii) if such legend is not required under applicable requirements of the Securities Act (including judicial interpretations and pronouncements issued by the staff of the SEC), or (iii) while a registration statement (including the Registration Statement) covering the resale of such security is effective under the Securities Act,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in the case of sub-clause (iii), the Company has received a customary representation letter from such Buyer, the form and substance of which shall be reasonably satisfactory to the Company, confirming that such Buyer shall sell the Conversion Shares within seven Trading Days following the date of the delivery of such representation letter and shall return such securities to be relegended if such sale does not take place. If a legend is not required pursuant to the foregoing, the Company shall no later than two (2) Trading Days (or such earlier date as required pursuant to the Exchange Act (as defined below) or other applicable law, rule or regulation for the settlement of a trade initiated on the date such Buyer delivers such legended certificate representing such securities to the Company) following the delivery by a Buyer to the Company or the transfer agent (with notice to the Company) of a legended certificate representing such securities (endorsed or with stock powers attached, and otherwise in form necessary to affect the reissuance and/or transfer, if applicable), together with any other deliveries from such Buyer as may be required above in this Section 2(f), as directed by such Buyer, either: (A) provided that the Company’s transfer agent is participating in the Depository Trust Company (“</w:t>
      </w:r>
      <w:r>
        <w:rPr>
          <w:rFonts w:ascii="Times New Roman" w:cs="Times New Roman" w:eastAsia="Times New Roman" w:hAnsi="Times New Roman"/>
          <w:sz w:val="22"/>
          <w:szCs w:val="22"/>
          <w:u w:val="single" w:color="auto"/>
          <w:color w:val="auto"/>
        </w:rPr>
        <w:t>DTC</w:t>
      </w:r>
      <w:r>
        <w:rPr>
          <w:rFonts w:ascii="Times New Roman" w:cs="Times New Roman" w:eastAsia="Times New Roman" w:hAnsi="Times New Roman"/>
          <w:sz w:val="22"/>
          <w:szCs w:val="22"/>
          <w:color w:val="auto"/>
        </w:rPr>
        <w:t>”) Fast Automated Securities Transfer Program, credit the aggregate number of Common Shares to which such Buyer shall be entitled to such Buyer’s or its designee’s balance account with DTC through its Deposit/Withdrawal at Custodian system or (B) if the Company’s transfer agent is not participating in the DTC Fast Automated Securities Transfer Program, issue and deliver (via reputable overnight courier) to such Buyer, a certificate representing such securities that is free from all restrictive and other legends, registered in the name of such Buyer or its designee. The Company shall be responsible for any transfer agent</w:t>
      </w:r>
    </w:p>
    <w:p>
      <w:pPr>
        <w:sectPr>
          <w:pgSz w:w="11900" w:h="16838" w:orient="portrait"/>
          <w:cols w:equalWidth="0" w:num="1">
            <w:col w:w="11240"/>
          </w:cols>
          <w:pgMar w:left="320" w:top="1422" w:right="339" w:bottom="1440" w:gutter="0" w:footer="0" w:header="0"/>
        </w:sectPr>
      </w:pPr>
    </w:p>
    <w:bookmarkStart w:id="31" w:name="page32"/>
    <w:bookmarkEnd w:id="31"/>
    <w:p>
      <w:pPr>
        <w:jc w:val="both"/>
        <w:spacing w:after="0" w:line="251" w:lineRule="auto"/>
        <w:rPr>
          <w:sz w:val="20"/>
          <w:szCs w:val="20"/>
          <w:color w:val="auto"/>
        </w:rPr>
      </w:pPr>
      <w:r>
        <w:rPr>
          <w:rFonts w:ascii="Times New Roman" w:cs="Times New Roman" w:eastAsia="Times New Roman" w:hAnsi="Times New Roman"/>
          <w:sz w:val="22"/>
          <w:szCs w:val="22"/>
          <w:color w:val="auto"/>
        </w:rPr>
        <w:t>fees or DTC fees with respect to any issuance of Securities or the removal of any legends with respect to any Securities in accordance herewith. The Buyer agrees that the removal of a restrictive legend from certificates representing Securities as set forth in this Section 2(f) is predicated upon the Company’s reliance that the Buyer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w:t>
      </w:r>
    </w:p>
    <w:p>
      <w:pPr>
        <w:spacing w:after="0" w:line="181" w:lineRule="exact"/>
        <w:rPr>
          <w:sz w:val="20"/>
          <w:szCs w:val="20"/>
          <w:color w:val="auto"/>
        </w:rPr>
      </w:pPr>
    </w:p>
    <w:p>
      <w:pPr>
        <w:jc w:val="both"/>
        <w:ind w:left="100" w:right="120" w:firstLine="647"/>
        <w:spacing w:after="0" w:line="256" w:lineRule="auto"/>
        <w:tabs>
          <w:tab w:leader="none" w:pos="121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Authority</w:t>
      </w:r>
      <w:r>
        <w:rPr>
          <w:rFonts w:ascii="Times New Roman" w:cs="Times New Roman" w:eastAsia="Times New Roman" w:hAnsi="Times New Roman"/>
          <w:sz w:val="22"/>
          <w:szCs w:val="22"/>
          <w:color w:val="auto"/>
        </w:rPr>
        <w:t>. Such Buyer is an entity duly organized, validly existing and in good standing under the laws of the jurisdiction of its organization with the requisite power and authority to enter into and to consummate the transactions contemplated by the Transaction Documents to which it is a party and otherwise to carry out its obligations hereunder and thereunder.</w:t>
      </w:r>
    </w:p>
    <w:p>
      <w:pPr>
        <w:spacing w:after="0" w:line="203" w:lineRule="exact"/>
        <w:rPr>
          <w:rFonts w:ascii="Times New Roman" w:cs="Times New Roman" w:eastAsia="Times New Roman" w:hAnsi="Times New Roman"/>
          <w:sz w:val="22"/>
          <w:szCs w:val="22"/>
          <w:color w:val="auto"/>
        </w:rPr>
      </w:pPr>
    </w:p>
    <w:p>
      <w:pPr>
        <w:jc w:val="both"/>
        <w:ind w:left="100" w:right="100" w:firstLine="647"/>
        <w:spacing w:after="0" w:line="253" w:lineRule="auto"/>
        <w:tabs>
          <w:tab w:leader="none" w:pos="132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Authorization, Enforcement</w:t>
      </w:r>
      <w:r>
        <w:rPr>
          <w:rFonts w:ascii="Times New Roman" w:cs="Times New Roman" w:eastAsia="Times New Roman" w:hAnsi="Times New Roman"/>
          <w:sz w:val="22"/>
          <w:szCs w:val="22"/>
          <w:color w:val="auto"/>
        </w:rPr>
        <w:t>. The Transaction Documents to which such Buyer is a party have been duly and validly authorized, executed and delivered on behalf of such Buyer and shall constitute the legal, valid and binding obligations of such Buyer enforceable against such Buyer in accordance with their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205" w:lineRule="exact"/>
        <w:rPr>
          <w:rFonts w:ascii="Times New Roman" w:cs="Times New Roman" w:eastAsia="Times New Roman" w:hAnsi="Times New Roman"/>
          <w:sz w:val="22"/>
          <w:szCs w:val="22"/>
          <w:color w:val="auto"/>
        </w:rPr>
      </w:pPr>
    </w:p>
    <w:p>
      <w:pPr>
        <w:jc w:val="both"/>
        <w:ind w:left="100" w:right="100" w:firstLine="647"/>
        <w:spacing w:after="0" w:line="249" w:lineRule="auto"/>
        <w:tabs>
          <w:tab w:leader="none" w:pos="120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delivery and performance by such Buyer of this Agreement and the consummation by such Buyer of the transactions contemplated hereby will not (i) result in a violation of the organizational documents of such Buyer, (ii) conflict with, or constitute a default (or an event which with notice or lapse of time or both would become a default) under, or give to others any rights of termination, amendment, acceleration or cancellation of, any agreement, indenture or instrument to which such Buyer is a party or (iii) result in a violation of any law, rule, regulation, order, judgment or decree (including federal and state securities laws) applicable to such Buyer, except, in the case of clauses (ii) and (iii) above, for such conflicts, defaults, rights or violations which could not, individually or in the aggregate, reasonably be expected to have a material adverse effect on the ability of such Buyer to perform its obligations hereunder.</w:t>
      </w:r>
    </w:p>
    <w:p>
      <w:pPr>
        <w:spacing w:after="0" w:line="208" w:lineRule="exact"/>
        <w:rPr>
          <w:rFonts w:ascii="Times New Roman" w:cs="Times New Roman" w:eastAsia="Times New Roman" w:hAnsi="Times New Roman"/>
          <w:sz w:val="22"/>
          <w:szCs w:val="22"/>
          <w:color w:val="auto"/>
        </w:rPr>
      </w:pPr>
    </w:p>
    <w:p>
      <w:pPr>
        <w:jc w:val="both"/>
        <w:ind w:left="100" w:right="100" w:firstLine="647"/>
        <w:spacing w:after="0" w:line="251" w:lineRule="auto"/>
        <w:tabs>
          <w:tab w:leader="none" w:pos="125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Trading Activities</w:t>
      </w:r>
      <w:r>
        <w:rPr>
          <w:rFonts w:ascii="Times New Roman" w:cs="Times New Roman" w:eastAsia="Times New Roman" w:hAnsi="Times New Roman"/>
          <w:sz w:val="22"/>
          <w:szCs w:val="22"/>
          <w:color w:val="auto"/>
        </w:rPr>
        <w:t>. The Buyer has not directly or indirectly, nor has any Person acting on behalf of or pursuant to any understanding with the Buyer, engaged in any transactions in the securities of the Company (including, without limitation, any Short Sales (as defined below) involving the Company's securities) during the period commencing as of the time that the Buyer and the Company or the Company's agents agreed on terms regarding the specific investment in the Company contemplated by this Agreement (but not prior to August 22, 2025) and ending immediately prior to the execution of this Agreement by such Buyer.</w:t>
      </w:r>
    </w:p>
    <w:p>
      <w:pPr>
        <w:sectPr>
          <w:pgSz w:w="11900" w:h="16838" w:orient="portrait"/>
          <w:cols w:equalWidth="0" w:num="1">
            <w:col w:w="11240"/>
          </w:cols>
          <w:pgMar w:left="320" w:top="1422" w:right="339" w:bottom="1440" w:gutter="0" w:footer="0" w:header="0"/>
        </w:sectPr>
      </w:pPr>
    </w:p>
    <w:bookmarkStart w:id="32" w:name="page33"/>
    <w:bookmarkEnd w:id="32"/>
    <w:p>
      <w:pPr>
        <w:ind w:left="100" w:right="120" w:firstLine="647"/>
        <w:spacing w:after="0" w:line="271" w:lineRule="auto"/>
        <w:tabs>
          <w:tab w:leader="none" w:pos="1365"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General Solicitation</w:t>
      </w:r>
      <w:r>
        <w:rPr>
          <w:rFonts w:ascii="Times New Roman" w:cs="Times New Roman" w:eastAsia="Times New Roman" w:hAnsi="Times New Roman"/>
          <w:sz w:val="22"/>
          <w:szCs w:val="22"/>
          <w:color w:val="auto"/>
        </w:rPr>
        <w:t>. The Buyer is not purchasing or acquiring the Securities as a result of any general solicitation or general advertising (within the meaning of Regulation D) in connection with the offer or sale of the Securities.</w:t>
      </w:r>
    </w:p>
    <w:p>
      <w:pPr>
        <w:spacing w:after="0" w:line="184" w:lineRule="exact"/>
        <w:rPr>
          <w:rFonts w:ascii="Times New Roman" w:cs="Times New Roman" w:eastAsia="Times New Roman" w:hAnsi="Times New Roman"/>
          <w:sz w:val="22"/>
          <w:szCs w:val="22"/>
          <w:color w:val="auto"/>
        </w:rPr>
      </w:pPr>
    </w:p>
    <w:p>
      <w:pPr>
        <w:jc w:val="both"/>
        <w:ind w:left="100" w:right="100" w:firstLine="647"/>
        <w:spacing w:after="0" w:line="256" w:lineRule="auto"/>
        <w:tabs>
          <w:tab w:leader="none" w:pos="126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 an Affiliate</w:t>
      </w:r>
      <w:r>
        <w:rPr>
          <w:rFonts w:ascii="Times New Roman" w:cs="Times New Roman" w:eastAsia="Times New Roman" w:hAnsi="Times New Roman"/>
          <w:sz w:val="22"/>
          <w:szCs w:val="22"/>
          <w:color w:val="auto"/>
        </w:rPr>
        <w:t>. The Buyer is not (i) an officer or director of the Company or any of its Subsidiaries, (ii) an “affiliate” (as defined in Rule 144) of the Company or any of its Subsidiaries or (iii) a “beneficial owner” of more than 10% of the Common Shares (as defined for purposes of Rule 13d3­ of the Securities Exchange Act of 1934, as amended (the “</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w:t>
      </w:r>
    </w:p>
    <w:p>
      <w:pPr>
        <w:spacing w:after="0" w:line="203" w:lineRule="exact"/>
        <w:rPr>
          <w:rFonts w:ascii="Times New Roman" w:cs="Times New Roman" w:eastAsia="Times New Roman" w:hAnsi="Times New Roman"/>
          <w:sz w:val="22"/>
          <w:szCs w:val="22"/>
          <w:color w:val="auto"/>
        </w:rPr>
      </w:pPr>
    </w:p>
    <w:p>
      <w:pPr>
        <w:jc w:val="both"/>
        <w:ind w:firstLine="656"/>
        <w:spacing w:after="0" w:line="253" w:lineRule="auto"/>
        <w:tabs>
          <w:tab w:leader="none" w:pos="118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Evaluation of Risks</w:t>
      </w:r>
      <w:r>
        <w:rPr>
          <w:rFonts w:ascii="Times New Roman" w:cs="Times New Roman" w:eastAsia="Times New Roman" w:hAnsi="Times New Roman"/>
          <w:sz w:val="22"/>
          <w:szCs w:val="22"/>
          <w:color w:val="auto"/>
        </w:rPr>
        <w:t>. The Buyer has such knowledge and experience in financial, tax and business matters as to be capable of evaluating the merits and risks of, and bearing the economic risks entailed by, an investment in the Securities of the Company and of protecting its interests in connection with the transactions contemplated hereby. The Buyer acknowledges and agrees that its investment in the Company involves a high degree of risk, and that the Buyer may lose all or a part of its investment.</w:t>
      </w:r>
    </w:p>
    <w:p>
      <w:pPr>
        <w:spacing w:after="0" w:line="200" w:lineRule="exact"/>
        <w:rPr>
          <w:sz w:val="20"/>
          <w:szCs w:val="20"/>
          <w:color w:val="auto"/>
        </w:rPr>
      </w:pPr>
    </w:p>
    <w:p>
      <w:pPr>
        <w:spacing w:after="0" w:line="218" w:lineRule="exact"/>
        <w:rPr>
          <w:sz w:val="20"/>
          <w:szCs w:val="20"/>
          <w:color w:val="auto"/>
        </w:rPr>
      </w:pPr>
    </w:p>
    <w:p>
      <w:pPr>
        <w:ind w:left="480" w:hanging="382"/>
        <w:spacing w:after="0"/>
        <w:tabs>
          <w:tab w:leader="none" w:pos="48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 OF THE COMPANY.</w:t>
      </w:r>
    </w:p>
    <w:p>
      <w:pPr>
        <w:spacing w:after="0" w:line="2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Except as set forth in the SEC Documents (as defined below) that are available on the SEC’s website through the EDGAR system at least one (1) Business Day prior to the date of this Agreement and each Closing (in each case, unless context provides otherwise), and as set forth on the Disclosure Schedule (as defined below), the Company hereby makes the representations and warranties set forth below to each Buyer as of each Closing:</w:t>
      </w:r>
    </w:p>
    <w:p>
      <w:pPr>
        <w:spacing w:after="0" w:line="176" w:lineRule="exact"/>
        <w:rPr>
          <w:sz w:val="20"/>
          <w:szCs w:val="20"/>
          <w:color w:val="auto"/>
        </w:rPr>
      </w:pPr>
    </w:p>
    <w:p>
      <w:pPr>
        <w:jc w:val="both"/>
        <w:ind w:left="100" w:right="100" w:firstLine="647"/>
        <w:spacing w:after="0" w:line="248"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Qualification</w:t>
      </w:r>
      <w:r>
        <w:rPr>
          <w:rFonts w:ascii="Times New Roman" w:cs="Times New Roman" w:eastAsia="Times New Roman" w:hAnsi="Times New Roman"/>
          <w:sz w:val="22"/>
          <w:szCs w:val="22"/>
          <w:color w:val="auto"/>
        </w:rPr>
        <w:t>. The Company and each of its Subsidiaries are entities duly formed, validly existing and in good standing under the laws of the jurisdiction in which they are formed, and have the requisite power and authority to own their properties and to carry on their business as now being conducted and as presently proposed to be conducted.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any material adverse effect on (i) the business, properties, assets, liabilities, operations (including results thereof), condition (financial or otherwise) or of the Company and its Subsidiaries, taken as a whole, (ii) the transactions contemplated hereby or in any of the other Transaction Documents or any other agreements or instruments to be entered into by the Company in connection herewith or therewith or (iii) the authority or ability of the Company to perform any of its obligations under any of the Transaction Documents.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means any Person in which the Company, directly or indirectly, owns a majority of the outstanding capital stock having voting power or holds a majority of the equity or similar interest of such Person, and each of the foregoing, is individually referred to herein as a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22" w:right="339" w:bottom="1440" w:gutter="0" w:footer="0" w:header="0"/>
        </w:sectPr>
      </w:pPr>
    </w:p>
    <w:bookmarkStart w:id="33" w:name="page34"/>
    <w:bookmarkEnd w:id="33"/>
    <w:p>
      <w:pPr>
        <w:spacing w:after="0" w:line="225" w:lineRule="exact"/>
        <w:rPr>
          <w:sz w:val="20"/>
          <w:szCs w:val="20"/>
          <w:color w:val="auto"/>
        </w:rPr>
      </w:pPr>
    </w:p>
    <w:p>
      <w:pPr>
        <w:jc w:val="both"/>
        <w:ind w:left="-637" w:firstLine="647"/>
        <w:spacing w:after="0" w:line="259" w:lineRule="auto"/>
        <w:tabs>
          <w:tab w:leader="none" w:pos="45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Authorization; Enforcement; Validity</w:t>
      </w:r>
      <w:r>
        <w:rPr>
          <w:rFonts w:ascii="Times New Roman" w:cs="Times New Roman" w:eastAsia="Times New Roman" w:hAnsi="Times New Roman"/>
          <w:sz w:val="21"/>
          <w:szCs w:val="21"/>
          <w:color w:val="auto"/>
        </w:rPr>
        <w:t>. The Company has the requisite corporate power and authority to enter into and perform its obligations under this Agreement and the other Transaction Documents and to issue the Securities in accordance with the terms hereof and thereof. The execution and delivery of this Agreement and the other Transaction Documents by the Company and the consummation by the Company of the transactions contemplated hereby and thereby (including, without limitation, the issuance of the Convertible Debentures, and the reservation for issuance and issuance of the Conversion Shares issuable upon conversion of the Convertible Debentures), have been duly authorized by the Company's board of directors and no further filing, consent or authorization is required by the Company, its board of directors or its stockholders or other governmental body. This Agreement has been, and the other Transaction Documents to which the Company is a party will be prior to the Closing, duly executed and delivered by the Company, and, assuming the execution and delivery thereof and acceptance by the Buyer, to the extent applicable, will constitute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other laws relating to, or affecting generally, the enforcement of applicable creditors' rights and remedies and except as rights to indemnification and to contribution may be limited by federal or state securities law. “</w:t>
      </w:r>
      <w:r>
        <w:rPr>
          <w:rFonts w:ascii="Times New Roman" w:cs="Times New Roman" w:eastAsia="Times New Roman" w:hAnsi="Times New Roman"/>
          <w:sz w:val="21"/>
          <w:szCs w:val="21"/>
          <w:u w:val="single" w:color="auto"/>
          <w:color w:val="auto"/>
        </w:rPr>
        <w:t>Transaction Documents</w:t>
      </w:r>
      <w:r>
        <w:rPr>
          <w:rFonts w:ascii="Times New Roman" w:cs="Times New Roman" w:eastAsia="Times New Roman" w:hAnsi="Times New Roman"/>
          <w:sz w:val="21"/>
          <w:szCs w:val="21"/>
          <w:color w:val="auto"/>
        </w:rPr>
        <w:t>” means, collectively, this Agreement, the Registration Rights Agreement, the Convertible Debentures, the Global Guaranty, and each of the other agreements and instruments entered into by the Company or delivered by the Company in connection with the transactions contemplated hereby and thereby, as may be amended from time to time.</w:t>
      </w:r>
    </w:p>
    <w:p>
      <w:pPr>
        <w:spacing w:after="0" w:line="213" w:lineRule="exact"/>
        <w:rPr>
          <w:rFonts w:ascii="Times New Roman" w:cs="Times New Roman" w:eastAsia="Times New Roman" w:hAnsi="Times New Roman"/>
          <w:sz w:val="21"/>
          <w:szCs w:val="21"/>
          <w:color w:val="auto"/>
        </w:rPr>
      </w:pPr>
    </w:p>
    <w:p>
      <w:pPr>
        <w:jc w:val="both"/>
        <w:ind w:left="-637" w:firstLine="637"/>
        <w:spacing w:after="0" w:line="250" w:lineRule="auto"/>
        <w:tabs>
          <w:tab w:leader="none" w:pos="42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Securities</w:t>
      </w:r>
      <w:r>
        <w:rPr>
          <w:rFonts w:ascii="Times New Roman" w:cs="Times New Roman" w:eastAsia="Times New Roman" w:hAnsi="Times New Roman"/>
          <w:sz w:val="22"/>
          <w:szCs w:val="22"/>
          <w:color w:val="auto"/>
        </w:rPr>
        <w:t>. The issuance of the Securities has been duly authorized and, upon issuance and payment in accordance with the terms of the Transaction Documents, the Securities shall be validly issued, fully paid and nonassessable­ and free from all preemptive or similar rights, mortgages, defects, claims, liens, pledges, charges, taxes, rights of first refusal, encumbrances, security interests and other encumbrances (collectively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with respect to the issuance thereof. As of each Closing Date, the Company shall have reserved from its duly authorized capital stock not less than the Maximum Conversion Shares (as defined herein). Upon issuance or conversion in accordance with the Convertible Debentures, the Conversion Shares, when issued, will be validly issued, fully paid and nonassessable and free from all preemptive or similar rights or Liens with respect to the issue thereof, with the holders being entitled to all rights accorded to a holder of Common Shares.</w:t>
      </w:r>
    </w:p>
    <w:p>
      <w:pPr>
        <w:spacing w:after="0" w:line="206" w:lineRule="exact"/>
        <w:rPr>
          <w:rFonts w:ascii="Times New Roman" w:cs="Times New Roman" w:eastAsia="Times New Roman" w:hAnsi="Times New Roman"/>
          <w:sz w:val="22"/>
          <w:szCs w:val="22"/>
          <w:color w:val="auto"/>
        </w:rPr>
      </w:pPr>
    </w:p>
    <w:p>
      <w:pPr>
        <w:jc w:val="both"/>
        <w:ind w:left="-637" w:firstLine="647"/>
        <w:spacing w:after="0" w:line="251" w:lineRule="auto"/>
        <w:tabs>
          <w:tab w:leader="none" w:pos="53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The execution, delivery and performance of the Transaction Documents by the Company and the consummation by the Company of the transactions contemplated hereby and thereby (including, without limitation, the issuance of the Convertible Debentures, the Conversion Shares, and the reservation for issuance of the Conversion Shares) will not (i) result in a violation of the Certificate of Incorporation (as defined below), Bylaws (as defined below), certificate of formation, memorandum of association, articles of association, bylaws or other organizational documents of the Company or any of its Subsidiaries, or any capital stock or other securities of the Company or any of its</w:t>
      </w:r>
    </w:p>
    <w:p>
      <w:pPr>
        <w:sectPr>
          <w:pgSz w:w="11900" w:h="16838" w:orient="portrait"/>
          <w:cols w:equalWidth="0" w:num="1">
            <w:col w:w="10403"/>
          </w:cols>
          <w:pgMar w:left="1057" w:top="1440" w:right="439" w:bottom="1440" w:gutter="0" w:footer="0" w:header="0"/>
        </w:sectPr>
      </w:pPr>
    </w:p>
    <w:bookmarkStart w:id="34" w:name="page35"/>
    <w:bookmarkEnd w:id="34"/>
    <w:p>
      <w:pPr>
        <w:jc w:val="both"/>
        <w:spacing w:after="0" w:line="248" w:lineRule="auto"/>
        <w:rPr>
          <w:sz w:val="20"/>
          <w:szCs w:val="20"/>
          <w:color w:val="auto"/>
        </w:rPr>
      </w:pPr>
      <w:r>
        <w:rPr>
          <w:rFonts w:ascii="Times New Roman" w:cs="Times New Roman" w:eastAsia="Times New Roman" w:hAnsi="Times New Roman"/>
          <w:sz w:val="22"/>
          <w:szCs w:val="22"/>
          <w:color w:val="auto"/>
        </w:rPr>
        <w:t>Subsidiaries, (ii) conflict with, or constitute a default under, or give to others any rights of termination, amendment, acceleration or cancellation of, any agreement, indenture or instrument to which the Company or any of its Subsidiaries is a party, or (iii) result in a material violation of any law, rule, regulation, order, judgment or decree (including, without limitation, U.S. federal and state securities laws and regulations, the securities laws of the jurisdictions of the Company's incorporation or in which it or its subsidiaries operate and the rules and regulations of Nasdaq (the “</w:t>
      </w:r>
      <w:r>
        <w:rPr>
          <w:rFonts w:ascii="Times New Roman" w:cs="Times New Roman" w:eastAsia="Times New Roman" w:hAnsi="Times New Roman"/>
          <w:sz w:val="22"/>
          <w:szCs w:val="22"/>
          <w:u w:val="single" w:color="auto"/>
          <w:color w:val="auto"/>
        </w:rPr>
        <w:t>Principal Market</w:t>
      </w:r>
      <w:r>
        <w:rPr>
          <w:rFonts w:ascii="Times New Roman" w:cs="Times New Roman" w:eastAsia="Times New Roman" w:hAnsi="Times New Roman"/>
          <w:sz w:val="22"/>
          <w:szCs w:val="22"/>
          <w:color w:val="auto"/>
        </w:rPr>
        <w:t>,” provided however, that in the event the Common Shares are ever listed or traded on any of the New York Stock Exchange, or the NYSE American, the “Principal Market” shall mean that market on which the Common Shares are then listed or traded) and including all applicable laws, rules and regulations of the jurisdiction of incorporation of the Company) applicable to the Company or any of its Subsidiaries or by which any property or asset of the Company or any of its Subsidiaries is bound or affected, except in the case of (ii) for any conflict, default, right or violation that would not reasonably be expected to result in a Material Adverse Effect.</w:t>
      </w:r>
    </w:p>
    <w:p>
      <w:pPr>
        <w:spacing w:after="0" w:line="216" w:lineRule="exact"/>
        <w:rPr>
          <w:sz w:val="20"/>
          <w:szCs w:val="20"/>
          <w:color w:val="auto"/>
        </w:rPr>
      </w:pPr>
    </w:p>
    <w:p>
      <w:pPr>
        <w:jc w:val="both"/>
        <w:ind w:firstLine="647"/>
        <w:spacing w:after="0" w:line="247" w:lineRule="auto"/>
        <w:tabs>
          <w:tab w:leader="none" w:pos="108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The Company is not required to obtain any consent from, authorization or order of, or make any filing or registration with (other than any filings as may be required by any federal or state securities agencies and any filings as may be required by the Principal Market), any Governmental Entity (as defined below) or any regulatory or selfregulatory­ agency or any other Person in order for it to execute, deliver or perform any of its obligations under or contemplated by the Transaction Documents, in each case, in accordance with the terms hereof or thereof, other than initial consent from WTI Fund X, Inc. and WTI Fund XI, Inc. (together, the “</w:t>
      </w:r>
      <w:r>
        <w:rPr>
          <w:rFonts w:ascii="Times New Roman" w:cs="Times New Roman" w:eastAsia="Times New Roman" w:hAnsi="Times New Roman"/>
          <w:sz w:val="22"/>
          <w:szCs w:val="22"/>
          <w:u w:val="single" w:color="auto"/>
          <w:color w:val="auto"/>
        </w:rPr>
        <w:t>WTI Lenders</w:t>
      </w:r>
      <w:r>
        <w:rPr>
          <w:rFonts w:ascii="Times New Roman" w:cs="Times New Roman" w:eastAsia="Times New Roman" w:hAnsi="Times New Roman"/>
          <w:sz w:val="22"/>
          <w:szCs w:val="22"/>
          <w:color w:val="auto"/>
        </w:rPr>
        <w:t>”). Other than certain future consents from the WTI Lenders, all consents, authorizations, orders, filings and registrations which the Company or any Subsidiary is required to obtain pursuant to the preceding sentence have been or will be obtained or effected on or prior to the First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The Company is not in violation of the requirements of the Principal Market and has no knowledge of any facts or circumstances which could reasonably lead to delisting or suspension of the Common Shares in the foreseeable future. The Company has notified or will notify the Principal Market of the issuance of all of the Securities hereunder, which does not require obtaining the approval of the stockholders of the Company or any other Person or Governmental Entity, and the Principal Market has completed its review of the related Listing of Additional Shares form. “</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sectPr>
          <w:pgSz w:w="11900" w:h="16838" w:orient="portrait"/>
          <w:cols w:equalWidth="0" w:num="1">
            <w:col w:w="11040"/>
          </w:cols>
          <w:pgMar w:left="420" w:top="1422" w:right="439" w:bottom="1440" w:gutter="0" w:footer="0" w:header="0"/>
        </w:sectPr>
      </w:pPr>
    </w:p>
    <w:bookmarkStart w:id="35" w:name="page36"/>
    <w:bookmarkEnd w:id="35"/>
    <w:p>
      <w:pPr>
        <w:jc w:val="both"/>
        <w:ind w:left="-647" w:firstLine="647"/>
        <w:spacing w:after="0" w:line="247" w:lineRule="auto"/>
        <w:tabs>
          <w:tab w:leader="none" w:pos="47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 Regarding Buyer's Purchase of Securities</w:t>
      </w:r>
      <w:r>
        <w:rPr>
          <w:rFonts w:ascii="Times New Roman" w:cs="Times New Roman" w:eastAsia="Times New Roman" w:hAnsi="Times New Roman"/>
          <w:sz w:val="22"/>
          <w:szCs w:val="22"/>
          <w:color w:val="auto"/>
        </w:rPr>
        <w:t>. The Company acknowledges and agrees that each Buyer is acting solely in the capacity of an arm's length purchaser with respect to the Transaction Documents and the transactions contemplated hereby and thereby and that no Buyer is (i) an officer or director of the Company or any of its Subsidiaries, (ii) to its knowledge, an "affiliate" (as defined in Rule 144 promulgated under the Securities Act (or a successor rule thereto) (collectively, “</w:t>
      </w:r>
      <w:r>
        <w:rPr>
          <w:rFonts w:ascii="Times New Roman" w:cs="Times New Roman" w:eastAsia="Times New Roman" w:hAnsi="Times New Roman"/>
          <w:sz w:val="22"/>
          <w:szCs w:val="22"/>
          <w:u w:val="single" w:color="auto"/>
          <w:color w:val="auto"/>
        </w:rPr>
        <w:t>Rule 144</w:t>
      </w:r>
      <w:r>
        <w:rPr>
          <w:rFonts w:ascii="Times New Roman" w:cs="Times New Roman" w:eastAsia="Times New Roman" w:hAnsi="Times New Roman"/>
          <w:sz w:val="22"/>
          <w:szCs w:val="22"/>
          <w:color w:val="auto"/>
        </w:rPr>
        <w:t>”)) of the Company or any of its Subsidiaries or (iii) to its knowledge, a “beneficial owner” of more than 10% of the Common Shares (as defined for purposes of Rule 13d3­ of the Exchange Act). The Company further acknowledges that no Buyer (nor any affiliate of any Buyer) is acting as a financial advisor or fiduciary of the Company or any of its Subsidiaries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further represents to each Buyer that the Company's decision to enter into the Transaction Documents to which it is a party has been based solely on the independent evaluation by the Company and its representatives.</w:t>
      </w:r>
    </w:p>
    <w:p>
      <w:pPr>
        <w:spacing w:after="0" w:line="233" w:lineRule="exact"/>
        <w:rPr>
          <w:rFonts w:ascii="Times New Roman" w:cs="Times New Roman" w:eastAsia="Times New Roman" w:hAnsi="Times New Roman"/>
          <w:sz w:val="22"/>
          <w:szCs w:val="22"/>
          <w:color w:val="auto"/>
        </w:rPr>
      </w:pPr>
    </w:p>
    <w:p>
      <w:pPr>
        <w:jc w:val="both"/>
        <w:ind w:left="-647" w:firstLine="647"/>
        <w:spacing w:after="0" w:line="250" w:lineRule="auto"/>
        <w:tabs>
          <w:tab w:leader="none" w:pos="45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Integrated Offering</w:t>
      </w:r>
      <w:r>
        <w:rPr>
          <w:rFonts w:ascii="Times New Roman" w:cs="Times New Roman" w:eastAsia="Times New Roman" w:hAnsi="Times New Roman"/>
          <w:sz w:val="22"/>
          <w:szCs w:val="22"/>
          <w:color w:val="auto"/>
        </w:rPr>
        <w:t>. None of the Company, its Subsidiaries or any of their affiliates, nor any Person acting on their behalf has, directly or indirectly, made any offers or sales of any security or solicited any offers to buy any security, under circumstances that would cause this offering of the Securities to require approval of stockholders of the Company under any applicable stockholders approval provisions, including, without limitation, under the rules and regulations of any exchange or automated quotation system on which any of the securities of the Company are listed or designated for quotation. None of the Company, its Subsidiaries, their affiliates nor any Person acting on their behalf will take any action or steps that would cause the offering of any of the Securities to be integrated with other offerings of securities of the Company.</w:t>
      </w:r>
    </w:p>
    <w:p>
      <w:pPr>
        <w:spacing w:after="0" w:line="207" w:lineRule="exact"/>
        <w:rPr>
          <w:rFonts w:ascii="Times New Roman" w:cs="Times New Roman" w:eastAsia="Times New Roman" w:hAnsi="Times New Roman"/>
          <w:sz w:val="22"/>
          <w:szCs w:val="22"/>
          <w:color w:val="auto"/>
        </w:rPr>
      </w:pPr>
    </w:p>
    <w:p>
      <w:pPr>
        <w:jc w:val="both"/>
        <w:ind w:left="-647" w:firstLine="647"/>
        <w:spacing w:after="0" w:line="256" w:lineRule="auto"/>
        <w:tabs>
          <w:tab w:leader="none" w:pos="4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Dilutive Effect</w:t>
      </w:r>
      <w:r>
        <w:rPr>
          <w:rFonts w:ascii="Times New Roman" w:cs="Times New Roman" w:eastAsia="Times New Roman" w:hAnsi="Times New Roman"/>
          <w:sz w:val="22"/>
          <w:szCs w:val="22"/>
          <w:color w:val="auto"/>
        </w:rPr>
        <w:t>. The Company understands and acknowledges that the number of Conversion Shares will increase in certain circumstances. The Company further acknowledges its obligation to issue the Conversion Shares upon conversion of the Convertible Debentures in accordance with the terms thereof is, absolute and unconditional regardless of the dilutive effect that such issuance may have on the ownership interests of other stockholders of the Company.</w:t>
      </w:r>
    </w:p>
    <w:p>
      <w:pPr>
        <w:spacing w:after="0" w:line="203" w:lineRule="exact"/>
        <w:rPr>
          <w:rFonts w:ascii="Times New Roman" w:cs="Times New Roman" w:eastAsia="Times New Roman" w:hAnsi="Times New Roman"/>
          <w:sz w:val="22"/>
          <w:szCs w:val="22"/>
          <w:color w:val="auto"/>
        </w:rPr>
      </w:pPr>
    </w:p>
    <w:p>
      <w:pPr>
        <w:jc w:val="both"/>
        <w:ind w:left="-647" w:firstLine="647"/>
        <w:spacing w:after="0" w:line="250" w:lineRule="auto"/>
        <w:tabs>
          <w:tab w:leader="none" w:pos="43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Takeover Protections; Rights Agreement</w:t>
      </w:r>
      <w:r>
        <w:rPr>
          <w:rFonts w:ascii="Times New Roman" w:cs="Times New Roman" w:eastAsia="Times New Roman" w:hAnsi="Times New Roman"/>
          <w:sz w:val="22"/>
          <w:szCs w:val="22"/>
          <w:color w:val="auto"/>
        </w:rPr>
        <w:t>. The Company and its board of directors have taken all necessary action, if any, in order to render inapplicable any control share acquisition, interested stockholders, business combination, poison pill (including, without limitation, any distribution under a rights agreement), stockholders rights plan or other similar antitakeover­ provision under the Certificate of Incorporation, Bylaws or other organizational documents or the laws of the jurisdiction of its incorporation or otherwise which is or could become applicable to any Buyer as a result of the transactions contemplated by this Agreement, including, without limitation, the Company's issuance of the Securities and any Buyer's ownership of the Securities.</w:t>
      </w:r>
    </w:p>
    <w:p>
      <w:pPr>
        <w:sectPr>
          <w:pgSz w:w="11900" w:h="16838" w:orient="portrait"/>
          <w:cols w:equalWidth="0" w:num="1">
            <w:col w:w="10393"/>
          </w:cols>
          <w:pgMar w:left="1067" w:top="1422" w:right="439" w:bottom="1440" w:gutter="0" w:footer="0" w:header="0"/>
        </w:sectPr>
      </w:pPr>
    </w:p>
    <w:bookmarkStart w:id="36" w:name="page37"/>
    <w:bookmarkEnd w:id="36"/>
    <w:p>
      <w:pPr>
        <w:spacing w:after="0" w:line="225" w:lineRule="exact"/>
        <w:rPr>
          <w:sz w:val="20"/>
          <w:szCs w:val="20"/>
          <w:color w:val="auto"/>
        </w:rPr>
      </w:pPr>
    </w:p>
    <w:p>
      <w:pPr>
        <w:jc w:val="both"/>
        <w:ind w:left="-647" w:firstLine="647"/>
        <w:spacing w:after="0" w:line="258" w:lineRule="auto"/>
        <w:tabs>
          <w:tab w:leader="none" w:pos="47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 Documents; Financial Statements</w:t>
      </w:r>
      <w:r>
        <w:rPr>
          <w:rFonts w:ascii="Times New Roman" w:cs="Times New Roman" w:eastAsia="Times New Roman" w:hAnsi="Times New Roman"/>
          <w:sz w:val="21"/>
          <w:szCs w:val="21"/>
          <w:color w:val="auto"/>
        </w:rPr>
        <w:t>. Except, in each case, as would not be reasonably anticipated to have a Material Adverse Effect, since October 2, 2024, the Company has timely filed all reports, schedules, forms, proxy statements, statements and other documents required to be filed by it with the SEC pursuant to the reporting requirements of the Exchange Act, which, for the avoidance of doubt, include any permitted extensions under Rule 12b-25 of the Exchange Act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21"/>
          <w:szCs w:val="21"/>
          <w:u w:val="single" w:color="auto"/>
          <w:color w:val="auto"/>
        </w:rPr>
        <w:t>SEC Documents</w:t>
      </w:r>
      <w:r>
        <w:rPr>
          <w:rFonts w:ascii="Times New Roman" w:cs="Times New Roman" w:eastAsia="Times New Roman" w:hAnsi="Times New Roman"/>
          <w:sz w:val="21"/>
          <w:szCs w:val="21"/>
          <w:color w:val="auto"/>
        </w:rPr>
        <w:t>”). The Company has delivered or has made available to the Buyers or their respective representatives true, correct and complete copies of any the SEC Documents not available on the EDGAR system. As of their respective dates, the SEC Documents complied in all material respects with the requirements of the Exchange Act or the Securities Act, as applicable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 No other written information provided by or on behalf of the Company to any of the Buyers which is not included in the SEC Documents (including, without limitation, information referred to in Section 2(d))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nor is the Company currently aware of facts or circumstances which would require the Company to amend or restate any of the Financial Statements, in each case, in order for any of the Financials Statements to be in compliance with GAAP and the rules and regulations of the SEC. The Company has not been informed by its independent accountants</w:t>
      </w:r>
    </w:p>
    <w:p>
      <w:pPr>
        <w:sectPr>
          <w:pgSz w:w="11900" w:h="16838" w:orient="portrait"/>
          <w:cols w:equalWidth="0" w:num="1">
            <w:col w:w="10393"/>
          </w:cols>
          <w:pgMar w:left="1067" w:top="1440" w:right="439" w:bottom="1440" w:gutter="0" w:footer="0" w:header="0"/>
        </w:sectPr>
      </w:pPr>
    </w:p>
    <w:bookmarkStart w:id="37" w:name="page38"/>
    <w:bookmarkEnd w:id="37"/>
    <w:p>
      <w:pPr>
        <w:spacing w:after="0" w:line="271" w:lineRule="auto"/>
        <w:rPr>
          <w:sz w:val="20"/>
          <w:szCs w:val="20"/>
          <w:color w:val="auto"/>
        </w:rPr>
      </w:pPr>
      <w:r>
        <w:rPr>
          <w:rFonts w:ascii="Times New Roman" w:cs="Times New Roman" w:eastAsia="Times New Roman" w:hAnsi="Times New Roman"/>
          <w:sz w:val="22"/>
          <w:szCs w:val="22"/>
          <w:color w:val="auto"/>
        </w:rPr>
        <w:t>that they recommend that the Company amend or restate any of the Financial Statements or that there is any need for the Company to amend or restate any of the Financial Statements.</w:t>
      </w:r>
    </w:p>
    <w:p>
      <w:pPr>
        <w:spacing w:after="0" w:line="198" w:lineRule="exact"/>
        <w:rPr>
          <w:sz w:val="20"/>
          <w:szCs w:val="20"/>
          <w:color w:val="auto"/>
        </w:rPr>
      </w:pPr>
    </w:p>
    <w:p>
      <w:pPr>
        <w:jc w:val="both"/>
        <w:ind w:firstLine="647"/>
        <w:spacing w:after="0" w:line="247" w:lineRule="auto"/>
        <w:tabs>
          <w:tab w:leader="none" w:pos="11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Certain Changes</w:t>
      </w:r>
      <w:r>
        <w:rPr>
          <w:rFonts w:ascii="Times New Roman" w:cs="Times New Roman" w:eastAsia="Times New Roman" w:hAnsi="Times New Roman"/>
          <w:sz w:val="22"/>
          <w:szCs w:val="22"/>
          <w:color w:val="auto"/>
        </w:rPr>
        <w:t>. Since the date of the Company's most recent audited financial statements contained in a Form 10-K or a Form S-1, there has been no Material Adverse Effect, nor any event or occurrence specifically affecting the Company or its Subsidiaries that would be reasonably expected to result in a Material Adverse Effect. Since the date of the Company's most recent audited financial statements contained in a Form 10-K or Form S-1, neither the Company nor any of its Subsidiaries has (i) declared or paid any dividends on the Common Shares, (ii) sold any material assets, individually or in the aggregate, outside of the ordinary course of business or (iii) made any material capital expenditures, individually or in the aggregate, outside of the ordinary course of business.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w:t>
      </w:r>
    </w:p>
    <w:p>
      <w:pPr>
        <w:spacing w:after="0" w:line="227" w:lineRule="exact"/>
        <w:rPr>
          <w:rFonts w:ascii="Times New Roman" w:cs="Times New Roman" w:eastAsia="Times New Roman" w:hAnsi="Times New Roman"/>
          <w:sz w:val="22"/>
          <w:szCs w:val="22"/>
          <w:color w:val="auto"/>
        </w:rPr>
      </w:pPr>
    </w:p>
    <w:p>
      <w:pPr>
        <w:jc w:val="both"/>
        <w:ind w:firstLine="647"/>
        <w:spacing w:after="0" w:line="251" w:lineRule="auto"/>
        <w:tabs>
          <w:tab w:leader="none" w:pos="124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Undisclosed Events, Liabilities, Developments or Circumstances</w:t>
      </w:r>
      <w:r>
        <w:rPr>
          <w:rFonts w:ascii="Times New Roman" w:cs="Times New Roman" w:eastAsia="Times New Roman" w:hAnsi="Times New Roman"/>
          <w:sz w:val="22"/>
          <w:szCs w:val="22"/>
          <w:color w:val="auto"/>
        </w:rPr>
        <w:t>. No event, liability, development or circumstance has occurred or exists, specific to the Company, any of its Subsidiaries or any of their respective businesses, properties, liabilities, prospects, operations (including results thereof) or condition (financial or otherwise), that (i) would be required to be disclosed by the Company under applicable securities laws on a registration statement filed with the SEC relating to an issuance and sale by the Company of its Common Shares and which has not been publicly announced, or (ii) would reasonably be expected to have a Material Adverse Effect.</w:t>
      </w:r>
    </w:p>
    <w:p>
      <w:pPr>
        <w:spacing w:after="0" w:line="208" w:lineRule="exact"/>
        <w:rPr>
          <w:rFonts w:ascii="Times New Roman" w:cs="Times New Roman" w:eastAsia="Times New Roman" w:hAnsi="Times New Roman"/>
          <w:sz w:val="22"/>
          <w:szCs w:val="22"/>
          <w:color w:val="auto"/>
        </w:rPr>
      </w:pPr>
    </w:p>
    <w:p>
      <w:pPr>
        <w:jc w:val="both"/>
        <w:ind w:firstLine="647"/>
        <w:spacing w:after="0" w:line="247" w:lineRule="auto"/>
        <w:tabs>
          <w:tab w:leader="none" w:pos="114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Conduct of Business; Regulatory Permits</w:t>
      </w:r>
      <w:r>
        <w:rPr>
          <w:rFonts w:ascii="Times New Roman" w:cs="Times New Roman" w:eastAsia="Times New Roman" w:hAnsi="Times New Roman"/>
          <w:sz w:val="22"/>
          <w:szCs w:val="22"/>
          <w:color w:val="auto"/>
        </w:rPr>
        <w:t>. Neither the Company nor any of its Subsidiaries is in violation of any term under its Certificate of Incorporation, any certificate of designation, preferences or rights of any other outstanding series of preferred stock of the Company or any of its Subsidiaries or Bylaws or their organizational charter, certificate of formation, memorandum of association, articles of association, Certificate of Incorporation or certificate of incorporation or bylaws, respectively. Neither the Company nor any of its Subsidiaries is in violation of any judgment, decree or order or any statute, ordinance, rule or regulation applicable to the Company or any of its Subsidiaries, and neither the Company nor any of its Subsidiaries will conduct its business in violation of any of the foregoing, except in all cases for violations which would not reasonably be expected to have a Material Adverse Effect. Without limiting the generality of the foregoing, the Company is not in material violation of any of the rules, regulations or requirements of the Principal Market, and has no knowledge of any facts or circumstances that could reasonably lead to delisting or suspension of trading of the Common Shares by the Principal Market in the foreseeable future.</w:t>
      </w:r>
    </w:p>
    <w:p>
      <w:pPr>
        <w:spacing w:after="0" w:line="8" w:lineRule="exact"/>
        <w:rPr>
          <w:rFonts w:ascii="Times New Roman" w:cs="Times New Roman" w:eastAsia="Times New Roman" w:hAnsi="Times New Roman"/>
          <w:sz w:val="22"/>
          <w:szCs w:val="22"/>
          <w:color w:val="auto"/>
        </w:rPr>
      </w:pPr>
    </w:p>
    <w:p>
      <w:pPr>
        <w:jc w:val="both"/>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October 3, 2024, (i) the Common Shares have been listed or designated for quotation on the Principal Market, (ii) trading in the Common Shares has not been suspended by the SEC or the Principal Market and (iii) the Company has received no communication, written or oral,</w:t>
      </w:r>
    </w:p>
    <w:p>
      <w:pPr>
        <w:sectPr>
          <w:pgSz w:w="11900" w:h="16838" w:orient="portrait"/>
          <w:cols w:equalWidth="0" w:num="1">
            <w:col w:w="11040"/>
          </w:cols>
          <w:pgMar w:left="420" w:top="1422" w:right="439" w:bottom="1440" w:gutter="0" w:footer="0" w:header="0"/>
        </w:sectPr>
      </w:pPr>
    </w:p>
    <w:bookmarkStart w:id="38" w:name="page39"/>
    <w:bookmarkEnd w:id="38"/>
    <w:p>
      <w:pPr>
        <w:jc w:val="both"/>
        <w:ind w:left="2"/>
        <w:spacing w:after="0" w:line="248" w:lineRule="auto"/>
        <w:rPr>
          <w:sz w:val="20"/>
          <w:szCs w:val="20"/>
          <w:color w:val="auto"/>
        </w:rPr>
      </w:pPr>
      <w:r>
        <w:rPr>
          <w:rFonts w:ascii="Times New Roman" w:cs="Times New Roman" w:eastAsia="Times New Roman" w:hAnsi="Times New Roman"/>
          <w:sz w:val="22"/>
          <w:szCs w:val="22"/>
          <w:color w:val="auto"/>
        </w:rPr>
        <w:t>from the SEC or the Principal Market regarding the suspension or delisting of the Common Shares from the Principal Market, which has not been publicly disclosed.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reasonably be expected to have, individually or in the aggregate, a Material Adverse Effect, and neither the Company nor any of its Subsidiaries has received any notice of proceedings relating to the revocation or modification of any such certificate, authorization or permit. There is no agreement, commitment, judgment, injunction, order or decree binding upon the Company or any of its Subsidiaries or to which the Company or any of its Subsidiaries is a party which has or would reasonably be expected to have the effect of prohibiting or materially impairing any business practice of the Company or any of its Subsidiaries, any acquisition of property by the Company or any of its Subsidiaries or the conduct of business by the Company or any of its Subsidiaries as currently conducted other than such effects, individually or in the aggregate, which have not had and would not reasonably be expected to have a Material Adverse Effect on the Company or any of its Subsidiaries.</w:t>
      </w:r>
    </w:p>
    <w:p>
      <w:pPr>
        <w:spacing w:after="0" w:line="211" w:lineRule="exact"/>
        <w:rPr>
          <w:sz w:val="20"/>
          <w:szCs w:val="20"/>
          <w:color w:val="auto"/>
        </w:rPr>
      </w:pPr>
    </w:p>
    <w:p>
      <w:pPr>
        <w:jc w:val="both"/>
        <w:ind w:left="2" w:firstLine="647"/>
        <w:spacing w:after="0" w:line="259" w:lineRule="auto"/>
        <w:tabs>
          <w:tab w:leader="none" w:pos="1210"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Foreign Corrupt Practices</w:t>
      </w:r>
      <w:r>
        <w:rPr>
          <w:rFonts w:ascii="Times New Roman" w:cs="Times New Roman" w:eastAsia="Times New Roman" w:hAnsi="Times New Roman"/>
          <w:sz w:val="21"/>
          <w:szCs w:val="21"/>
          <w:color w:val="auto"/>
        </w:rPr>
        <w:t>. Neither the Company nor any of its Subsidiaries nor any director, officer, agent, employee, nor any other Person acting for or on behalf of the Company or any of its Subsidiaries (individually and collectively, a “</w:t>
      </w:r>
      <w:r>
        <w:rPr>
          <w:rFonts w:ascii="Times New Roman" w:cs="Times New Roman" w:eastAsia="Times New Roman" w:hAnsi="Times New Roman"/>
          <w:sz w:val="21"/>
          <w:szCs w:val="21"/>
          <w:u w:val="single" w:color="auto"/>
          <w:color w:val="auto"/>
        </w:rPr>
        <w:t>Company Affiliate</w:t>
      </w:r>
      <w:r>
        <w:rPr>
          <w:rFonts w:ascii="Times New Roman" w:cs="Times New Roman" w:eastAsia="Times New Roman" w:hAnsi="Times New Roman"/>
          <w:sz w:val="21"/>
          <w:szCs w:val="21"/>
          <w:color w:val="auto"/>
        </w:rPr>
        <w:t>”) have violated the U.S. Foreign Corrupt Practices Act (the “</w:t>
      </w:r>
      <w:r>
        <w:rPr>
          <w:rFonts w:ascii="Times New Roman" w:cs="Times New Roman" w:eastAsia="Times New Roman" w:hAnsi="Times New Roman"/>
          <w:sz w:val="21"/>
          <w:szCs w:val="21"/>
          <w:u w:val="single" w:color="auto"/>
          <w:color w:val="auto"/>
        </w:rPr>
        <w:t>FCPA</w:t>
      </w:r>
      <w:r>
        <w:rPr>
          <w:rFonts w:ascii="Times New Roman" w:cs="Times New Roman" w:eastAsia="Times New Roman" w:hAnsi="Times New Roman"/>
          <w:sz w:val="21"/>
          <w:szCs w:val="21"/>
          <w:color w:val="auto"/>
        </w:rPr>
        <w:t>) or any other applicable antibribery­ or anticorruption­ laws, nor has any Company Affiliate offered, paid, promised to pay, or authorized the payment of any 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Times New Roman" w:cs="Times New Roman" w:eastAsia="Times New Roman" w:hAnsi="Times New Roman"/>
          <w:sz w:val="21"/>
          <w:szCs w:val="21"/>
          <w:u w:val="single" w:color="auto"/>
          <w:color w:val="auto"/>
        </w:rPr>
        <w:t>Government Official</w:t>
      </w:r>
      <w:r>
        <w:rPr>
          <w:rFonts w:ascii="Times New Roman" w:cs="Times New Roman" w:eastAsia="Times New Roman" w:hAnsi="Times New Roman"/>
          <w:sz w:val="21"/>
          <w:szCs w:val="21"/>
          <w:color w:val="auto"/>
        </w:rPr>
        <w:t>”) or to any Person under circumstances where such Company Affiliate knew or was aware of a high probability that all or a portion of such money or thing of value would be offered, given or promised, directly or indirectly, to any Government Official, for the purpose, in violation of applicable law, of: (i) (A)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w:t>
      </w:r>
    </w:p>
    <w:p>
      <w:pPr>
        <w:spacing w:after="0" w:line="3" w:lineRule="exact"/>
        <w:rPr>
          <w:rFonts w:ascii="Times New Roman" w:cs="Times New Roman" w:eastAsia="Times New Roman" w:hAnsi="Times New Roman"/>
          <w:sz w:val="21"/>
          <w:szCs w:val="21"/>
          <w:color w:val="auto"/>
        </w:rPr>
      </w:pPr>
    </w:p>
    <w:p>
      <w:pPr>
        <w:ind w:left="2" w:right="20" w:hanging="2"/>
        <w:spacing w:after="0" w:line="259" w:lineRule="auto"/>
        <w:tabs>
          <w:tab w:leader="none" w:pos="35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assisting the Company or its Subsidiaries in obtaining or retaining business for or with, or directing business to, the Company or its Subsidiaries.</w:t>
      </w:r>
    </w:p>
    <w:p>
      <w:pPr>
        <w:spacing w:after="0" w:line="197" w:lineRule="exact"/>
        <w:rPr>
          <w:rFonts w:ascii="Times New Roman" w:cs="Times New Roman" w:eastAsia="Times New Roman" w:hAnsi="Times New Roman"/>
          <w:sz w:val="22"/>
          <w:szCs w:val="22"/>
          <w:color w:val="auto"/>
        </w:rPr>
      </w:pPr>
    </w:p>
    <w:p>
      <w:pPr>
        <w:ind w:left="1082" w:hanging="433"/>
        <w:spacing w:after="0"/>
        <w:tabs>
          <w:tab w:leader="none" w:pos="108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Capitalization</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jc w:val="both"/>
        <w:ind w:left="642" w:firstLine="564"/>
        <w:spacing w:after="0" w:line="253" w:lineRule="auto"/>
        <w:tabs>
          <w:tab w:leader="none" w:pos="1710"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Authorized and Outstanding Capital Stock</w:t>
      </w:r>
      <w:r>
        <w:rPr>
          <w:rFonts w:ascii="Times New Roman" w:cs="Times New Roman" w:eastAsia="Times New Roman" w:hAnsi="Times New Roman"/>
          <w:sz w:val="22"/>
          <w:szCs w:val="22"/>
          <w:color w:val="auto"/>
        </w:rPr>
        <w:t>. As of the date hereof, the authorized capital stock of the Company consists of 250,000,000 Common Shares and 25,000,000 shares of preferred stock, par value $0.0001, of which 56,079,990 Common Shares are issued and outstanding, 33,144 shares of preferred stock, designated as Series B preferred stock, are issued and outstanding, and 150,000 shares of preferred stock, designated as Series C preferred stock, are issued and</w:t>
      </w:r>
    </w:p>
    <w:p>
      <w:pPr>
        <w:sectPr>
          <w:pgSz w:w="11900" w:h="16838" w:orient="portrait"/>
          <w:cols w:equalWidth="0" w:num="1">
            <w:col w:w="11042"/>
          </w:cols>
          <w:pgMar w:left="418" w:top="1422" w:right="439" w:bottom="1440" w:gutter="0" w:footer="0" w:header="0"/>
        </w:sectPr>
      </w:pPr>
    </w:p>
    <w:bookmarkStart w:id="39" w:name="page40"/>
    <w:bookmarkEnd w:id="39"/>
    <w:p>
      <w:pPr>
        <w:spacing w:after="0" w:line="271" w:lineRule="auto"/>
        <w:rPr>
          <w:sz w:val="20"/>
          <w:szCs w:val="20"/>
          <w:color w:val="auto"/>
        </w:rPr>
      </w:pPr>
      <w:r>
        <w:rPr>
          <w:rFonts w:ascii="Times New Roman" w:cs="Times New Roman" w:eastAsia="Times New Roman" w:hAnsi="Times New Roman"/>
          <w:sz w:val="22"/>
          <w:szCs w:val="22"/>
          <w:color w:val="auto"/>
        </w:rPr>
        <w:t>outstanding. As of the date hereof, the Company has reserved 45,316,206 Common Shares for issuance to parties or Persons other than the Buyers.</w:t>
      </w:r>
    </w:p>
    <w:p>
      <w:pPr>
        <w:spacing w:after="0" w:line="198" w:lineRule="exact"/>
        <w:rPr>
          <w:sz w:val="20"/>
          <w:szCs w:val="20"/>
          <w:color w:val="auto"/>
        </w:rPr>
      </w:pPr>
    </w:p>
    <w:p>
      <w:pPr>
        <w:jc w:val="both"/>
        <w:ind w:firstLine="564"/>
        <w:spacing w:after="0" w:line="248" w:lineRule="auto"/>
        <w:tabs>
          <w:tab w:leader="none" w:pos="109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Valid Issuance; Available Shares</w:t>
      </w:r>
      <w:r>
        <w:rPr>
          <w:rFonts w:ascii="Times New Roman" w:cs="Times New Roman" w:eastAsia="Times New Roman" w:hAnsi="Times New Roman"/>
          <w:sz w:val="22"/>
          <w:szCs w:val="22"/>
          <w:color w:val="auto"/>
        </w:rPr>
        <w:t>. All outstanding Common Shares are duly authorized and have been validly issued and are fully paid and nonassessable. As of the date hereof 22,303,464 Common Shares are owned by Persons who are “affiliates” (as defined in Rule 405 of the Securities Act and calculated based on the assumption that only officers, directors and holders of at least 10% of the Company’s issued and outstanding Common Shares are “affiliates” without conceding that any such Persons are “affiliates” for purposes of federal securities laws) of the Company or any of its Subsidiaries. “</w:t>
      </w:r>
      <w:r>
        <w:rPr>
          <w:rFonts w:ascii="Times New Roman" w:cs="Times New Roman" w:eastAsia="Times New Roman" w:hAnsi="Times New Roman"/>
          <w:sz w:val="22"/>
          <w:szCs w:val="22"/>
          <w:u w:val="single" w:color="auto"/>
          <w:color w:val="auto"/>
        </w:rPr>
        <w:t>Convertible Securities</w:t>
      </w:r>
      <w:r>
        <w:rPr>
          <w:rFonts w:ascii="Times New Roman" w:cs="Times New Roman" w:eastAsia="Times New Roman" w:hAnsi="Times New Roman"/>
          <w:sz w:val="22"/>
          <w:szCs w:val="22"/>
          <w:color w:val="auto"/>
        </w:rPr>
        <w:t>”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Shares) or any of its Subsidiaries.</w:t>
      </w:r>
    </w:p>
    <w:p>
      <w:pPr>
        <w:spacing w:after="0" w:line="212" w:lineRule="exact"/>
        <w:rPr>
          <w:rFonts w:ascii="Times New Roman" w:cs="Times New Roman" w:eastAsia="Times New Roman" w:hAnsi="Times New Roman"/>
          <w:sz w:val="22"/>
          <w:szCs w:val="22"/>
          <w:color w:val="auto"/>
        </w:rPr>
      </w:pPr>
    </w:p>
    <w:p>
      <w:pPr>
        <w:jc w:val="both"/>
        <w:ind w:firstLine="564"/>
        <w:spacing w:after="0" w:line="248" w:lineRule="auto"/>
        <w:tabs>
          <w:tab w:leader="none" w:pos="105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Existing Securities; Obligations</w:t>
      </w:r>
      <w:r>
        <w:rPr>
          <w:rFonts w:ascii="Times New Roman" w:cs="Times New Roman" w:eastAsia="Times New Roman" w:hAnsi="Times New Roman"/>
          <w:sz w:val="22"/>
          <w:szCs w:val="22"/>
          <w:color w:val="auto"/>
        </w:rPr>
        <w:t>. (A) none of the Company's shares, interests or capital stock is subject to preemptive rights or any other similar rights or Liens suffered or permitted by the Company; (B) other than issuances pursuant to the Company’s equity incentive plans, there are no outstanding options, warrants, scrip, rights to subscribe to, calls or commitments of any character whatsoever relating to, or securities or rights convertible into, or exercisable or exchangeable for, any shares, interests or capital stock of the Company, or contracts, commitments, understandings or arrangements by which the Company is or may become bound to issue additional shares, interests or capital stock of the Company or options, warrants, scrip, rights to subscribe to, calls or commitments of any character whatsoever relating to, or securities or rights convertible into, or exercisable or exchangeable for, any shares, interests or capital stock of the Company; (C) there are no agreements or arrangements under which the Company is obligated to register the sale of any of their securities under the Securities Act (except pursuant to this Agreement); (D) there are no outstanding securities or instruments of the Company which contain any redemption or similar provisions, and there are no contracts, commitments, understandings or arrangements by which the Company is or may become bound to redeem a security of the Company; (E) there are no securities or instruments containing antidilution­ or similar provisions that will be triggered by the issuance of the Securities; and (F) neither the Company nor any Subsidiary has entered into any Variable Rate Transaction.</w:t>
      </w:r>
    </w:p>
    <w:p>
      <w:pPr>
        <w:spacing w:after="0" w:line="209" w:lineRule="exact"/>
        <w:rPr>
          <w:rFonts w:ascii="Times New Roman" w:cs="Times New Roman" w:eastAsia="Times New Roman" w:hAnsi="Times New Roman"/>
          <w:sz w:val="22"/>
          <w:szCs w:val="22"/>
          <w:color w:val="auto"/>
        </w:rPr>
      </w:pPr>
    </w:p>
    <w:p>
      <w:pPr>
        <w:jc w:val="both"/>
        <w:ind w:firstLine="564"/>
        <w:spacing w:after="0" w:line="256" w:lineRule="auto"/>
        <w:tabs>
          <w:tab w:leader="none" w:pos="108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The Company has furnished to the Buyers or filed on EDGAR true, correct and complete copies of the Company's Certificate of Incorporation, as amended and as in effect on the date hereof (the “</w:t>
      </w:r>
      <w:r>
        <w:rPr>
          <w:rFonts w:ascii="Times New Roman" w:cs="Times New Roman" w:eastAsia="Times New Roman" w:hAnsi="Times New Roman"/>
          <w:sz w:val="22"/>
          <w:szCs w:val="22"/>
          <w:u w:val="single" w:color="auto"/>
          <w:color w:val="auto"/>
        </w:rPr>
        <w:t>Certificate of Incorporation</w:t>
      </w:r>
      <w:r>
        <w:rPr>
          <w:rFonts w:ascii="Times New Roman" w:cs="Times New Roman" w:eastAsia="Times New Roman" w:hAnsi="Times New Roman"/>
          <w:sz w:val="22"/>
          <w:szCs w:val="22"/>
          <w:color w:val="auto"/>
        </w:rPr>
        <w:t>”), and the Company's bylaws, as amended and as in effect on the date hereof (the “</w:t>
      </w:r>
      <w:r>
        <w:rPr>
          <w:rFonts w:ascii="Times New Roman" w:cs="Times New Roman" w:eastAsia="Times New Roman" w:hAnsi="Times New Roman"/>
          <w:sz w:val="22"/>
          <w:szCs w:val="22"/>
          <w:u w:val="single" w:color="auto"/>
          <w:color w:val="auto"/>
        </w:rPr>
        <w:t>Bylaws</w:t>
      </w:r>
      <w:r>
        <w:rPr>
          <w:rFonts w:ascii="Times New Roman" w:cs="Times New Roman" w:eastAsia="Times New Roman" w:hAnsi="Times New Roman"/>
          <w:sz w:val="22"/>
          <w:szCs w:val="22"/>
          <w:color w:val="auto"/>
        </w:rPr>
        <w:t>”), and the terms of all convertible securities and the material rights of the holders thereof in respect thereto.</w:t>
      </w:r>
    </w:p>
    <w:p>
      <w:pPr>
        <w:sectPr>
          <w:pgSz w:w="11900" w:h="16838" w:orient="portrait"/>
          <w:cols w:equalWidth="0" w:num="1">
            <w:col w:w="10400"/>
          </w:cols>
          <w:pgMar w:left="1060" w:top="1422" w:right="439" w:bottom="1440" w:gutter="0" w:footer="0" w:header="0"/>
        </w:sectPr>
      </w:pPr>
    </w:p>
    <w:bookmarkStart w:id="40" w:name="page41"/>
    <w:bookmarkEnd w:id="40"/>
    <w:p>
      <w:pPr>
        <w:jc w:val="both"/>
        <w:ind w:left="2" w:firstLine="556"/>
        <w:spacing w:after="0" w:line="248" w:lineRule="auto"/>
        <w:tabs>
          <w:tab w:leader="none" w:pos="113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Indebtedness and Other Contracts</w:t>
      </w:r>
      <w:r>
        <w:rPr>
          <w:rFonts w:ascii="Times New Roman" w:cs="Times New Roman" w:eastAsia="Times New Roman" w:hAnsi="Times New Roman"/>
          <w:sz w:val="22"/>
          <w:szCs w:val="22"/>
          <w:color w:val="auto"/>
        </w:rPr>
        <w:t>. Other than as set forth in the SEC Documents or internal arrangements between the Company and its subsidiaries, the Company does not, (i) have any outstanding debt securities, notes, credit agreements, credit facilities or other agreements, documents or instruments evidencing Indebtedness of the Company or any of its Significant Subsidiaries or by which the Company or any of its Significant Subsidiaries is bound, (ii) is a party to any contract, agreement or instrument, the violation of which, or default under which, by the other party(ies) to such contract, agreement or instrument could reasonably be expected to result in a Material Adverse Effect, (iii) have any financing statements securing obligations in any amounts filed in connection with the Company or any of its Significant Subsidiaries;</w:t>
      </w:r>
    </w:p>
    <w:p>
      <w:pPr>
        <w:spacing w:after="0" w:line="3" w:lineRule="exact"/>
        <w:rPr>
          <w:rFonts w:ascii="Times New Roman" w:cs="Times New Roman" w:eastAsia="Times New Roman" w:hAnsi="Times New Roman"/>
          <w:sz w:val="22"/>
          <w:szCs w:val="22"/>
          <w:color w:val="auto"/>
        </w:rPr>
      </w:pPr>
    </w:p>
    <w:p>
      <w:pPr>
        <w:jc w:val="both"/>
        <w:ind w:left="2" w:right="20" w:hanging="2"/>
        <w:spacing w:after="0" w:line="249" w:lineRule="auto"/>
        <w:tabs>
          <w:tab w:leader="none" w:pos="39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 violation of any term of, or in default under, any contract, agreement or instrument relating to any Indebtedness, except where such violations and defaults would not result, individually or in the aggregate, in a Material Adverse Effect, or</w:t>
      </w:r>
    </w:p>
    <w:p>
      <w:pPr>
        <w:spacing w:after="0" w:line="1" w:lineRule="exact"/>
        <w:rPr>
          <w:rFonts w:ascii="Times New Roman" w:cs="Times New Roman" w:eastAsia="Times New Roman" w:hAnsi="Times New Roman"/>
          <w:sz w:val="22"/>
          <w:szCs w:val="22"/>
          <w:color w:val="auto"/>
        </w:rPr>
      </w:pPr>
    </w:p>
    <w:p>
      <w:pPr>
        <w:jc w:val="both"/>
        <w:ind w:left="2" w:hanging="2"/>
        <w:spacing w:after="0" w:line="245" w:lineRule="auto"/>
        <w:tabs>
          <w:tab w:leader="none" w:pos="35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party to any contract, agreement or instrument relating to any Indebtedness, the performance of which, in the judgment of the Company’s officers, has or is expected to have a Material Adverse Effect. Neither the Company nor any of its Significant Subsidiaries have any liabilities or obligations required to be disclosed in the SEC Documents which are not so disclosed in the SEC Documents, other than those incurred in the ordinary course of the businesses and which, individually or in the aggregate, do not or could not have a Material Adverse Effect. For purposes of this Agreement: (x) “</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of any Person means, without duplication (A) all indebtedness for borrowed money, (B) all obligations issued, undertaken or assumed as the deferred purchase price of property or services (including, without limitation, “capital leases” in accordance with GAAP)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GAAP, consistently applied for the periods covered thereby, is classified as a capital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(y) “</w:t>
      </w:r>
      <w:r>
        <w:rPr>
          <w:rFonts w:ascii="Times New Roman" w:cs="Times New Roman" w:eastAsia="Times New Roman" w:hAnsi="Times New Roman"/>
          <w:sz w:val="22"/>
          <w:szCs w:val="22"/>
          <w:u w:val="single" w:color="auto"/>
          <w:color w:val="auto"/>
        </w:rPr>
        <w:t>Contingent Obligation</w:t>
      </w:r>
      <w:r>
        <w:rPr>
          <w:rFonts w:ascii="Times New Roman" w:cs="Times New Roman" w:eastAsia="Times New Roman" w:hAnsi="Times New Roman"/>
          <w:sz w:val="22"/>
          <w:szCs w:val="22"/>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w:t>
      </w:r>
    </w:p>
    <w:p>
      <w:pPr>
        <w:sectPr>
          <w:pgSz w:w="11900" w:h="16838" w:orient="portrait"/>
          <w:cols w:equalWidth="0" w:num="1">
            <w:col w:w="11042"/>
          </w:cols>
          <w:pgMar w:left="418" w:top="1422" w:right="439" w:bottom="1440" w:gutter="0" w:footer="0" w:header="0"/>
        </w:sectPr>
      </w:pPr>
    </w:p>
    <w:bookmarkStart w:id="41" w:name="page42"/>
    <w:bookmarkEnd w:id="41"/>
    <w:p>
      <w:pPr>
        <w:ind w:left="2" w:right="100"/>
        <w:spacing w:after="0" w:line="271" w:lineRule="auto"/>
        <w:rPr>
          <w:sz w:val="20"/>
          <w:szCs w:val="20"/>
          <w:color w:val="auto"/>
        </w:rPr>
      </w:pPr>
      <w:r>
        <w:rPr>
          <w:rFonts w:ascii="Times New Roman" w:cs="Times New Roman" w:eastAsia="Times New Roman" w:hAnsi="Times New Roman"/>
          <w:sz w:val="22"/>
          <w:szCs w:val="22"/>
          <w:color w:val="auto"/>
        </w:rPr>
        <w:t>(in whole or in part) against loss with respect thereto, and (z) “</w:t>
      </w:r>
      <w:r>
        <w:rPr>
          <w:rFonts w:ascii="Times New Roman" w:cs="Times New Roman" w:eastAsia="Times New Roman" w:hAnsi="Times New Roman"/>
          <w:sz w:val="22"/>
          <w:szCs w:val="22"/>
          <w:u w:val="single" w:color="auto"/>
          <w:color w:val="auto"/>
        </w:rPr>
        <w:t>Significant Subsidiaries</w:t>
      </w:r>
      <w:r>
        <w:rPr>
          <w:rFonts w:ascii="Times New Roman" w:cs="Times New Roman" w:eastAsia="Times New Roman" w:hAnsi="Times New Roman"/>
          <w:sz w:val="22"/>
          <w:szCs w:val="22"/>
          <w:color w:val="auto"/>
        </w:rPr>
        <w:t>” means each of the wholly owned Subsidiaries of the Company as of the date hereof.</w:t>
      </w:r>
    </w:p>
    <w:p>
      <w:pPr>
        <w:spacing w:after="0" w:line="158" w:lineRule="exact"/>
        <w:rPr>
          <w:sz w:val="20"/>
          <w:szCs w:val="20"/>
          <w:color w:val="auto"/>
        </w:rPr>
      </w:pPr>
    </w:p>
    <w:p>
      <w:pPr>
        <w:jc w:val="both"/>
        <w:ind w:left="2" w:right="100" w:firstLine="647"/>
        <w:spacing w:after="0" w:line="249" w:lineRule="auto"/>
        <w:tabs>
          <w:tab w:leader="none" w:pos="1129"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Other than as set forth in the SEC Filings, there is no action, suit, arbitration, proceeding, inquiry or investigation before or by the Principal Market, any court, public board, other Governmental Entity, selfregulatory­ organization or body pending or, to the knowledge of the Company, threatened against or affecting the Company any of its Significant Subsidiaries, the Common Shares or any of the Company's any of its Significant Subsidiaries’ officers or directors, whether of a civil or criminal nature or otherwise, in their capacities as such, which would reasonably be expected to result in a Material Adverse Effect. After reasonable inquiry of its employees, the Company is not aware of any event which might result in or form the basis for any such action, suit, arbitration, investigation, inquiry or other proceeding. Without limitation of the foregoing, there has not been, and to the knowledge of the Company, there is not pending or contemplated, any investigation by the SEC involving the Company, any of its Significant Subsidiaries, or any current or former director or officer of the Company or any of its Significant Subsidiaries. Neither the Company nor any of its Significant Subsidiaries is the subject of any order, writ, judgment, injunction, decree, determination or award of any Governmental Entity that would reasonably be expected to result in a Material Adverse Effect.</w:t>
      </w:r>
    </w:p>
    <w:p>
      <w:pPr>
        <w:spacing w:after="0" w:line="184" w:lineRule="exact"/>
        <w:rPr>
          <w:rFonts w:ascii="Times New Roman" w:cs="Times New Roman" w:eastAsia="Times New Roman" w:hAnsi="Times New Roman"/>
          <w:sz w:val="22"/>
          <w:szCs w:val="22"/>
          <w:color w:val="auto"/>
        </w:rPr>
      </w:pPr>
    </w:p>
    <w:p>
      <w:pPr>
        <w:jc w:val="both"/>
        <w:ind w:left="2" w:right="100" w:firstLine="647"/>
        <w:spacing w:after="0" w:line="248" w:lineRule="auto"/>
        <w:tabs>
          <w:tab w:leader="none" w:pos="1093"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Intellectual Property Rights</w:t>
      </w:r>
      <w:r>
        <w:rPr>
          <w:rFonts w:ascii="Times New Roman" w:cs="Times New Roman" w:eastAsia="Times New Roman" w:hAnsi="Times New Roman"/>
          <w:sz w:val="22"/>
          <w:szCs w:val="22"/>
          <w:color w:val="auto"/>
        </w:rPr>
        <w:t>. The Company and its Significant Subsidiaries owns or possesses adequate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 (“</w:t>
      </w:r>
      <w:r>
        <w:rPr>
          <w:rFonts w:ascii="Times New Roman" w:cs="Times New Roman" w:eastAsia="Times New Roman" w:hAnsi="Times New Roman"/>
          <w:sz w:val="22"/>
          <w:szCs w:val="22"/>
          <w:u w:val="single" w:color="auto"/>
          <w:color w:val="auto"/>
        </w:rPr>
        <w:t>Intellectual Property Rights</w:t>
      </w:r>
      <w:r>
        <w:rPr>
          <w:rFonts w:ascii="Times New Roman" w:cs="Times New Roman" w:eastAsia="Times New Roman" w:hAnsi="Times New Roman"/>
          <w:sz w:val="22"/>
          <w:szCs w:val="22"/>
          <w:color w:val="auto"/>
        </w:rPr>
        <w:t>”) necessary to conduct its business as now conducted and presently proposed to be conducted. The Company does not have any knowledge of any infringement by the Company of Intellectual Property Rights of others. There is no claim, action or proceeding being made or brought, or to the knowledge of the Company or any of its Significant Subsidiaries, being threatened, against the Company or any of its Significant Subsidiaries regarding its Intellectual Property Rights that would reasonably be expected to result in a Material Adverse Effect. Neither the Company nor any of its Significant Subsidiaries is aware of any facts or circumstances which might give rise to any of the foregoing infringements or claims, actions or proceedings. The Company and its Significant Subsidiaries have taken reasonable security measures to protect the secrecy, confidentiality and value of all of its Intellectual Property Rights.</w:t>
      </w:r>
    </w:p>
    <w:p>
      <w:pPr>
        <w:spacing w:after="0" w:line="184" w:lineRule="exact"/>
        <w:rPr>
          <w:rFonts w:ascii="Times New Roman" w:cs="Times New Roman" w:eastAsia="Times New Roman" w:hAnsi="Times New Roman"/>
          <w:sz w:val="22"/>
          <w:szCs w:val="22"/>
          <w:color w:val="auto"/>
        </w:rPr>
      </w:pPr>
    </w:p>
    <w:p>
      <w:pPr>
        <w:jc w:val="both"/>
        <w:ind w:left="2" w:firstLine="637"/>
        <w:spacing w:after="0" w:line="263" w:lineRule="auto"/>
        <w:tabs>
          <w:tab w:leader="none" w:pos="1149"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Environmental Laws</w:t>
      </w:r>
      <w:r>
        <w:rPr>
          <w:rFonts w:ascii="Times New Roman" w:cs="Times New Roman" w:eastAsia="Times New Roman" w:hAnsi="Times New Roman"/>
          <w:sz w:val="21"/>
          <w:szCs w:val="21"/>
          <w:color w:val="auto"/>
        </w:rPr>
        <w:t>. Except, in each case, as would not be reasonably anticipated to have a Material Adverse Effect, the Company and its Significant Subsidiaries (a) are in compliance with any and all applicable laws relating to the protection of human health and safety, the environment or hazardous or toxic substances or wastes, pollutants or contaminants,</w:t>
      </w:r>
    </w:p>
    <w:p>
      <w:pPr>
        <w:spacing w:after="0" w:line="1" w:lineRule="exact"/>
        <w:rPr>
          <w:rFonts w:ascii="Times New Roman" w:cs="Times New Roman" w:eastAsia="Times New Roman" w:hAnsi="Times New Roman"/>
          <w:sz w:val="21"/>
          <w:szCs w:val="21"/>
          <w:color w:val="auto"/>
        </w:rPr>
      </w:pPr>
    </w:p>
    <w:p>
      <w:pPr>
        <w:ind w:left="2" w:hanging="2"/>
        <w:spacing w:after="0" w:line="259" w:lineRule="auto"/>
        <w:tabs>
          <w:tab w:leader="none" w:pos="33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received and hold all material permits, licenses or other approvals required of it under all such laws to conduct its respective businesses and (c) is in compliance with all material terms and conditions of any such permit, license or approval.</w:t>
      </w:r>
    </w:p>
    <w:p>
      <w:pPr>
        <w:sectPr>
          <w:pgSz w:w="11900" w:h="16838" w:orient="portrait"/>
          <w:cols w:equalWidth="0" w:num="1">
            <w:col w:w="11142"/>
          </w:cols>
          <w:pgMar w:left="418" w:top="1422" w:right="339" w:bottom="1440" w:gutter="0" w:footer="0" w:header="0"/>
        </w:sectPr>
      </w:pPr>
    </w:p>
    <w:bookmarkStart w:id="42" w:name="page43"/>
    <w:bookmarkEnd w:id="42"/>
    <w:p>
      <w:pPr>
        <w:jc w:val="both"/>
        <w:ind w:left="-647" w:firstLine="647"/>
        <w:spacing w:after="0" w:line="260" w:lineRule="auto"/>
        <w:tabs>
          <w:tab w:leader="none" w:pos="45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Status</w:t>
      </w:r>
      <w:r>
        <w:rPr>
          <w:rFonts w:ascii="Times New Roman" w:cs="Times New Roman" w:eastAsia="Times New Roman" w:hAnsi="Times New Roman"/>
          <w:sz w:val="21"/>
          <w:szCs w:val="21"/>
          <w:color w:val="auto"/>
        </w:rPr>
        <w:t>. Except, in each case, as would not be reasonably anticipated to have a Material Adverse Effect, the Company and each of its Significant Subsidiaries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The Company has not received written notification of any unpaid taxes in any material amount claimed to be due by the taxing authority of any jurisdiction, and the officers of the Company knows of no basis for any such claim where failure to pay would cause a Material Adverse Effect. The Company is not operated in such a manner as to qualify as a passive foreign investment company, as defined in Section 1297 of the Code. The net operating loss carryforwards (“</w:t>
      </w:r>
      <w:r>
        <w:rPr>
          <w:rFonts w:ascii="Times New Roman" w:cs="Times New Roman" w:eastAsia="Times New Roman" w:hAnsi="Times New Roman"/>
          <w:sz w:val="21"/>
          <w:szCs w:val="21"/>
          <w:u w:val="single" w:color="auto"/>
          <w:color w:val="auto"/>
        </w:rPr>
        <w:t>NOLs</w:t>
      </w:r>
      <w:r>
        <w:rPr>
          <w:rFonts w:ascii="Times New Roman" w:cs="Times New Roman" w:eastAsia="Times New Roman" w:hAnsi="Times New Roman"/>
          <w:sz w:val="21"/>
          <w:szCs w:val="21"/>
          <w:color w:val="auto"/>
        </w:rPr>
        <w:t>”) for United States federal income tax purposes of the consolidated group of which the Company is the common parent, if any, shall not be adversely effected by the transactions contemplated hereby. The transactions contemplated hereby do not constitute an “ownership change” within the meaning of Section 382 of the Code, thereby preserving the Company’s ability to utilize such NOLs.</w:t>
      </w:r>
    </w:p>
    <w:p>
      <w:pPr>
        <w:spacing w:after="0" w:line="190" w:lineRule="exact"/>
        <w:rPr>
          <w:rFonts w:ascii="Times New Roman" w:cs="Times New Roman" w:eastAsia="Times New Roman" w:hAnsi="Times New Roman"/>
          <w:sz w:val="21"/>
          <w:szCs w:val="21"/>
          <w:color w:val="auto"/>
        </w:rPr>
      </w:pPr>
    </w:p>
    <w:p>
      <w:pPr>
        <w:jc w:val="both"/>
        <w:ind w:left="-647" w:firstLine="647"/>
        <w:spacing w:after="0" w:line="246" w:lineRule="auto"/>
        <w:tabs>
          <w:tab w:leader="none" w:pos="45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Internal Accounting and Disclosure Controls</w:t>
      </w:r>
      <w:r>
        <w:rPr>
          <w:rFonts w:ascii="Times New Roman" w:cs="Times New Roman" w:eastAsia="Times New Roman" w:hAnsi="Times New Roman"/>
          <w:sz w:val="22"/>
          <w:szCs w:val="22"/>
          <w:color w:val="auto"/>
        </w:rPr>
        <w:t>. Except as set forth in the SEC Filings, the Company and each of its Significant Subsidiaries maintains internal control over financial reporting (as such term is defined in Rule 13a-15(f) under the Exchange Act) that is designed to provide reasonable assurance regarding the reliability of financial reporting and the preparation of financial statements for external purposes in accordance with generally accepted accounting principles, including that (i) transactions are executed in accordance with management’s general or specific authorizations, (ii) transactions are recorded as necessary to permit preparation of financial statements in conformity with GAAP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The Company maintains disclosure controls and procedures (as such term is defined in Rule 13a-15(e) under the Exchange Act) that are effective in ensuring that information required to be disclosed by the Company in the reports that it files or submits under the Exchange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Exchange Act, as applicable, is accumulated and communicated to the Company’s management, including its principal executive officer or officers and its principal financial officer or officers, as appropriate, to allow timely decisions regarding required disclosure.</w:t>
      </w:r>
    </w:p>
    <w:p>
      <w:pPr>
        <w:spacing w:after="0" w:line="211" w:lineRule="exact"/>
        <w:rPr>
          <w:rFonts w:ascii="Times New Roman" w:cs="Times New Roman" w:eastAsia="Times New Roman" w:hAnsi="Times New Roman"/>
          <w:sz w:val="22"/>
          <w:szCs w:val="22"/>
          <w:color w:val="auto"/>
        </w:rPr>
      </w:pPr>
    </w:p>
    <w:p>
      <w:pPr>
        <w:jc w:val="both"/>
        <w:ind w:left="-647" w:firstLine="647"/>
        <w:spacing w:after="0" w:line="257" w:lineRule="auto"/>
        <w:tabs>
          <w:tab w:leader="none" w:pos="42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Company Status</w:t>
      </w:r>
      <w:r>
        <w:rPr>
          <w:rFonts w:ascii="Times New Roman" w:cs="Times New Roman" w:eastAsia="Times New Roman" w:hAnsi="Times New Roman"/>
          <w:sz w:val="22"/>
          <w:szCs w:val="22"/>
          <w:color w:val="auto"/>
        </w:rPr>
        <w:t>. The Company is not, and upon consummation of the sale of the Securities will not be, an “investment company,” an affiliate of an “investment company,” a company controlled by an “investment company” or an “affiliated person” of, or</w:t>
      </w:r>
    </w:p>
    <w:p>
      <w:pPr>
        <w:sectPr>
          <w:pgSz w:w="11900" w:h="16838" w:orient="portrait"/>
          <w:cols w:equalWidth="0" w:num="1">
            <w:col w:w="10393"/>
          </w:cols>
          <w:pgMar w:left="1067" w:top="1422" w:right="439" w:bottom="1440" w:gutter="0" w:footer="0" w:header="0"/>
        </w:sectPr>
      </w:pPr>
    </w:p>
    <w:bookmarkStart w:id="43" w:name="page44"/>
    <w:bookmarkEnd w:id="43"/>
    <w:p>
      <w:pPr>
        <w:ind w:right="20"/>
        <w:spacing w:after="0" w:line="271" w:lineRule="auto"/>
        <w:rPr>
          <w:sz w:val="20"/>
          <w:szCs w:val="20"/>
          <w:color w:val="auto"/>
        </w:rPr>
      </w:pPr>
      <w:r>
        <w:rPr>
          <w:rFonts w:ascii="Times New Roman" w:cs="Times New Roman" w:eastAsia="Times New Roman" w:hAnsi="Times New Roman"/>
          <w:sz w:val="22"/>
          <w:szCs w:val="22"/>
          <w:color w:val="auto"/>
        </w:rPr>
        <w:t>“promoter” or “principal underwriter” for, an “investment company” as such terms are defined in the Investment Company Act of 1940, as amended.</w:t>
      </w:r>
    </w:p>
    <w:p>
      <w:pPr>
        <w:spacing w:after="0" w:line="198" w:lineRule="exact"/>
        <w:rPr>
          <w:sz w:val="20"/>
          <w:szCs w:val="20"/>
          <w:color w:val="auto"/>
        </w:rPr>
      </w:pPr>
    </w:p>
    <w:p>
      <w:pPr>
        <w:jc w:val="both"/>
        <w:ind w:firstLine="647"/>
        <w:spacing w:after="0" w:line="250" w:lineRule="auto"/>
        <w:tabs>
          <w:tab w:leader="none" w:pos="124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Company and any each of its Significant Subsidiaries are insured by insurers of recognized financial responsibility against such losses and risks and in such amounts as management of the Company believes to be prudent and customary in the businesses in which the Company and its Significant Subsidiaries are engaged. Neither the Company nor any of its Significant Subsidiaries have been refused any insurance coverage sought or applied for, and neither the Company nor any of its Significant Subsidiaries have any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spacing w:after="0" w:line="207" w:lineRule="exact"/>
        <w:rPr>
          <w:rFonts w:ascii="Times New Roman" w:cs="Times New Roman" w:eastAsia="Times New Roman" w:hAnsi="Times New Roman"/>
          <w:sz w:val="22"/>
          <w:szCs w:val="22"/>
          <w:color w:val="auto"/>
        </w:rPr>
      </w:pPr>
    </w:p>
    <w:p>
      <w:pPr>
        <w:jc w:val="both"/>
        <w:ind w:firstLine="647"/>
        <w:spacing w:after="0" w:line="252" w:lineRule="auto"/>
        <w:tabs>
          <w:tab w:leader="none" w:pos="107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Manipulation of Price</w:t>
      </w:r>
      <w:r>
        <w:rPr>
          <w:rFonts w:ascii="Times New Roman" w:cs="Times New Roman" w:eastAsia="Times New Roman" w:hAnsi="Times New Roman"/>
          <w:sz w:val="22"/>
          <w:szCs w:val="22"/>
          <w:color w:val="auto"/>
        </w:rPr>
        <w:t>. The Company does not have, and, to the knowledge of the Company, no Person acting on their behalf has, directly or indirectly, (i) taken any action designed to cause or to result in the stabilization or manipulation of the price of any security of the Company to facilitate the sale or resale of any of the Securities, or (ii) sold, bid for, purchased, or paid any compensation for soliciting purchases of, any of the Securities.</w:t>
      </w:r>
    </w:p>
    <w:p>
      <w:pPr>
        <w:spacing w:after="0" w:line="219" w:lineRule="exact"/>
        <w:rPr>
          <w:rFonts w:ascii="Times New Roman" w:cs="Times New Roman" w:eastAsia="Times New Roman" w:hAnsi="Times New Roman"/>
          <w:sz w:val="22"/>
          <w:szCs w:val="22"/>
          <w:color w:val="auto"/>
        </w:rPr>
      </w:pPr>
    </w:p>
    <w:p>
      <w:pPr>
        <w:ind w:right="20" w:firstLine="647"/>
        <w:spacing w:after="0" w:line="271" w:lineRule="auto"/>
        <w:tabs>
          <w:tab w:leader="none" w:pos="11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Eligibility</w:t>
      </w:r>
      <w:r>
        <w:rPr>
          <w:rFonts w:ascii="Times New Roman" w:cs="Times New Roman" w:eastAsia="Times New Roman" w:hAnsi="Times New Roman"/>
          <w:sz w:val="22"/>
          <w:szCs w:val="22"/>
          <w:color w:val="auto"/>
        </w:rPr>
        <w:t>. The Company is eligible to register the resale of the Conversion Shares by the Buyers using Form S1­ promulgated under the Securities Act.</w:t>
      </w:r>
    </w:p>
    <w:p>
      <w:pPr>
        <w:spacing w:after="0" w:line="184" w:lineRule="exact"/>
        <w:rPr>
          <w:rFonts w:ascii="Times New Roman" w:cs="Times New Roman" w:eastAsia="Times New Roman" w:hAnsi="Times New Roman"/>
          <w:sz w:val="22"/>
          <w:szCs w:val="22"/>
          <w:color w:val="auto"/>
        </w:rPr>
      </w:pPr>
    </w:p>
    <w:p>
      <w:pPr>
        <w:jc w:val="both"/>
        <w:ind w:firstLine="647"/>
        <w:spacing w:after="0" w:line="248" w:lineRule="auto"/>
        <w:tabs>
          <w:tab w:leader="none" w:pos="116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Sanctions Matters</w:t>
      </w:r>
      <w:r>
        <w:rPr>
          <w:rFonts w:ascii="Times New Roman" w:cs="Times New Roman" w:eastAsia="Times New Roman" w:hAnsi="Times New Roman"/>
          <w:sz w:val="22"/>
          <w:szCs w:val="22"/>
          <w:color w:val="auto"/>
        </w:rPr>
        <w:t>. Neither the Company, nor any of its Significant Subsidiaries or, to the knowledge of the Company, any director, officer or controlled affiliate of the Company or any director or officer of any Significant Subsidiaries, is a Person that is, or is owned or controlled by a Person that is (i) the subject of any sanctions administered or enforced by the U.S. Department of Treasury’s Office of Foreign Asset Control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the United Nations Security Council, the European Union, His Majesty’s Treasury, or other relevant sanctions authorities, including, without limitation, designation on OFAC’s Specially Designated Nationals and Blocked Persons List or OFAC’s Foreign Sanctions Evaders List or other relevant sanctions authority (collectively, “</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or (ii) located, organized or resident in a country or territory that is the subject of Sanctions that broadly prohibit dealings with that country or territory (including, without limitation, the Crimea, Zaporizhzhia and Kherson regions, the Donetsk People’s Republic and Luhansk People’s Republic in Ukraine, Cuba, Iran, North Korea, Russia</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Sudan and Syria (the “</w:t>
      </w:r>
      <w:r>
        <w:rPr>
          <w:rFonts w:ascii="Times New Roman" w:cs="Times New Roman" w:eastAsia="Times New Roman" w:hAnsi="Times New Roman"/>
          <w:sz w:val="22"/>
          <w:szCs w:val="22"/>
          <w:u w:val="single" w:color="auto"/>
          <w:color w:val="auto"/>
        </w:rPr>
        <w:t>Sanctioned Countries</w:t>
      </w:r>
      <w:r>
        <w:rPr>
          <w:rFonts w:ascii="Times New Roman" w:cs="Times New Roman" w:eastAsia="Times New Roman" w:hAnsi="Times New Roman"/>
          <w:sz w:val="22"/>
          <w:szCs w:val="22"/>
          <w:color w:val="auto"/>
        </w:rPr>
        <w:t>”)). Neither the Company nor any of its Significant Subsidiaries, nor any director, officer or controlled affiliate of the Company or any of its Significant Subsidiaries, has ever had funds blocked by a United States bank or financial institution, temporarily or otherwise, as a result of OFAC concerns. For the past five years, neither the Company nor any of its Significant Subsidiaries has engaged in, and is now not engaged in, any dealings or transactions with any Person, or in any country or territory, that at the time of the dealing or transaction is or was the subject of Sanctions or was a Sanctioned Country.</w:t>
      </w:r>
    </w:p>
    <w:p>
      <w:pPr>
        <w:spacing w:after="0" w:line="210" w:lineRule="exact"/>
        <w:rPr>
          <w:sz w:val="20"/>
          <w:szCs w:val="20"/>
          <w:color w:val="auto"/>
        </w:rPr>
      </w:pPr>
    </w:p>
    <w:p>
      <w:pPr>
        <w:ind w:right="20" w:firstLine="647"/>
        <w:spacing w:after="0" w:line="271" w:lineRule="auto"/>
        <w:tabs>
          <w:tab w:leader="none" w:pos="117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w:t>
      </w:r>
      <w:r>
        <w:rPr>
          <w:rFonts w:ascii="Times New Roman" w:cs="Times New Roman" w:eastAsia="Times New Roman" w:hAnsi="Times New Roman"/>
          <w:sz w:val="22"/>
          <w:szCs w:val="22"/>
          <w:color w:val="auto"/>
        </w:rPr>
        <w:t>. The Company confirms that neither it nor any other Person acting on its behalf has provided any of the Buyers or their agents or counsel with any information</w:t>
      </w:r>
    </w:p>
    <w:p>
      <w:pPr>
        <w:sectPr>
          <w:pgSz w:w="11900" w:h="16838" w:orient="portrait"/>
          <w:cols w:equalWidth="0" w:num="1">
            <w:col w:w="11040"/>
          </w:cols>
          <w:pgMar w:left="420" w:top="1422" w:right="439" w:bottom="1440" w:gutter="0" w:footer="0" w:header="0"/>
        </w:sectPr>
      </w:pPr>
    </w:p>
    <w:bookmarkStart w:id="44" w:name="page45"/>
    <w:bookmarkEnd w:id="44"/>
    <w:p>
      <w:pPr>
        <w:jc w:val="both"/>
        <w:spacing w:after="0" w:line="247" w:lineRule="auto"/>
        <w:rPr>
          <w:sz w:val="20"/>
          <w:szCs w:val="20"/>
          <w:color w:val="auto"/>
        </w:rPr>
      </w:pPr>
      <w:r>
        <w:rPr>
          <w:rFonts w:ascii="Times New Roman" w:cs="Times New Roman" w:eastAsia="Times New Roman" w:hAnsi="Times New Roman"/>
          <w:sz w:val="22"/>
          <w:szCs w:val="22"/>
          <w:color w:val="auto"/>
        </w:rPr>
        <w:t>that constitutes or could reasonably be expected to constitute material, nonpublic­ information concerning the Company, other than the existence of the transactions contemplated by this Agreement and the other Transaction Documents. The Company understands and confirms that each of the Buyers will rely on the foregoing representations in effecting transactions in securities of the Company. All disclosures provided to the Buyers regarding the Company, their businesses and the transactions contemplated hereby, including the schedules to this Agreement, furnished by or on behalf of the Company, taken as a whole, are true and correct and does not contain any untrue statement of a material fact or omit to state any material fact necessary in order to make the statements made therein, in the light of the circumstances under which they were made, not misleading. All of the written information furnished after the date hereof by or on behalf of the Company to each Buyer pursuant to or in connection with this Agreement and the other Transaction Documents, taken as a whole, will be true and correct in all material respects as of the date on which such information is so provided and will not contain any untrue statement of a material fact or omit to state any material fact necessary in order to make the statements made therein, in the light of the circumstances under which they were made, not misleading. No event or circumstance has occurred or information exists with respect to the Company or its or their business, properties, liabilities, prospects, operations (including results thereof) or conditions (financial or otherwise), which, under applicable law, rule or regulation, requires public disclosure at or before the date hereof or announcement by the Company but which has not been so publicly disclosed. All financial projections and forecasts that have been prepared by or on behalf of the Company and made available to the Buyers have been prepared in good faith based upon reasonable assumptions and represented, at the time each such financial projection or forecast was delivered to each Buyer, the Company's best estimate of future financial performance (it being recognized that such financial projections or forecasts are not to be viewed as facts and that the actual results during the period or periods covered by any such financial projections or forecasts may differ from the projected or forecasted results). The Company acknowledges and agrees that no Buyer makes or has made any representations or warranties with respect to the transactions contemplated hereby other than those specifically set forth in Section 2.</w:t>
      </w:r>
    </w:p>
    <w:p>
      <w:pPr>
        <w:spacing w:after="0" w:line="212" w:lineRule="exact"/>
        <w:rPr>
          <w:sz w:val="20"/>
          <w:szCs w:val="20"/>
          <w:color w:val="auto"/>
        </w:rPr>
      </w:pPr>
    </w:p>
    <w:p>
      <w:pPr>
        <w:jc w:val="both"/>
        <w:ind w:firstLine="647"/>
        <w:spacing w:after="0" w:line="263" w:lineRule="auto"/>
        <w:tabs>
          <w:tab w:leader="none" w:pos="128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General Solicitation</w:t>
      </w:r>
      <w:r>
        <w:rPr>
          <w:rFonts w:ascii="Times New Roman" w:cs="Times New Roman" w:eastAsia="Times New Roman" w:hAnsi="Times New Roman"/>
          <w:sz w:val="22"/>
          <w:szCs w:val="22"/>
          <w:color w:val="auto"/>
        </w:rPr>
        <w:t>. Neither the Company, nor any of its affiliates, nor any Person acting on its or their behalf, has engaged in any form of general solicitation or general advertising (within the meaning of Regulation D under the Securities Act) in connection with the offer or sale of the Securities.</w:t>
      </w:r>
    </w:p>
    <w:p>
      <w:pPr>
        <w:spacing w:after="0" w:line="194" w:lineRule="exact"/>
        <w:rPr>
          <w:rFonts w:ascii="Times New Roman" w:cs="Times New Roman" w:eastAsia="Times New Roman" w:hAnsi="Times New Roman"/>
          <w:sz w:val="22"/>
          <w:szCs w:val="22"/>
          <w:color w:val="auto"/>
        </w:rPr>
      </w:pPr>
    </w:p>
    <w:p>
      <w:pPr>
        <w:jc w:val="both"/>
        <w:ind w:firstLine="647"/>
        <w:spacing w:after="0" w:line="256" w:lineRule="auto"/>
        <w:tabs>
          <w:tab w:leader="none" w:pos="115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Private Placement</w:t>
      </w:r>
      <w:r>
        <w:rPr>
          <w:rFonts w:ascii="Times New Roman" w:cs="Times New Roman" w:eastAsia="Times New Roman" w:hAnsi="Times New Roman"/>
          <w:sz w:val="22"/>
          <w:szCs w:val="22"/>
          <w:color w:val="auto"/>
        </w:rPr>
        <w:t>. Assuming the accuracy of the Buyers’ representations and warranties set forth in Section 2, no registration under the Securities Act is required for the offer and sale of the Securities by the Company to the Buyers as contemplated hereby. The issuance and sale of the Securities hereunder does not contravene the rules and regulations of the Principal Market.</w:t>
      </w:r>
    </w:p>
    <w:p>
      <w:pPr>
        <w:spacing w:after="0" w:line="203" w:lineRule="exact"/>
        <w:rPr>
          <w:rFonts w:ascii="Times New Roman" w:cs="Times New Roman" w:eastAsia="Times New Roman" w:hAnsi="Times New Roman"/>
          <w:sz w:val="22"/>
          <w:szCs w:val="22"/>
          <w:color w:val="auto"/>
        </w:rPr>
      </w:pPr>
    </w:p>
    <w:p>
      <w:pPr>
        <w:jc w:val="both"/>
        <w:ind w:firstLine="647"/>
        <w:spacing w:after="0" w:line="257" w:lineRule="auto"/>
        <w:tabs>
          <w:tab w:leader="none" w:pos="136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Disqualification Events</w:t>
      </w:r>
      <w:r>
        <w:rPr>
          <w:rFonts w:ascii="Times New Roman" w:cs="Times New Roman" w:eastAsia="Times New Roman" w:hAnsi="Times New Roman"/>
          <w:sz w:val="22"/>
          <w:szCs w:val="22"/>
          <w:color w:val="auto"/>
        </w:rPr>
        <w:t>. With respect to Securities to be offered and sold hereunder in reliance on Rule 506(b) under the Securities Act (“</w:t>
      </w:r>
      <w:r>
        <w:rPr>
          <w:rFonts w:ascii="Times New Roman" w:cs="Times New Roman" w:eastAsia="Times New Roman" w:hAnsi="Times New Roman"/>
          <w:sz w:val="22"/>
          <w:szCs w:val="22"/>
          <w:u w:val="single" w:color="auto"/>
          <w:color w:val="auto"/>
        </w:rPr>
        <w:t>Regulation D Securities</w:t>
      </w:r>
      <w:r>
        <w:rPr>
          <w:rFonts w:ascii="Times New Roman" w:cs="Times New Roman" w:eastAsia="Times New Roman" w:hAnsi="Times New Roman"/>
          <w:sz w:val="22"/>
          <w:szCs w:val="22"/>
          <w:color w:val="auto"/>
        </w:rPr>
        <w:t>”), none of the Company, any of its predecessors, any affiliated issuer, any director, executive officer, other officer of the Company participating in the offering contemplated hereby, any</w:t>
      </w:r>
    </w:p>
    <w:p>
      <w:pPr>
        <w:sectPr>
          <w:pgSz w:w="11900" w:h="16838" w:orient="portrait"/>
          <w:cols w:equalWidth="0" w:num="1">
            <w:col w:w="11040"/>
          </w:cols>
          <w:pgMar w:left="420" w:top="1422" w:right="439" w:bottom="1440" w:gutter="0" w:footer="0" w:header="0"/>
        </w:sectPr>
      </w:pPr>
    </w:p>
    <w:bookmarkStart w:id="45" w:name="page46"/>
    <w:bookmarkEnd w:id="45"/>
    <w:p>
      <w:pPr>
        <w:jc w:val="both"/>
        <w:ind w:left="93" w:right="100"/>
        <w:spacing w:after="0" w:line="249" w:lineRule="auto"/>
        <w:rPr>
          <w:sz w:val="20"/>
          <w:szCs w:val="20"/>
          <w:color w:val="auto"/>
        </w:rPr>
      </w:pPr>
      <w:r>
        <w:rPr>
          <w:rFonts w:ascii="Times New Roman" w:cs="Times New Roman" w:eastAsia="Times New Roman" w:hAnsi="Times New Roman"/>
          <w:sz w:val="22"/>
          <w:szCs w:val="22"/>
          <w:color w:val="auto"/>
        </w:rPr>
        <w:t>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22"/>
          <w:szCs w:val="22"/>
          <w:u w:val="single" w:color="auto"/>
          <w:color w:val="auto"/>
        </w:rPr>
        <w:t>Issuer Covered Person</w:t>
      </w:r>
      <w:r>
        <w:rPr>
          <w:rFonts w:ascii="Times New Roman" w:cs="Times New Roman" w:eastAsia="Times New Roman" w:hAnsi="Times New Roman"/>
          <w:sz w:val="22"/>
          <w:szCs w:val="22"/>
          <w:color w:val="auto"/>
        </w:rPr>
        <w:t>” and, together, “</w:t>
      </w:r>
      <w:r>
        <w:rPr>
          <w:rFonts w:ascii="Times New Roman" w:cs="Times New Roman" w:eastAsia="Times New Roman" w:hAnsi="Times New Roman"/>
          <w:sz w:val="22"/>
          <w:szCs w:val="22"/>
          <w:u w:val="single" w:color="auto"/>
          <w:color w:val="auto"/>
        </w:rPr>
        <w:t>Issuer Covered Persons</w:t>
      </w:r>
      <w:r>
        <w:rPr>
          <w:rFonts w:ascii="Times New Roman" w:cs="Times New Roman" w:eastAsia="Times New Roman" w:hAnsi="Times New Roman"/>
          <w:sz w:val="22"/>
          <w:szCs w:val="22"/>
          <w:color w:val="auto"/>
        </w:rPr>
        <w:t>”) is subject to any of the “Bad Actor” disqualifications described in Rule 506(d)(1)(i) to (viii) under the Securities Act (a “</w:t>
      </w:r>
      <w:r>
        <w:rPr>
          <w:rFonts w:ascii="Times New Roman" w:cs="Times New Roman" w:eastAsia="Times New Roman" w:hAnsi="Times New Roman"/>
          <w:sz w:val="22"/>
          <w:szCs w:val="22"/>
          <w:u w:val="single" w:color="auto"/>
          <w:color w:val="auto"/>
        </w:rPr>
        <w:t>Disqualification Event</w:t>
      </w:r>
      <w:r>
        <w:rPr>
          <w:rFonts w:ascii="Times New Roman" w:cs="Times New Roman" w:eastAsia="Times New Roman" w:hAnsi="Times New Roman"/>
          <w:sz w:val="22"/>
          <w:szCs w:val="22"/>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Buyers a copy of any disclosures provided thereunder.</w:t>
      </w:r>
    </w:p>
    <w:p>
      <w:pPr>
        <w:spacing w:after="0" w:line="222" w:lineRule="exact"/>
        <w:rPr>
          <w:sz w:val="20"/>
          <w:szCs w:val="20"/>
          <w:color w:val="auto"/>
        </w:rPr>
      </w:pPr>
    </w:p>
    <w:p>
      <w:pPr>
        <w:jc w:val="both"/>
        <w:ind w:left="93" w:right="100" w:firstLine="647"/>
        <w:spacing w:after="0" w:line="257" w:lineRule="auto"/>
        <w:tabs>
          <w:tab w:leader="none" w:pos="1365"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Covered Persons</w:t>
      </w:r>
      <w:r>
        <w:rPr>
          <w:rFonts w:ascii="Times New Roman" w:cs="Times New Roman" w:eastAsia="Times New Roman" w:hAnsi="Times New Roman"/>
          <w:sz w:val="22"/>
          <w:szCs w:val="22"/>
          <w:color w:val="auto"/>
        </w:rPr>
        <w:t>. The Company is not aware of any Person that has been or will be paid (directly or indirectly) remuneration for solicitation of Buyers or potential purchasers in connection with the sale of any Regulation D Securities.</w:t>
      </w:r>
    </w:p>
    <w:p>
      <w:pPr>
        <w:spacing w:after="0" w:line="199" w:lineRule="exact"/>
        <w:rPr>
          <w:rFonts w:ascii="Times New Roman" w:cs="Times New Roman" w:eastAsia="Times New Roman" w:hAnsi="Times New Roman"/>
          <w:sz w:val="22"/>
          <w:szCs w:val="22"/>
          <w:color w:val="auto"/>
        </w:rPr>
      </w:pPr>
    </w:p>
    <w:p>
      <w:pPr>
        <w:jc w:val="both"/>
        <w:ind w:left="93" w:right="100" w:firstLine="647"/>
        <w:spacing w:after="0" w:line="265" w:lineRule="auto"/>
        <w:tabs>
          <w:tab w:leader="none" w:pos="1326" w:val="left"/>
        </w:tabs>
        <w:numPr>
          <w:ilvl w:val="2"/>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Disagreements with Accountants</w:t>
      </w:r>
      <w:r>
        <w:rPr>
          <w:rFonts w:ascii="Times New Roman" w:cs="Times New Roman" w:eastAsia="Times New Roman" w:hAnsi="Times New Roman"/>
          <w:sz w:val="21"/>
          <w:szCs w:val="21"/>
          <w:color w:val="auto"/>
        </w:rPr>
        <w:t>. There are no material disagreements of any kind presently existing, or reasonably anticipated by the Company to arise, between the Company and the accountants formerly or presently employed by the Company and the Company is current with respect to any fees owed to its accountants which could affect the Company’s ability to perform any of its obligations under any of the Transaction Documents. In addition, on or prior to the date hereof, the Company had discussions with its accountants about its financial statements previously filed with the SEC. Based on those discussions, the Company has no reason to believe that it will need to restate any such financial statements or any part thereof.</w:t>
      </w:r>
    </w:p>
    <w:p>
      <w:pPr>
        <w:spacing w:after="0" w:line="200" w:lineRule="exact"/>
        <w:rPr>
          <w:rFonts w:ascii="Times New Roman" w:cs="Times New Roman" w:eastAsia="Times New Roman" w:hAnsi="Times New Roman"/>
          <w:sz w:val="21"/>
          <w:szCs w:val="21"/>
          <w:color w:val="auto"/>
        </w:rPr>
      </w:pPr>
    </w:p>
    <w:p>
      <w:pPr>
        <w:spacing w:after="0" w:line="248" w:lineRule="exact"/>
        <w:rPr>
          <w:rFonts w:ascii="Times New Roman" w:cs="Times New Roman" w:eastAsia="Times New Roman" w:hAnsi="Times New Roman"/>
          <w:sz w:val="21"/>
          <w:szCs w:val="21"/>
          <w:color w:val="auto"/>
        </w:rPr>
      </w:pPr>
    </w:p>
    <w:p>
      <w:pPr>
        <w:ind w:left="373" w:hanging="373"/>
        <w:spacing w:after="0"/>
        <w:tabs>
          <w:tab w:leader="none" w:pos="373"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COVENANTS.</w:t>
      </w:r>
    </w:p>
    <w:p>
      <w:pPr>
        <w:spacing w:after="0" w:line="250" w:lineRule="exact"/>
        <w:rPr>
          <w:rFonts w:ascii="Times New Roman" w:cs="Times New Roman" w:eastAsia="Times New Roman" w:hAnsi="Times New Roman"/>
          <w:sz w:val="22"/>
          <w:szCs w:val="22"/>
          <w:b w:val="1"/>
          <w:bCs w:val="1"/>
          <w:color w:val="auto"/>
        </w:rPr>
      </w:pPr>
    </w:p>
    <w:p>
      <w:pPr>
        <w:jc w:val="both"/>
        <w:ind w:left="-7" w:firstLine="656"/>
        <w:spacing w:after="0" w:line="248" w:lineRule="auto"/>
        <w:tabs>
          <w:tab w:leader="none" w:pos="111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D and Blue Sky</w:t>
      </w:r>
      <w:r>
        <w:rPr>
          <w:rFonts w:ascii="Times New Roman" w:cs="Times New Roman" w:eastAsia="Times New Roman" w:hAnsi="Times New Roman"/>
          <w:sz w:val="22"/>
          <w:szCs w:val="22"/>
          <w:color w:val="auto"/>
        </w:rPr>
        <w:t>(a) . To the extent required, the Company shall file a Form D with respect to the Securities as required under Regulation D and to provide a copy thereof to each Buyer promptly after such filing. The Company shall, on or before the Closing Date, take such action as the Company shall reasonably determine is necessary in order to obtain an exemption for, or to, qualify the Securities for sale to the Buyers at the Closing pursuant to this Agreement under applicable securities or “Blue Sky” laws of the states of the United States (or to obtain an exemption from such qualification), and shall provide evidence of any such action so taken to the Buyers on or prior to the Closing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foreign, federal, state and local laws, statutes, rules, regulations and the like relating to the offering and sale of the Securities to the Buyers.</w:t>
      </w:r>
    </w:p>
    <w:p>
      <w:pPr>
        <w:spacing w:after="0" w:line="1" w:lineRule="exact"/>
        <w:rPr>
          <w:rFonts w:ascii="Times New Roman" w:cs="Times New Roman" w:eastAsia="Times New Roman" w:hAnsi="Times New Roman"/>
          <w:sz w:val="22"/>
          <w:szCs w:val="22"/>
          <w:color w:val="auto"/>
        </w:rPr>
      </w:pPr>
    </w:p>
    <w:p>
      <w:pPr>
        <w:jc w:val="both"/>
        <w:ind w:left="-7" w:firstLine="656"/>
        <w:spacing w:after="0" w:line="245" w:lineRule="auto"/>
        <w:tabs>
          <w:tab w:leader="none" w:pos="1121"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Reporting Status</w:t>
      </w:r>
      <w:r>
        <w:rPr>
          <w:rFonts w:ascii="Times New Roman" w:cs="Times New Roman" w:eastAsia="Times New Roman" w:hAnsi="Times New Roman"/>
          <w:sz w:val="22"/>
          <w:szCs w:val="22"/>
          <w:color w:val="auto"/>
        </w:rPr>
        <w:t>. For the period beginning on the date hereof, and ending 6 months after the date on which all the Convertible Debentures are no longer outstanding (the “</w:t>
      </w:r>
      <w:r>
        <w:rPr>
          <w:rFonts w:ascii="Times New Roman" w:cs="Times New Roman" w:eastAsia="Times New Roman" w:hAnsi="Times New Roman"/>
          <w:sz w:val="22"/>
          <w:szCs w:val="22"/>
          <w:u w:val="single" w:color="auto"/>
          <w:color w:val="auto"/>
        </w:rPr>
        <w:t>Reporting Period</w:t>
      </w:r>
      <w:r>
        <w:rPr>
          <w:rFonts w:ascii="Times New Roman" w:cs="Times New Roman" w:eastAsia="Times New Roman" w:hAnsi="Times New Roman"/>
          <w:sz w:val="22"/>
          <w:szCs w:val="22"/>
          <w:color w:val="auto"/>
        </w:rPr>
        <w:t>”), the Company shall file on a timely basis (which, for the avoidance of</w:t>
      </w:r>
    </w:p>
    <w:p>
      <w:pPr>
        <w:sectPr>
          <w:pgSz w:w="11900" w:h="16838" w:orient="portrait"/>
          <w:cols w:equalWidth="0" w:num="1">
            <w:col w:w="11233"/>
          </w:cols>
          <w:pgMar w:left="327" w:top="1422" w:right="339" w:bottom="1440" w:gutter="0" w:footer="0" w:header="0"/>
        </w:sectPr>
      </w:pPr>
    </w:p>
    <w:bookmarkStart w:id="46" w:name="page47"/>
    <w:bookmarkEnd w:id="46"/>
    <w:p>
      <w:pPr>
        <w:jc w:val="both"/>
        <w:spacing w:after="0" w:line="256" w:lineRule="auto"/>
        <w:rPr>
          <w:sz w:val="20"/>
          <w:szCs w:val="20"/>
          <w:color w:val="auto"/>
        </w:rPr>
      </w:pPr>
      <w:r>
        <w:rPr>
          <w:rFonts w:ascii="Times New Roman" w:cs="Times New Roman" w:eastAsia="Times New Roman" w:hAnsi="Times New Roman"/>
          <w:sz w:val="22"/>
          <w:szCs w:val="22"/>
          <w:color w:val="auto"/>
        </w:rPr>
        <w:t>doubt, include any permitted extension under Rule 12b -25 of the Exchange Act) all reports required to be filed with the SEC pursuant to the Exchange Act, and the Company shall not terminate its status as an issuer required to file reports under the Exchange Act even if the Exchange Act or the rules and regulations thereunder would no longer require or otherwise permit such termination.</w:t>
      </w:r>
    </w:p>
    <w:p>
      <w:pPr>
        <w:spacing w:after="0" w:line="176" w:lineRule="exact"/>
        <w:rPr>
          <w:sz w:val="20"/>
          <w:szCs w:val="20"/>
          <w:color w:val="auto"/>
        </w:rPr>
      </w:pPr>
    </w:p>
    <w:p>
      <w:pPr>
        <w:jc w:val="both"/>
        <w:ind w:firstLine="656"/>
        <w:spacing w:after="0" w:line="248" w:lineRule="auto"/>
        <w:tabs>
          <w:tab w:leader="none" w:pos="121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Proceeds</w:t>
      </w:r>
      <w:r>
        <w:rPr>
          <w:rFonts w:ascii="Times New Roman" w:cs="Times New Roman" w:eastAsia="Times New Roman" w:hAnsi="Times New Roman"/>
          <w:sz w:val="22"/>
          <w:szCs w:val="22"/>
          <w:color w:val="auto"/>
        </w:rPr>
        <w:t>. Neither the Company nor any Subsidiary will, directly or indirectly, use the proceeds of the transactions contemplated herein to repay any loans to any executives or employees of the Company or to make any payments in respect of any related party debt. Neither the Company nor any of its Subsidiaries will, directly or indirectly, use the proceeds from the transactions contemplated herein, or lend, contribute or otherwise make available such proceeds to any subsidiary, joint venture partner or other Person (a) for the purpose of funding or facilitating any activities or business of or with any Person or in any country or territory that, at the time of such funding or facilitation, is the subject of Sanctions or is a Sanctioned Country, or (b) in any other manner that will result in a violation of Sanctions or Applicable Laws by any Person (including any Person participating in the transactions contemplated by this Agreement, whether as underwriter, advisor, investor or otherwise). The Company shall not, without the prior written consent of the Buyer, loan, invest, transfer or “downstream” any cash proceeds, or assets or property acquired with cash proceeds from the issuance and sale of the Convertible Debentures to Innventure LLC, unless the Buyer and such Significant Subsidiary enter into a global guaranty agreement in the form attached hereto as Exhibit C (the “</w:t>
      </w:r>
      <w:r>
        <w:rPr>
          <w:rFonts w:ascii="Times New Roman" w:cs="Times New Roman" w:eastAsia="Times New Roman" w:hAnsi="Times New Roman"/>
          <w:sz w:val="22"/>
          <w:szCs w:val="22"/>
          <w:u w:val="single" w:color="auto"/>
          <w:color w:val="auto"/>
        </w:rPr>
        <w:t>Global Guaranty</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jc w:val="both"/>
        <w:ind w:firstLine="656"/>
        <w:spacing w:after="0" w:line="248" w:lineRule="auto"/>
        <w:tabs>
          <w:tab w:leader="none" w:pos="114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Listing</w:t>
      </w:r>
      <w:r>
        <w:rPr>
          <w:rFonts w:ascii="Times New Roman" w:cs="Times New Roman" w:eastAsia="Times New Roman" w:hAnsi="Times New Roman"/>
          <w:sz w:val="22"/>
          <w:szCs w:val="22"/>
          <w:color w:val="auto"/>
        </w:rPr>
        <w:t>. The Company shall promptly secure the listing or designation for quotation (as the case may be) of all of the Underlying Securities (as defined below) on the Principal Market, subject to official notice of issuance, and shall use reasonable efforts to maintain such listing or designation for quotation (as the case may be) of all Underlying Securities from time to time issuable under the terms of the Transaction Documents on such Principal Market for the Reporting Period. Neither the Company nor any of its Subsidiaries shall take any action which could be reasonably expected to result in the delisting or suspension of the Common Shares on a Principal Market during the Reporting Period. The Company shall pay all fees and expenses in connection with satisfying its obligations under this Section 4(d). “</w:t>
      </w:r>
      <w:r>
        <w:rPr>
          <w:rFonts w:ascii="Times New Roman" w:cs="Times New Roman" w:eastAsia="Times New Roman" w:hAnsi="Times New Roman"/>
          <w:sz w:val="22"/>
          <w:szCs w:val="22"/>
          <w:u w:val="single" w:color="auto"/>
          <w:color w:val="auto"/>
        </w:rPr>
        <w:t>Underlying Securities</w:t>
      </w:r>
      <w:r>
        <w:rPr>
          <w:rFonts w:ascii="Times New Roman" w:cs="Times New Roman" w:eastAsia="Times New Roman" w:hAnsi="Times New Roman"/>
          <w:sz w:val="22"/>
          <w:szCs w:val="22"/>
          <w:color w:val="auto"/>
        </w:rPr>
        <w:t>” means the (i) the Conversion Shares, and (ii) any Common Shares issued or issuable with respect to the Conversion Shares, including, without limitation, (1) as a result of any stock split, stock dividend, recapitalization, exchange or similar event or otherwise and (2) shares of capital stock of the Company into which the Common Shares are converted or exchanged without regard to any limitations on conversion of the Convertible Debentures.</w:t>
      </w:r>
    </w:p>
    <w:p>
      <w:pPr>
        <w:spacing w:after="0" w:line="188"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firstLine="656"/>
        <w:spacing w:after="0" w:line="256" w:lineRule="auto"/>
        <w:tabs>
          <w:tab w:leader="none" w:pos="1267"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Pledge of Securities</w:t>
      </w:r>
      <w:r>
        <w:rPr>
          <w:rFonts w:ascii="Times New Roman" w:cs="Times New Roman" w:eastAsia="Times New Roman" w:hAnsi="Times New Roman"/>
          <w:sz w:val="22"/>
          <w:szCs w:val="22"/>
          <w:color w:val="auto"/>
        </w:rPr>
        <w:t>. Notwithstanding anything to the contrary contained in this Agreement, the Company acknowledges and agrees that, subject to compliance with applicable federal and state securities laws, the Securities may be pledged by a Buyer in connection with a bona fide margin agreement or other loan or financing arrangement that is secured by the</w:t>
      </w:r>
    </w:p>
    <w:p>
      <w:pPr>
        <w:sectPr>
          <w:pgSz w:w="11900" w:h="16838" w:orient="portrait"/>
          <w:cols w:equalWidth="0" w:num="1">
            <w:col w:w="11240"/>
          </w:cols>
          <w:pgMar w:left="320" w:top="1422" w:right="339" w:bottom="1440" w:gutter="0" w:footer="0" w:header="0"/>
        </w:sectPr>
      </w:pPr>
    </w:p>
    <w:bookmarkStart w:id="47" w:name="page48"/>
    <w:bookmarkEnd w:id="47"/>
    <w:p>
      <w:pPr>
        <w:spacing w:after="0" w:line="271" w:lineRule="auto"/>
        <w:rPr>
          <w:sz w:val="20"/>
          <w:szCs w:val="20"/>
          <w:color w:val="auto"/>
        </w:rPr>
      </w:pPr>
      <w:r>
        <w:rPr>
          <w:rFonts w:ascii="Times New Roman" w:cs="Times New Roman" w:eastAsia="Times New Roman" w:hAnsi="Times New Roman"/>
          <w:sz w:val="22"/>
          <w:szCs w:val="22"/>
          <w:color w:val="auto"/>
        </w:rPr>
        <w:t>Securities. The Company hereby agrees to execute and deliver such documentation as a pledgee of the Securities may reasonably request in connection with a pledge of the Securities to such pledgee by a Buyer.</w:t>
      </w:r>
    </w:p>
    <w:p>
      <w:pPr>
        <w:spacing w:after="0" w:line="158" w:lineRule="exact"/>
        <w:rPr>
          <w:sz w:val="20"/>
          <w:szCs w:val="20"/>
          <w:color w:val="auto"/>
        </w:rPr>
      </w:pPr>
    </w:p>
    <w:p>
      <w:pPr>
        <w:ind w:left="1140" w:hanging="484"/>
        <w:spacing w:after="0"/>
        <w:tabs>
          <w:tab w:leader="none" w:pos="11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of Transactions and Other Material Information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43"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Disclosure of Transactions</w:t>
      </w:r>
      <w:r>
        <w:rPr>
          <w:rFonts w:ascii="Times New Roman" w:cs="Times New Roman" w:eastAsia="Times New Roman" w:hAnsi="Times New Roman"/>
          <w:sz w:val="22"/>
          <w:szCs w:val="22"/>
          <w:color w:val="auto"/>
        </w:rPr>
        <w:t>. The Company shall on or before 10:00 pm Eastern Time on the second Business Day after the date of this Agreement, file with the SEC a current report on Form 8K­ disclosing (a) all the material terms of the transactions contemplated by the Transaction Documents in the form required by the Exchange Act and attaching the Transaction Documents deemed by the Company necessary to be filed therewith, and (b) all material non-public information concerning the Company disclosed to the Buyers (including, required exhibits, the “</w:t>
      </w:r>
      <w:r>
        <w:rPr>
          <w:rFonts w:ascii="Times New Roman" w:cs="Times New Roman" w:eastAsia="Times New Roman" w:hAnsi="Times New Roman"/>
          <w:sz w:val="22"/>
          <w:szCs w:val="22"/>
          <w:u w:val="single" w:color="auto"/>
          <w:color w:val="auto"/>
        </w:rPr>
        <w:t>Current Report</w:t>
      </w:r>
      <w:r>
        <w:rPr>
          <w:rFonts w:ascii="Times New Roman" w:cs="Times New Roman" w:eastAsia="Times New Roman" w:hAnsi="Times New Roman"/>
          <w:sz w:val="22"/>
          <w:szCs w:val="22"/>
          <w:color w:val="auto"/>
        </w:rPr>
        <w:t>”). In addition, effective upon the filing of the Current Report the Company acknowledges and agrees that any and all confidentiality or similar obligations with respect to the transactions contemplated by the Transaction Documents under any agreement, whether written or oral, between the Company, any of its Subsidiaries or any of their respective officers, directors, affiliates, employees or agents, on the one hand, and any of the Buyers or any of their affiliates, on the other hand, shall terminate.</w:t>
      </w:r>
    </w:p>
    <w:p>
      <w:pPr>
        <w:spacing w:after="0" w:line="185"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76"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on Disclosure</w:t>
      </w:r>
      <w:r>
        <w:rPr>
          <w:rFonts w:ascii="Times New Roman" w:cs="Times New Roman" w:eastAsia="Times New Roman" w:hAnsi="Times New Roman"/>
          <w:sz w:val="22"/>
          <w:szCs w:val="22"/>
          <w:color w:val="auto"/>
        </w:rPr>
        <w:t>. The Company shall not, and the Company shall cause each of its Subsidiaries and each of its and their respective officers, directors, employees and agents not to, provide any Buyer with any material, nonpublic­ information regarding the Company or any of its Subsidiaries from and after the date hereof without first obtaining the express prior written consent of such Buyer (which may be granted or withheld in such Buyer's sole discretion). To the extent that the Company delivers any material, non-public information to a Buyer without such Buyer’s consent, the Company hereby covenants and agrees that such Buyer shall not have any duty of confidentiality with respect to such material, non-public information. Subject to the foregoing, neither the Company, its Subsidiaries nor any Buyer shall issue any press releases or any other public statements with respect to the transactions contemplated hereby; provided, however, the Company shall be entitled, without the prior approval of any Buyer, to make any press release or other public disclosure with respect to such transactions (i) in substantial conformity with the Current Report and contemporaneously therewith and (ii) as is required by applicable law and regulations (provided that in the case of clause (i), and to the extent practicable, each Buyer shall be consulted by the Company in connection with any such press release or other public disclosure prior to its release). Except with respect to the matters described in the Transaction Agreements, including the name of the Buyers as set forth therein, and events that have occurred pursuant to the terms of the Transaction Agreements, without the prior written consent of the applicable Buyer (which may be granted or withheld in such Buyer’s sole discretion), the Company shall not (and shall cause each of its Subsidiaries and affiliates to not) disclose the name of such Buyer in any filing, announcement, release or otherwise. Notwithstanding anything contained in this Agreement to the contrary and without implication that the contrary would otherwise be true, the Company expressly acknowledges and agrees that no Buyer shall have (unless expressly agreed to by a particular Buyer after the date hereof in a written definitive and binding agreement executed by the Company and such particular Buyer (it being understood and agreed that no Buyer may bind</w:t>
      </w:r>
    </w:p>
    <w:p>
      <w:pPr>
        <w:sectPr>
          <w:pgSz w:w="11900" w:h="16838" w:orient="portrait"/>
          <w:cols w:equalWidth="0" w:num="1">
            <w:col w:w="11240"/>
          </w:cols>
          <w:pgMar w:left="320" w:top="1422" w:right="339" w:bottom="1440" w:gutter="0" w:footer="0" w:header="0"/>
        </w:sectPr>
      </w:pPr>
    </w:p>
    <w:bookmarkStart w:id="48" w:name="page49"/>
    <w:bookmarkEnd w:id="48"/>
    <w:p>
      <w:pPr>
        <w:spacing w:after="0" w:line="271" w:lineRule="auto"/>
        <w:rPr>
          <w:sz w:val="20"/>
          <w:szCs w:val="20"/>
          <w:color w:val="auto"/>
        </w:rPr>
      </w:pPr>
      <w:r>
        <w:rPr>
          <w:rFonts w:ascii="Times New Roman" w:cs="Times New Roman" w:eastAsia="Times New Roman" w:hAnsi="Times New Roman"/>
          <w:sz w:val="22"/>
          <w:szCs w:val="22"/>
          <w:color w:val="auto"/>
        </w:rPr>
        <w:t>any other Buyer with respect thereto)), any duty of confidentiality with respect to any material, non-public information regarding the Company or any of its Subsidiaries.</w:t>
      </w:r>
    </w:p>
    <w:p>
      <w:pPr>
        <w:spacing w:after="0" w:line="158" w:lineRule="exact"/>
        <w:rPr>
          <w:sz w:val="20"/>
          <w:szCs w:val="20"/>
          <w:color w:val="auto"/>
        </w:rPr>
      </w:pPr>
    </w:p>
    <w:p>
      <w:pPr>
        <w:jc w:val="both"/>
        <w:ind w:firstLine="1304"/>
        <w:spacing w:after="0" w:line="259" w:lineRule="auto"/>
        <w:tabs>
          <w:tab w:leader="none" w:pos="1876" w:val="left"/>
        </w:tabs>
        <w:numPr>
          <w:ilvl w:val="2"/>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Confidential Information. Disclosure Failures</w:t>
      </w:r>
      <w:r>
        <w:rPr>
          <w:rFonts w:ascii="Times New Roman" w:cs="Times New Roman" w:eastAsia="Times New Roman" w:hAnsi="Times New Roman"/>
          <w:sz w:val="21"/>
          <w:szCs w:val="21"/>
          <w:color w:val="auto"/>
        </w:rPr>
        <w:t>. In addition to other remedies set forth in this Section 4(g), and without limiting anything set forth in any other Transaction Document, at any time after the Closing Date if the Company, any of its Subsidiaries, or any of their respective officers, directors, employees or agents, provides any Buyer with material non-public information relating to the Company or any of its Subsidiaries (each, the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the Company shall, on or prior to the applicable Required Disclosure Date (as defined below), publicly disclose such Confidential Information on a Current Report on Form 8-K or otherwise (each, a “</w:t>
      </w:r>
      <w:r>
        <w:rPr>
          <w:rFonts w:ascii="Times New Roman" w:cs="Times New Roman" w:eastAsia="Times New Roman" w:hAnsi="Times New Roman"/>
          <w:sz w:val="21"/>
          <w:szCs w:val="21"/>
          <w:u w:val="single" w:color="auto"/>
          <w:color w:val="auto"/>
        </w:rPr>
        <w:t>Disclosure</w:t>
      </w:r>
      <w:r>
        <w:rPr>
          <w:rFonts w:ascii="Times New Roman" w:cs="Times New Roman" w:eastAsia="Times New Roman" w:hAnsi="Times New Roman"/>
          <w:sz w:val="21"/>
          <w:szCs w:val="21"/>
          <w:color w:val="auto"/>
        </w:rPr>
        <w:t>”). From and after such Disclosure, the Company shall have disclosed all Confidential Information provided to such Buyer by the Company or any of its Subsidiaries or any of their respective officers, directors, employees or agents. In addition, effective upon such Disclosure,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shall terminate. “</w:t>
      </w:r>
      <w:r>
        <w:rPr>
          <w:rFonts w:ascii="Times New Roman" w:cs="Times New Roman" w:eastAsia="Times New Roman" w:hAnsi="Times New Roman"/>
          <w:sz w:val="21"/>
          <w:szCs w:val="21"/>
          <w:u w:val="single" w:color="auto"/>
          <w:color w:val="auto"/>
        </w:rPr>
        <w:t>Required Disclosure Date</w:t>
      </w:r>
      <w:r>
        <w:rPr>
          <w:rFonts w:ascii="Times New Roman" w:cs="Times New Roman" w:eastAsia="Times New Roman" w:hAnsi="Times New Roman"/>
          <w:sz w:val="21"/>
          <w:szCs w:val="21"/>
          <w:color w:val="auto"/>
        </w:rPr>
        <w:t>” means (x) if such Buyer authorized the delivery of such Confidential Information, either (I) if the Company and such Buyer have mutually agreed upon a date (as evidenced by an e-mail or other writing) of Disclosure of such Confidential Information, such agreed upon date or</w:t>
      </w:r>
    </w:p>
    <w:p>
      <w:pPr>
        <w:spacing w:after="0" w:line="11" w:lineRule="exact"/>
        <w:rPr>
          <w:rFonts w:ascii="Times New Roman" w:cs="Times New Roman" w:eastAsia="Times New Roman" w:hAnsi="Times New Roman"/>
          <w:sz w:val="21"/>
          <w:szCs w:val="21"/>
          <w:color w:val="auto"/>
        </w:rPr>
      </w:pPr>
    </w:p>
    <w:p>
      <w:pPr>
        <w:jc w:val="both"/>
        <w:ind w:firstLine="8"/>
        <w:spacing w:after="0" w:line="245" w:lineRule="auto"/>
        <w:tabs>
          <w:tab w:leader="none" w:pos="35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the seventh (7th) calendar day after the date such Buyer first received any Confidential Information or (y) if such Buyer did not authorize the delivery of such Confidential Information, the first (1st) Business Day after such Buyer’s receipt of such Confidential Information.</w:t>
      </w:r>
    </w:p>
    <w:p>
      <w:pPr>
        <w:spacing w:after="0" w:line="186" w:lineRule="exact"/>
        <w:rPr>
          <w:rFonts w:ascii="Times New Roman" w:cs="Times New Roman" w:eastAsia="Times New Roman" w:hAnsi="Times New Roman"/>
          <w:sz w:val="22"/>
          <w:szCs w:val="22"/>
          <w:color w:val="auto"/>
        </w:rPr>
      </w:pPr>
    </w:p>
    <w:p>
      <w:pPr>
        <w:jc w:val="both"/>
        <w:ind w:firstLine="656"/>
        <w:spacing w:after="0" w:line="248" w:lineRule="auto"/>
        <w:tabs>
          <w:tab w:leader="none" w:pos="1141"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Reservation of Shares</w:t>
      </w:r>
      <w:r>
        <w:rPr>
          <w:rFonts w:ascii="Times New Roman" w:cs="Times New Roman" w:eastAsia="Times New Roman" w:hAnsi="Times New Roman"/>
          <w:sz w:val="22"/>
          <w:szCs w:val="22"/>
          <w:color w:val="auto"/>
        </w:rPr>
        <w:t>. So long as any of the Convertible Debentures, remain outstanding, the Company shall have reserved from its duly authorized capital stock, and shall have instructed its transfer agent to irrevocably reserve, the maximum number of Common Shares issuable upon conversion of all Convertible Debentures (assuming for purposes hereof that (x) such Convertible Debentures are convertible at the Floor Price (as defined therein) as of the date of determination and (y) any such conversion shall not take into account any limitations on the conversion of the Convertible Debentures set forth therein) (the “</w:t>
      </w:r>
      <w:r>
        <w:rPr>
          <w:rFonts w:ascii="Times New Roman" w:cs="Times New Roman" w:eastAsia="Times New Roman" w:hAnsi="Times New Roman"/>
          <w:sz w:val="22"/>
          <w:szCs w:val="22"/>
          <w:u w:val="single" w:color="auto"/>
          <w:color w:val="auto"/>
        </w:rPr>
        <w:t>Maximum Conversion Shares</w:t>
      </w:r>
      <w:r>
        <w:rPr>
          <w:rFonts w:ascii="Times New Roman" w:cs="Times New Roman" w:eastAsia="Times New Roman" w:hAnsi="Times New Roman"/>
          <w:sz w:val="22"/>
          <w:szCs w:val="22"/>
          <w:color w:val="auto"/>
        </w:rPr>
        <w:t>”); provided that at no time shall the number of Common Shares reserved pursuant to this Section be reduced other than proportionally in connection with any conversion and/or redemption, or reverse stock split. If at any time the number of Common Shares authorized to be issued is not sufficient to meet the Maximum Conversion Shares, the Company will promptly take all corporate action necessary to authorize and reserve a sufficient number of shares, including, without limitation, calling a special meeting of stockholders to authorize additional shares to meet the Company's obligations pursuant to the Transaction Documents, in the case of an insufficient number of authorized shares, recommending that stockholders vote in favor of an increase in such authorized number of shares sufficient to meet the Maximum Conversion Shares.</w:t>
      </w:r>
    </w:p>
    <w:p>
      <w:pPr>
        <w:spacing w:after="0" w:line="192" w:lineRule="exact"/>
        <w:rPr>
          <w:rFonts w:ascii="Times New Roman" w:cs="Times New Roman" w:eastAsia="Times New Roman" w:hAnsi="Times New Roman"/>
          <w:sz w:val="22"/>
          <w:szCs w:val="22"/>
          <w:color w:val="auto"/>
        </w:rPr>
      </w:pPr>
    </w:p>
    <w:p>
      <w:pPr>
        <w:ind w:firstLine="656"/>
        <w:spacing w:after="0" w:line="271" w:lineRule="auto"/>
        <w:tabs>
          <w:tab w:leader="none" w:pos="1093"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Conduct of Business</w:t>
      </w:r>
      <w:r>
        <w:rPr>
          <w:rFonts w:ascii="Times New Roman" w:cs="Times New Roman" w:eastAsia="Times New Roman" w:hAnsi="Times New Roman"/>
          <w:sz w:val="22"/>
          <w:szCs w:val="22"/>
          <w:color w:val="auto"/>
        </w:rPr>
        <w:t>. The business of the Company and its Subsidiaries shall not be conducted in violation of any law, ordinance or regulation of any Governmental Entity,</w:t>
      </w:r>
    </w:p>
    <w:p>
      <w:pPr>
        <w:sectPr>
          <w:pgSz w:w="11900" w:h="16838" w:orient="portrait"/>
          <w:cols w:equalWidth="0" w:num="1">
            <w:col w:w="11240"/>
          </w:cols>
          <w:pgMar w:left="320" w:top="1422" w:right="339" w:bottom="1440" w:gutter="0" w:footer="0" w:header="0"/>
        </w:sectPr>
      </w:pPr>
    </w:p>
    <w:bookmarkStart w:id="49" w:name="page50"/>
    <w:bookmarkEnd w:id="49"/>
    <w:p>
      <w:pPr>
        <w:spacing w:after="0" w:line="271" w:lineRule="auto"/>
        <w:rPr>
          <w:sz w:val="20"/>
          <w:szCs w:val="20"/>
          <w:color w:val="auto"/>
        </w:rPr>
      </w:pPr>
      <w:r>
        <w:rPr>
          <w:rFonts w:ascii="Times New Roman" w:cs="Times New Roman" w:eastAsia="Times New Roman" w:hAnsi="Times New Roman"/>
          <w:sz w:val="22"/>
          <w:szCs w:val="22"/>
          <w:color w:val="auto"/>
        </w:rPr>
        <w:t>except where such violations would not reasonably be expected to result, either individually or in the aggregate, in a Material Adverse Effect.</w:t>
      </w:r>
    </w:p>
    <w:p>
      <w:pPr>
        <w:spacing w:after="0" w:line="158" w:lineRule="exact"/>
        <w:rPr>
          <w:sz w:val="20"/>
          <w:szCs w:val="20"/>
          <w:color w:val="auto"/>
        </w:rPr>
      </w:pPr>
    </w:p>
    <w:p>
      <w:pPr>
        <w:ind w:left="1080" w:hanging="424"/>
        <w:spacing w:after="0"/>
        <w:tabs>
          <w:tab w:leader="none" w:pos="108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Covenants relating to the SEPA and Stockholder Approval</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304"/>
        <w:spacing w:after="0" w:line="260" w:lineRule="auto"/>
        <w:tabs>
          <w:tab w:leader="none" w:pos="1756" w:val="left"/>
        </w:tabs>
        <w:numPr>
          <w:ilvl w:val="2"/>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SEPA Registration Statement</w:t>
      </w:r>
      <w:r>
        <w:rPr>
          <w:rFonts w:ascii="Times New Roman" w:cs="Times New Roman" w:eastAsia="Times New Roman" w:hAnsi="Times New Roman"/>
          <w:sz w:val="21"/>
          <w:szCs w:val="21"/>
          <w:color w:val="auto"/>
        </w:rPr>
        <w:t>. The Company filed a registration statement (File No. 333-282971) (the “</w:t>
      </w: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SEPA Registration Statement</w:t>
      </w:r>
      <w:r>
        <w:rPr>
          <w:rFonts w:ascii="Times New Roman" w:cs="Times New Roman" w:eastAsia="Times New Roman" w:hAnsi="Times New Roman"/>
          <w:sz w:val="21"/>
          <w:szCs w:val="21"/>
          <w:color w:val="auto"/>
        </w:rPr>
        <w:t>”) and a registration statement (File No. 333-286558) (the “</w:t>
      </w:r>
      <w:r>
        <w:rPr>
          <w:rFonts w:ascii="Times New Roman" w:cs="Times New Roman" w:eastAsia="Times New Roman" w:hAnsi="Times New Roman"/>
          <w:sz w:val="21"/>
          <w:szCs w:val="21"/>
          <w:u w:val="single" w:color="auto"/>
          <w:color w:val="auto"/>
        </w:rPr>
        <w:t>Second SEPA Registration Statement</w:t>
      </w:r>
      <w:r>
        <w:rPr>
          <w:rFonts w:ascii="Times New Roman" w:cs="Times New Roman" w:eastAsia="Times New Roman" w:hAnsi="Times New Roman"/>
          <w:sz w:val="21"/>
          <w:szCs w:val="21"/>
          <w:color w:val="auto"/>
        </w:rPr>
        <w:t>” and collectively with the First SEPA Registration Statement, the “</w:t>
      </w:r>
      <w:r>
        <w:rPr>
          <w:rFonts w:ascii="Times New Roman" w:cs="Times New Roman" w:eastAsia="Times New Roman" w:hAnsi="Times New Roman"/>
          <w:sz w:val="21"/>
          <w:szCs w:val="21"/>
          <w:u w:val="single" w:color="auto"/>
          <w:color w:val="auto"/>
        </w:rPr>
        <w:t>SEPA Registration Statements</w:t>
      </w:r>
      <w:r>
        <w:rPr>
          <w:rFonts w:ascii="Times New Roman" w:cs="Times New Roman" w:eastAsia="Times New Roman" w:hAnsi="Times New Roman"/>
          <w:sz w:val="21"/>
          <w:szCs w:val="21"/>
          <w:color w:val="auto"/>
        </w:rPr>
        <w:t>”) for the resale by Yorkville of up to an aggregate of 8,309,314 Common Shares issuable pursuant to the SEPA. As of the date hereof, an aggregate of 7,311,741 Common Shares issuable under the SEPA remain registered for resale by Yorkville pursuant to the SEPA Registration Statements. The Company agrees that for so long as any amounts remain outstanding under the Convertible Debentures and the convertible debentures issued to the Buyer (the “</w:t>
      </w:r>
      <w:r>
        <w:rPr>
          <w:rFonts w:ascii="Times New Roman" w:cs="Times New Roman" w:eastAsia="Times New Roman" w:hAnsi="Times New Roman"/>
          <w:sz w:val="21"/>
          <w:szCs w:val="21"/>
          <w:u w:val="single" w:color="auto"/>
          <w:color w:val="auto"/>
        </w:rPr>
        <w:t>Existing Convertible Debentures</w:t>
      </w:r>
      <w:r>
        <w:rPr>
          <w:rFonts w:ascii="Times New Roman" w:cs="Times New Roman" w:eastAsia="Times New Roman" w:hAnsi="Times New Roman"/>
          <w:sz w:val="21"/>
          <w:szCs w:val="21"/>
          <w:color w:val="auto"/>
        </w:rPr>
        <w:t>”) pursuant to the securities purchase agreement dated March 12, 2025 (the “</w:t>
      </w:r>
      <w:r>
        <w:rPr>
          <w:rFonts w:ascii="Times New Roman" w:cs="Times New Roman" w:eastAsia="Times New Roman" w:hAnsi="Times New Roman"/>
          <w:sz w:val="21"/>
          <w:szCs w:val="21"/>
          <w:u w:val="single" w:color="auto"/>
          <w:color w:val="auto"/>
        </w:rPr>
        <w:t>March SPA</w:t>
      </w:r>
      <w:r>
        <w:rPr>
          <w:rFonts w:ascii="Times New Roman" w:cs="Times New Roman" w:eastAsia="Times New Roman" w:hAnsi="Times New Roman"/>
          <w:sz w:val="21"/>
          <w:szCs w:val="21"/>
          <w:color w:val="auto"/>
        </w:rPr>
        <w:t>”), if the market value of the number of Common Shares issuable under the SEPA that remain registered for resale by Yorkville pursuant to the SEPA Registration Statements (as determined by multiplying the number of shares available for resale by the last closing price of the Common Shares) is less than 100% of the aggregate principal amount outstanding under the Convertible Debentures and the Existing Convertible Debentures, then the Company shall prepare and file a new registration statement to register the resale by Yorkville of additional Common Shares issuable under the SEPA within 30 days of the first occurrence of such event, and use commercially reasonable efforts to have such registration statement declared effective by the SEC within 60 days of filing thereof.</w:t>
      </w:r>
    </w:p>
    <w:p>
      <w:pPr>
        <w:spacing w:after="0" w:line="171" w:lineRule="exact"/>
        <w:rPr>
          <w:rFonts w:ascii="Times New Roman" w:cs="Times New Roman" w:eastAsia="Times New Roman" w:hAnsi="Times New Roman"/>
          <w:sz w:val="21"/>
          <w:szCs w:val="21"/>
          <w:color w:val="auto"/>
        </w:rPr>
      </w:pPr>
    </w:p>
    <w:p>
      <w:pPr>
        <w:jc w:val="both"/>
        <w:ind w:firstLine="1304"/>
        <w:spacing w:after="0" w:line="262" w:lineRule="auto"/>
        <w:tabs>
          <w:tab w:leader="none" w:pos="1857" w:val="left"/>
        </w:tabs>
        <w:numPr>
          <w:ilvl w:val="2"/>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Stockholder Approval</w:t>
      </w:r>
      <w:r>
        <w:rPr>
          <w:rFonts w:ascii="Times New Roman" w:cs="Times New Roman" w:eastAsia="Times New Roman" w:hAnsi="Times New Roman"/>
          <w:sz w:val="21"/>
          <w:szCs w:val="21"/>
          <w:color w:val="auto"/>
        </w:rPr>
        <w:t>. Within 90 calendar days of the date of this Agreement, the Company shall hold a special meeting of stockholders (which may also be at the annual meeting of stockholders) (the “</w:t>
      </w:r>
      <w:r>
        <w:rPr>
          <w:rFonts w:ascii="Times New Roman" w:cs="Times New Roman" w:eastAsia="Times New Roman" w:hAnsi="Times New Roman"/>
          <w:sz w:val="21"/>
          <w:szCs w:val="21"/>
          <w:u w:val="single" w:color="auto"/>
          <w:color w:val="auto"/>
        </w:rPr>
        <w:t>Special Meeting</w:t>
      </w:r>
      <w:r>
        <w:rPr>
          <w:rFonts w:ascii="Times New Roman" w:cs="Times New Roman" w:eastAsia="Times New Roman" w:hAnsi="Times New Roman"/>
          <w:sz w:val="21"/>
          <w:szCs w:val="21"/>
          <w:color w:val="auto"/>
        </w:rPr>
        <w:t>”) providing for the approval of, and obtain the approval of, (i) the issuance of the Convertible Debentures and the Maximum Conversion Shares (without regard to the Exchange Cap) in compliance with the rules and regulations of the Principal Market, including Rule 5635(d) thereof (without regard to any limitation on conversion or exercise thereof) (the “</w:t>
      </w:r>
      <w:r>
        <w:rPr>
          <w:rFonts w:ascii="Times New Roman" w:cs="Times New Roman" w:eastAsia="Times New Roman" w:hAnsi="Times New Roman"/>
          <w:sz w:val="21"/>
          <w:szCs w:val="21"/>
          <w:u w:val="single" w:color="auto"/>
          <w:color w:val="auto"/>
        </w:rPr>
        <w:t>Debenture Stockholder Approval</w:t>
      </w:r>
      <w:r>
        <w:rPr>
          <w:rFonts w:ascii="Times New Roman" w:cs="Times New Roman" w:eastAsia="Times New Roman" w:hAnsi="Times New Roman"/>
          <w:sz w:val="21"/>
          <w:szCs w:val="21"/>
          <w:color w:val="auto"/>
        </w:rPr>
        <w:t>”), and</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31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issuance of the Common Shares issuable pursuant to the Existing Convertible Debentures (without regard to the Exchange Cap) in compliance with the rules and regulations of the Principal Market, including Rule 5635(d) thereof) in accordance with the amendments to the conversion price as set forth in the amendment agreement dated as of the date hereof (the “</w:t>
      </w:r>
      <w:r>
        <w:rPr>
          <w:rFonts w:ascii="Times New Roman" w:cs="Times New Roman" w:eastAsia="Times New Roman" w:hAnsi="Times New Roman"/>
          <w:sz w:val="22"/>
          <w:szCs w:val="22"/>
          <w:u w:val="single" w:color="auto"/>
          <w:color w:val="auto"/>
        </w:rPr>
        <w:t>Existing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Debentures Stockholder Approval</w:t>
      </w:r>
      <w:r>
        <w:rPr>
          <w:rFonts w:ascii="Times New Roman" w:cs="Times New Roman" w:eastAsia="Times New Roman" w:hAnsi="Times New Roman"/>
          <w:sz w:val="22"/>
          <w:szCs w:val="22"/>
          <w:color w:val="auto"/>
        </w:rPr>
        <w:t>”), with the recommendation of the Company’s Board of Directors that such proposals be approved. The Company shall include the Debenture Stockholder Approval and the Existing Debentures Stockholder Approval in the proxy statement and shall solicit proxies from its stockholders in connection therewith in the same manner as all other management proposals in the Proxy Statement.</w:t>
      </w:r>
    </w:p>
    <w:p>
      <w:pPr>
        <w:spacing w:after="0" w:line="185" w:lineRule="exact"/>
        <w:rPr>
          <w:rFonts w:ascii="Times New Roman" w:cs="Times New Roman" w:eastAsia="Times New Roman" w:hAnsi="Times New Roman"/>
          <w:sz w:val="22"/>
          <w:szCs w:val="22"/>
          <w:color w:val="auto"/>
        </w:rPr>
      </w:pPr>
    </w:p>
    <w:p>
      <w:pPr>
        <w:jc w:val="both"/>
        <w:ind w:right="20" w:firstLine="1304"/>
        <w:spacing w:after="0" w:line="263" w:lineRule="auto"/>
        <w:tabs>
          <w:tab w:leader="none" w:pos="1836"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 Advances</w:t>
      </w:r>
      <w:r>
        <w:rPr>
          <w:rFonts w:ascii="Times New Roman" w:cs="Times New Roman" w:eastAsia="Times New Roman" w:hAnsi="Times New Roman"/>
          <w:sz w:val="22"/>
          <w:szCs w:val="22"/>
          <w:color w:val="auto"/>
        </w:rPr>
        <w:t>. For so long as any amounts remain outstanding under the Existing Convertible Debentures or the Convertible Debentures, unless otherwise agreed by Yorkville: (A) the Company shall not submit an Advance Notice prior to the date that is four</w:t>
      </w:r>
    </w:p>
    <w:p>
      <w:pPr>
        <w:sectPr>
          <w:pgSz w:w="11900" w:h="16838" w:orient="portrait"/>
          <w:cols w:equalWidth="0" w:num="1">
            <w:col w:w="11240"/>
          </w:cols>
          <w:pgMar w:left="320" w:top="1422" w:right="339" w:bottom="1440" w:gutter="0" w:footer="0" w:header="0"/>
        </w:sectPr>
      </w:pPr>
    </w:p>
    <w:bookmarkStart w:id="50" w:name="page51"/>
    <w:bookmarkEnd w:id="50"/>
    <w:p>
      <w:pPr>
        <w:jc w:val="both"/>
        <w:spacing w:after="0" w:line="260" w:lineRule="auto"/>
        <w:rPr>
          <w:sz w:val="20"/>
          <w:szCs w:val="20"/>
          <w:color w:val="auto"/>
        </w:rPr>
      </w:pPr>
      <w:r>
        <w:rPr>
          <w:rFonts w:ascii="Times New Roman" w:cs="Times New Roman" w:eastAsia="Times New Roman" w:hAnsi="Times New Roman"/>
          <w:sz w:val="21"/>
          <w:szCs w:val="21"/>
          <w:color w:val="auto"/>
        </w:rPr>
        <w:t>months from the date hereof; (B) thereafter, the Company may submit an Advance Notice provided that (1) an Amortization Event (as defined in the Convertible Debentures and the Existing Convertible Debentures) has not occurred, or has occurred but is not continuing, (2) the Company requests an Option 2 Pricing Period in such Advance Notice, (3) at least 5 Trading Days have elapsed since the date of the immediately prior Advance Notice and no more than two Advance Notices may be submitted in any calendar month, (4) the Commitment Amount (as defined in the SEPA) remaining available (after taking into account the subject Advance Notice) exceeds 110% of the aggregate principal amount then outstanding under the Convertible Debentures and the Existing Convertible Debentures, (5) no event of default shall have occurred under the Convertible Debentures and the Existing Convertible Debentures, (6) the market value of the number of Common Shares issuable under the SEPA that remain registered for resale by Yorkville pursuant to an effective registration statement or registration statements (as determined by multiplying the number of shares available for resale by the last closing price of the Common Shares) is at least 200% of the aggregate principal amount outstanding under the Existing Convertible Debentures and the Convertible Debentures, and (7) the number of Common Shares requested in such Advance Notice does not exceed subsection (i) of the definition of Maximum Advance Amount set forth in the SEPA; and (C) notwithstanding the limitations set forth in (A) and (B) above, if an Amortization Event has occurred and is continuing, the Company may submit an Advance Notice provided that (1) the Company requests an Option 2 Pricing Period in such Advance Notice and (2) all of the proceeds from such Advance Notice shall be used to satisfy payments due or coming due pursuant to Section 1(c) of the Convertible Debentures or Existing Convertible Debentures.</w:t>
      </w:r>
    </w:p>
    <w:p>
      <w:pPr>
        <w:spacing w:after="0" w:line="175" w:lineRule="exact"/>
        <w:rPr>
          <w:sz w:val="20"/>
          <w:szCs w:val="20"/>
          <w:color w:val="auto"/>
        </w:rPr>
      </w:pPr>
    </w:p>
    <w:p>
      <w:pPr>
        <w:jc w:val="both"/>
        <w:ind w:firstLine="656"/>
        <w:spacing w:after="0" w:line="247" w:lineRule="auto"/>
        <w:tabs>
          <w:tab w:leader="none" w:pos="117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below, the Buyer covenants that from and after the date hereof through and ending when no Convertible Debentures remain outstanding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no Buyer or any of its officers, or any entity managed or controlled by the Buyer (collectively, the “</w:t>
      </w:r>
      <w:r>
        <w:rPr>
          <w:rFonts w:ascii="Times New Roman" w:cs="Times New Roman" w:eastAsia="Times New Roman" w:hAnsi="Times New Roman"/>
          <w:sz w:val="22"/>
          <w:szCs w:val="22"/>
          <w:u w:val="single" w:color="auto"/>
          <w:color w:val="auto"/>
        </w:rPr>
        <w:t>Restricted Persons</w:t>
      </w:r>
      <w:r>
        <w:rPr>
          <w:rFonts w:ascii="Times New Roman" w:cs="Times New Roman" w:eastAsia="Times New Roman" w:hAnsi="Times New Roman"/>
          <w:sz w:val="22"/>
          <w:szCs w:val="22"/>
          <w:color w:val="auto"/>
        </w:rPr>
        <w:t>” and each of the foregoing is referred to herein as a “</w:t>
      </w:r>
      <w:r>
        <w:rPr>
          <w:rFonts w:ascii="Times New Roman" w:cs="Times New Roman" w:eastAsia="Times New Roman" w:hAnsi="Times New Roman"/>
          <w:sz w:val="22"/>
          <w:szCs w:val="22"/>
          <w:u w:val="single" w:color="auto"/>
          <w:color w:val="auto"/>
        </w:rPr>
        <w:t>Restricted Person</w:t>
      </w:r>
      <w:r>
        <w:rPr>
          <w:rFonts w:ascii="Times New Roman" w:cs="Times New Roman" w:eastAsia="Times New Roman" w:hAnsi="Times New Roman"/>
          <w:sz w:val="22"/>
          <w:szCs w:val="22"/>
          <w:color w:val="auto"/>
        </w:rPr>
        <w:t>”) shall, directly or indirectly, engage in (i) any “short sale” (as such term is defined in Rule 200 of Regulation SHO of the Exchange Act) of the Common Shares or (ii) put equivalent position or any hedging transaction which establishes a net short position with respect to any securities of the Company, either for its own principal account or for the principal account of any other Restricted Person. Notwithstanding the foregoing, it is expressly understood and agreed that nothing contained herein shall (without implication that the contrary would otherwise be true) prohibit any Restricted Person during the Restricted Period from: (1) selling “long” (as defined under Rule 200 promulgated under Regulation SHO) Common Shares; or (2) selling a number of Common Shares equal to the number of Underlying Shares that such Restricted Person is entitled to receive, but has not yet received from the Company or the transfer agent upon the completion of a pending conversion of the Convertible Debentures for which a valid Conversion Notice (as defined in the Convertible Debentures) has been submitted to the Company pursuant to Section 4(b) of the Convertible Debentures.</w:t>
      </w:r>
    </w:p>
    <w:p>
      <w:pPr>
        <w:spacing w:after="0" w:line="192" w:lineRule="exact"/>
        <w:rPr>
          <w:rFonts w:ascii="Times New Roman" w:cs="Times New Roman" w:eastAsia="Times New Roman" w:hAnsi="Times New Roman"/>
          <w:sz w:val="22"/>
          <w:szCs w:val="22"/>
          <w:color w:val="auto"/>
        </w:rPr>
      </w:pPr>
    </w:p>
    <w:p>
      <w:pPr>
        <w:jc w:val="both"/>
        <w:ind w:right="20" w:firstLine="656"/>
        <w:spacing w:after="0" w:line="263" w:lineRule="auto"/>
        <w:tabs>
          <w:tab w:leader="none" w:pos="125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Prohibited Transactions</w:t>
      </w:r>
      <w:r>
        <w:rPr>
          <w:rFonts w:ascii="Times New Roman" w:cs="Times New Roman" w:eastAsia="Times New Roman" w:hAnsi="Times New Roman"/>
          <w:sz w:val="22"/>
          <w:szCs w:val="22"/>
          <w:color w:val="auto"/>
        </w:rPr>
        <w:t>. From the date hereof until all of the Convertible Debentures have been repaid or converted into Common Shares, the Company agrees to not directly or indirectly enter into any contract, agreement or other item that would restrict or</w:t>
      </w:r>
    </w:p>
    <w:p>
      <w:pPr>
        <w:sectPr>
          <w:pgSz w:w="11900" w:h="16838" w:orient="portrait"/>
          <w:cols w:equalWidth="0" w:num="1">
            <w:col w:w="11240"/>
          </w:cols>
          <w:pgMar w:left="320" w:top="1422" w:right="339" w:bottom="1440" w:gutter="0" w:footer="0" w:header="0"/>
        </w:sectPr>
      </w:pPr>
    </w:p>
    <w:bookmarkStart w:id="51" w:name="page52"/>
    <w:bookmarkEnd w:id="51"/>
    <w:p>
      <w:pPr>
        <w:ind w:right="20"/>
        <w:spacing w:after="0" w:line="271" w:lineRule="auto"/>
        <w:rPr>
          <w:sz w:val="20"/>
          <w:szCs w:val="20"/>
          <w:color w:val="auto"/>
        </w:rPr>
      </w:pPr>
      <w:r>
        <w:rPr>
          <w:rFonts w:ascii="Times New Roman" w:cs="Times New Roman" w:eastAsia="Times New Roman" w:hAnsi="Times New Roman"/>
          <w:sz w:val="22"/>
          <w:szCs w:val="22"/>
          <w:color w:val="auto"/>
        </w:rPr>
        <w:t>prohibit any of the Company’s obligations to the Buyer(s) under the Transaction Documents, including, without limitation, any cash payments required to be made by the Company to the Buyer(s).</w:t>
      </w:r>
    </w:p>
    <w:p>
      <w:pPr>
        <w:spacing w:after="0" w:line="158" w:lineRule="exact"/>
        <w:rPr>
          <w:sz w:val="20"/>
          <w:szCs w:val="20"/>
          <w:color w:val="auto"/>
        </w:rPr>
      </w:pPr>
    </w:p>
    <w:p>
      <w:pPr>
        <w:jc w:val="both"/>
        <w:ind w:firstLine="656"/>
        <w:spacing w:after="0" w:line="248" w:lineRule="auto"/>
        <w:tabs>
          <w:tab w:leader="none" w:pos="122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date hereof until all the Convertible Debentures have been repaid, without the prior written consent of the Buyer, the Company shall not, and shall not permit any of its Subsidiaries (whether or not a Subsidiary on the date hereof) to, directly or indirectly (i) other than Permitted Indebtedness, enter into, create, incur, assume, guarantee or suffer to exist any Indebtedness, (ii) other than Permitted Liens, enter into, create, incur, assume or suffer to exist any Lien on or with respect to any of its property or assets now owned or hereafter acquired or any interest therein or any income or profits therefrom, (iii) make any payment in respect of any related party debt, (iv) enter into a transaction, the primary purpose of which is to raise capital for the Company, wherein the Company issues its equity capital stock and receives net proceeds in excess of $20.0 million wherein less than 25% of the net proceeds from such offering are reserved for payment of the obligations under the Convertible Debentures, which payment shall be made promptly upon receipt of the net proceeds of the offering (unless payment is waived by the Buyer) and which payment shall used to reduce the outstanding Principal balance of either the Convertible Debentures or Existing Convertible Debentures (at the discretion of the Buyer) plus all accrued and unpaid interest thereunder as of the date of such payment, or (iv) enter into, agree to enter into, or effect any Variable Rate Transaction (other than in connection with the SEPA); provided, however, in no case shall any of the foregoing restrict transactions, events or issuances that have occurred prior to the date hereof.</w:t>
      </w:r>
    </w:p>
    <w:p>
      <w:pPr>
        <w:spacing w:after="0" w:line="188" w:lineRule="exact"/>
        <w:rPr>
          <w:sz w:val="20"/>
          <w:szCs w:val="20"/>
          <w:color w:val="auto"/>
        </w:rPr>
      </w:pPr>
    </w:p>
    <w:p>
      <w:pPr>
        <w:jc w:val="both"/>
        <w:ind w:left="740"/>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Indebtedness</w:t>
      </w:r>
      <w:r>
        <w:rPr>
          <w:rFonts w:ascii="Times New Roman" w:cs="Times New Roman" w:eastAsia="Times New Roman" w:hAnsi="Times New Roman"/>
          <w:sz w:val="22"/>
          <w:szCs w:val="22"/>
          <w:color w:val="auto"/>
        </w:rPr>
        <w:t>” shall mean: (i) indebtedness evidenced by the Convertible Debentures; (ii) indebtedness outstanding on the date hereof and any refinance of any such Indebtedness in a principal amount that does not exceed the original principal amount of such Indebtedness being refinanced and on terms that are not materially more restrictive; (iii) indebtedness incurred solely for the purpose of financing the acquisition or lease of any equipment, including capital lease obligations with no recourse other than to such equipment; (iv) indebtedness (A) the repayment of which has been subordinated to the payment of the Convertible Debentures on terms and conditions acceptable to the Buyers, including with regard to interest payments and repayment of principal, (B) which does not mature or otherwise require or permit redemption or repayment prior to or on the 91st day after the maturity date of any Convertible Debentures then outstanding; and (C) which is not secured by any assets of the Company or its subsidiaries; (v) indebtedness associated with acquiring new intellectual property assets and licenses, so long as the proceeds are going to the party(ies) from which the Company is acquiring the assets, licenses, and other properties and</w:t>
      </w:r>
    </w:p>
    <w:p>
      <w:pPr>
        <w:spacing w:after="0" w:line="9" w:lineRule="exact"/>
        <w:rPr>
          <w:sz w:val="20"/>
          <w:szCs w:val="20"/>
          <w:color w:val="auto"/>
        </w:rPr>
      </w:pPr>
    </w:p>
    <w:p>
      <w:pPr>
        <w:ind w:left="740" w:hanging="3"/>
        <w:spacing w:after="0" w:line="248" w:lineRule="auto"/>
        <w:tabs>
          <w:tab w:leader="none" w:pos="113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indebtedness (other than the indebtedness set out in (i) – (v) above) incurred after the date hereof, provided that such indebtedness does not exceed $500,000 at any given time.</w:t>
      </w:r>
    </w:p>
    <w:p>
      <w:pPr>
        <w:spacing w:after="0" w:line="182"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shall mean (1) any existing Liens on the date hereof; (2) inchoate Liens for taxes, assessments or governmental charges or levies not yet due, as to which</w:t>
      </w:r>
    </w:p>
    <w:p>
      <w:pPr>
        <w:sectPr>
          <w:pgSz w:w="11900" w:h="16838" w:orient="portrait"/>
          <w:cols w:equalWidth="0" w:num="1">
            <w:col w:w="11240"/>
          </w:cols>
          <w:pgMar w:left="320" w:top="1422" w:right="339" w:bottom="1440" w:gutter="0" w:footer="0" w:header="0"/>
        </w:sectPr>
      </w:pPr>
    </w:p>
    <w:bookmarkStart w:id="52" w:name="page53"/>
    <w:bookmarkEnd w:id="52"/>
    <w:p>
      <w:pPr>
        <w:jc w:val="both"/>
        <w:ind w:left="4"/>
        <w:spacing w:after="0" w:line="258" w:lineRule="auto"/>
        <w:rPr>
          <w:sz w:val="20"/>
          <w:szCs w:val="20"/>
          <w:color w:val="auto"/>
        </w:rPr>
      </w:pPr>
      <w:r>
        <w:rPr>
          <w:rFonts w:ascii="Times New Roman" w:cs="Times New Roman" w:eastAsia="Times New Roman" w:hAnsi="Times New Roman"/>
          <w:sz w:val="21"/>
          <w:szCs w:val="21"/>
          <w:color w:val="auto"/>
        </w:rPr>
        <w:t>the grace period, if any, related thereto has not yet expired, or being contested in good faith and by appropriate proceedings for which adequate reserves have been established in accordance with GAAP; (3) Liens of carriers, materialmen, warehousemen, mechanics and landlords and other similar Liens which secure amounts which are not yet overdue by more than 60 days or which are being contested in good faith by appropriate proceedings for which adequate reserves have been established in accordance with GAAP; (4) licenses, sublicenses, leases or subleases granted to other persons not materially interfering with the conduct of the business of the Company; (5) Liens securing capitalized lease obligations and purchase money indebtedness incurred solely for the purpose of financing an acquisition or lease; (6) easements, rights-of-way, restrictions, encroachments, municipal zoning ordinances and other similar charges or encumbrances, and minor title deficiencies, in each case not securing debt and not materially interfering with the conduct of the business of the Company and not materially detracting from the value of the property subject thereto; (7) Liens arising out of the existence of judgments or awards which judgments or awards do not constitute an Event of Default; (8) Liens incurred in the ordinary course of business in connection with workers compensation claims, unemployment insurance, pension liabilities and social security benefits and Liens securing the performance of bids, tenders, leases and contracts in the ordinary course of business, statutory obligations, surety bonds, performance bonds and other obligations of a like nature (other than appeal bonds) incurred in the ordinary course of business (exclusive of obligations in respect of the payment for borrowed money); (9) Liens in favor of a banking institution arising by operation of law encumbering deposits (including the right of set-off) and contractual set-off rights held by such banking institution and which are within the general parameters customary in the banking industry and only burdening deposit accounts or other funds maintained with a creditor depository institution; (10) usual and customary set-off rights in leases and other contracts;</w:t>
      </w:r>
    </w:p>
    <w:p>
      <w:pPr>
        <w:spacing w:after="0" w:line="8" w:lineRule="exact"/>
        <w:rPr>
          <w:sz w:val="20"/>
          <w:szCs w:val="20"/>
          <w:color w:val="auto"/>
        </w:rPr>
      </w:pPr>
    </w:p>
    <w:p>
      <w:pPr>
        <w:jc w:val="both"/>
        <w:ind w:left="4" w:hanging="4"/>
        <w:spacing w:after="0" w:line="248" w:lineRule="auto"/>
        <w:tabs>
          <w:tab w:leader="none" w:pos="41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escrows in connection with acquisitions and dispositions; (12) royalties and other rights to revenue derived from the sale of the Company’s products that are granted in the ordinary course of business; and (13) other Liens securing Indebtedness or other obligations permitted under this Agreement in an aggregate outstanding amount not to exceed $200,000.</w:t>
      </w:r>
    </w:p>
    <w:p>
      <w:pPr>
        <w:spacing w:after="0" w:line="184"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Variable Rate Transaction</w:t>
      </w:r>
      <w:r>
        <w:rPr>
          <w:rFonts w:ascii="Times New Roman" w:cs="Times New Roman" w:eastAsia="Times New Roman" w:hAnsi="Times New Roman"/>
          <w:sz w:val="22"/>
          <w:szCs w:val="22"/>
          <w:color w:val="auto"/>
        </w:rPr>
        <w:t>” shall mean a transaction in which the Company (i) issues or sells any equity, warrants, or debt securities, in each case that are convertible into, exchangeable or exercisable for, or include the right to receive additional Common Shares either (A) at a conversion price, exercise price, exchange rate or other price that is based upon and/or varies with the trading prices of or quotations for the Common Shares at any time after the initial issuance of such security, or (B) with a conversion, exercise or exchange price that is subject to being reset at some future date after the initial issuance of such security or upon the occurrence of specified or contingent events directly or indirectly related to the business of the Company or the market for the Common Shares (including, without limitation, any “full ratchet” or “weighted average” anti-dilution provisions, but not including any standard anti-dilution protection for any reorganization, recapitalization, business combination, dividend, stock split or other similar transaction), or (ii) enters into or effects any agreement, including but not limited to an “equity line of</w:t>
      </w:r>
    </w:p>
    <w:p>
      <w:pPr>
        <w:sectPr>
          <w:pgSz w:w="11900" w:h="16838" w:orient="portrait"/>
          <w:cols w:equalWidth="0" w:num="1">
            <w:col w:w="10584"/>
          </w:cols>
          <w:pgMar w:left="976" w:top="1422" w:right="339" w:bottom="1440" w:gutter="0" w:footer="0" w:header="0"/>
        </w:sectPr>
      </w:pPr>
    </w:p>
    <w:bookmarkStart w:id="53" w:name="page54"/>
    <w:bookmarkEnd w:id="53"/>
    <w:p>
      <w:pPr>
        <w:jc w:val="both"/>
        <w:ind w:left="653"/>
        <w:spacing w:after="0" w:line="259" w:lineRule="auto"/>
        <w:rPr>
          <w:sz w:val="20"/>
          <w:szCs w:val="20"/>
          <w:color w:val="auto"/>
        </w:rPr>
      </w:pPr>
      <w:r>
        <w:rPr>
          <w:rFonts w:ascii="Times New Roman" w:cs="Times New Roman" w:eastAsia="Times New Roman" w:hAnsi="Times New Roman"/>
          <w:sz w:val="22"/>
          <w:szCs w:val="22"/>
          <w:color w:val="auto"/>
        </w:rPr>
        <w:t xml:space="preserve">credit,” “ATM agreement” or other continuous offering or similar offering of Common Shares;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in no event shall warrants (in a form previously provided to the Buyer) previously issued to WTI Fund X, Inc., WTI Fund XI, Inc., WTI Fund X, LLC or WTI Fund XI, LLC constitute a Variable Rate Transaction.</w:t>
      </w:r>
    </w:p>
    <w:p>
      <w:pPr>
        <w:spacing w:after="0" w:line="184" w:lineRule="exact"/>
        <w:rPr>
          <w:sz w:val="20"/>
          <w:szCs w:val="20"/>
          <w:color w:val="auto"/>
        </w:rPr>
      </w:pPr>
    </w:p>
    <w:p>
      <w:pPr>
        <w:jc w:val="both"/>
        <w:ind w:left="-7" w:firstLine="656"/>
        <w:spacing w:after="0" w:line="254" w:lineRule="auto"/>
        <w:tabs>
          <w:tab w:leader="none" w:pos="1137"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Trading Day that a Buyer sells any Conversion Shares, such Buyer shall, on such Trading Day, provide to the Company with the following information: (i) the quantity of the Conversion Shares sold by such Buyer on such day, and</w:t>
      </w:r>
    </w:p>
    <w:p>
      <w:pPr>
        <w:spacing w:after="0" w:line="1" w:lineRule="exact"/>
        <w:rPr>
          <w:rFonts w:ascii="Times New Roman" w:cs="Times New Roman" w:eastAsia="Times New Roman" w:hAnsi="Times New Roman"/>
          <w:sz w:val="22"/>
          <w:szCs w:val="22"/>
          <w:color w:val="auto"/>
        </w:rPr>
      </w:pPr>
    </w:p>
    <w:p>
      <w:pPr>
        <w:ind w:left="333" w:hanging="332"/>
        <w:spacing w:after="0"/>
        <w:tabs>
          <w:tab w:leader="none" w:pos="333"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average sale price of the Conversion Shares sold by such Buyer on such date.</w:t>
      </w:r>
    </w:p>
    <w:p>
      <w:pPr>
        <w:spacing w:after="0" w:line="195" w:lineRule="exact"/>
        <w:rPr>
          <w:rFonts w:ascii="Times New Roman" w:cs="Times New Roman" w:eastAsia="Times New Roman" w:hAnsi="Times New Roman"/>
          <w:sz w:val="22"/>
          <w:szCs w:val="22"/>
          <w:color w:val="auto"/>
        </w:rPr>
      </w:pPr>
    </w:p>
    <w:p>
      <w:pPr>
        <w:jc w:val="both"/>
        <w:ind w:left="-7" w:firstLine="656"/>
        <w:spacing w:after="0" w:line="249" w:lineRule="auto"/>
        <w:tabs>
          <w:tab w:leader="none" w:pos="1109" w:val="left"/>
        </w:tabs>
        <w:numPr>
          <w:ilvl w:val="2"/>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least two (2) days prior to each Closing Date, the Company shall deliver to the Buyer a disclosure schedule (the “</w:t>
      </w:r>
      <w:r>
        <w:rPr>
          <w:rFonts w:ascii="Times New Roman" w:cs="Times New Roman" w:eastAsia="Times New Roman" w:hAnsi="Times New Roman"/>
          <w:sz w:val="22"/>
          <w:szCs w:val="22"/>
          <w:u w:val="single" w:color="auto"/>
          <w:color w:val="auto"/>
        </w:rPr>
        <w:t>Disclosure Schedule</w:t>
      </w:r>
      <w:r>
        <w:rPr>
          <w:rFonts w:ascii="Times New Roman" w:cs="Times New Roman" w:eastAsia="Times New Roman" w:hAnsi="Times New Roman"/>
          <w:sz w:val="22"/>
          <w:szCs w:val="22"/>
          <w:color w:val="auto"/>
        </w:rPr>
        <w:t>”) setting forth any changes necessary to make the representations and warranties of the Company set forth in Section 3, though excluding Section 3(o)(i) and (ii), true and correct as of such Closing Date. Notwithstanding the foregoing, (i) if the Buyer determines, in good faith, that the matters set forth in the Disclosure Schedule constitute a Material Adverse Effect, the Buyer shall have the right, upon written notice to the Company within 2 days of receipt of the Disclosure Schedule, to terminate its obligation to proceed with such Closing, or waive such changes and proceed with such Closing, and</w:t>
      </w:r>
    </w:p>
    <w:p>
      <w:pPr>
        <w:spacing w:after="0" w:line="1" w:lineRule="exact"/>
        <w:rPr>
          <w:rFonts w:ascii="Times New Roman" w:cs="Times New Roman" w:eastAsia="Times New Roman" w:hAnsi="Times New Roman"/>
          <w:sz w:val="22"/>
          <w:szCs w:val="22"/>
          <w:color w:val="auto"/>
        </w:rPr>
      </w:pPr>
    </w:p>
    <w:p>
      <w:pPr>
        <w:jc w:val="both"/>
        <w:ind w:left="-7" w:firstLine="8"/>
        <w:spacing w:after="0" w:line="247" w:lineRule="auto"/>
        <w:tabs>
          <w:tab w:leader="none" w:pos="323"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disclosure in the Disclosure Schedule with respect to the Second Closing that reflects an event or condition that should have been disclosed at the First Closing but was not shall not be deemed to cure any breach of the Company’s representations and warranties as of the First Closing Date and shall not limit or affect the Buyer’s rights with respect to such breach. If a Disclosure Schedule contains any Confidential Information, the Company shall, on or prior to the applicable Required Disclosure Date, publicly disclose such Confidential Information on a Current Report on Form 8-K or otherwise.</w:t>
      </w:r>
    </w:p>
    <w:p>
      <w:pPr>
        <w:spacing w:after="0" w:line="200" w:lineRule="exact"/>
        <w:rPr>
          <w:rFonts w:ascii="Times New Roman" w:cs="Times New Roman" w:eastAsia="Times New Roman" w:hAnsi="Times New Roman"/>
          <w:sz w:val="22"/>
          <w:szCs w:val="22"/>
          <w:color w:val="auto"/>
        </w:rPr>
      </w:pPr>
    </w:p>
    <w:p>
      <w:pPr>
        <w:spacing w:after="0" w:line="225" w:lineRule="exact"/>
        <w:rPr>
          <w:rFonts w:ascii="Times New Roman" w:cs="Times New Roman" w:eastAsia="Times New Roman" w:hAnsi="Times New Roman"/>
          <w:sz w:val="22"/>
          <w:szCs w:val="22"/>
          <w:color w:val="auto"/>
        </w:rPr>
      </w:pPr>
    </w:p>
    <w:p>
      <w:pPr>
        <w:ind w:left="373" w:hanging="373"/>
        <w:spacing w:after="0"/>
        <w:tabs>
          <w:tab w:leader="none" w:pos="373"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REGISTER; TRANSFER AGENT INSTRUCTIONS; LEGEND.</w:t>
      </w:r>
    </w:p>
    <w:p>
      <w:pPr>
        <w:spacing w:after="0" w:line="264" w:lineRule="exact"/>
        <w:rPr>
          <w:rFonts w:ascii="Times New Roman" w:cs="Times New Roman" w:eastAsia="Times New Roman" w:hAnsi="Times New Roman"/>
          <w:sz w:val="22"/>
          <w:szCs w:val="22"/>
          <w:b w:val="1"/>
          <w:bCs w:val="1"/>
          <w:color w:val="auto"/>
        </w:rPr>
      </w:pPr>
    </w:p>
    <w:p>
      <w:pPr>
        <w:jc w:val="both"/>
        <w:ind w:left="-7" w:firstLine="656"/>
        <w:spacing w:after="0" w:line="248" w:lineRule="auto"/>
        <w:tabs>
          <w:tab w:leader="none" w:pos="1203" w:val="left"/>
        </w:tabs>
        <w:numPr>
          <w:ilvl w:val="2"/>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Company shall maintain at its principal executive offices or with the Transfer Agent (or at such other office or agency of the Company as it may designate by notice to each holder of Securities), a register for the Convertible Debentures in which the Company shall record the name and address of the Person in whose name the Convertible Debentures have been issued (including the name and address of each transferee), the amount of Convertible Debentures held by such Person. The Company shall keep the register open and available at all times during business hours for inspection of any Buyer or its legal representatives.</w:t>
      </w:r>
    </w:p>
    <w:p>
      <w:pPr>
        <w:spacing w:after="0" w:line="200" w:lineRule="exact"/>
        <w:rPr>
          <w:rFonts w:ascii="Times New Roman" w:cs="Times New Roman" w:eastAsia="Times New Roman" w:hAnsi="Times New Roman"/>
          <w:sz w:val="22"/>
          <w:szCs w:val="22"/>
          <w:color w:val="auto"/>
        </w:rPr>
      </w:pPr>
    </w:p>
    <w:p>
      <w:pPr>
        <w:jc w:val="both"/>
        <w:ind w:left="-7" w:firstLine="656"/>
        <w:spacing w:after="0" w:line="251" w:lineRule="auto"/>
        <w:tabs>
          <w:tab w:leader="none" w:pos="1121" w:val="left"/>
        </w:tabs>
        <w:numPr>
          <w:ilvl w:val="2"/>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Restrictions</w:t>
      </w:r>
      <w:r>
        <w:rPr>
          <w:rFonts w:ascii="Times New Roman" w:cs="Times New Roman" w:eastAsia="Times New Roman" w:hAnsi="Times New Roman"/>
          <w:sz w:val="22"/>
          <w:szCs w:val="22"/>
          <w:color w:val="auto"/>
        </w:rPr>
        <w:t>. The Securities may only be disposed of in compliance with state and federal securities laws. In connection with any transfer of Securities other than pursuant to an effective registration statement or Rule 144, to the Company or to an Affiliate of a Buyer or in connection with a pledge as contemplated herein,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3766820</wp:posOffset>
            </wp:positionH>
            <wp:positionV relativeFrom="paragraph">
              <wp:posOffset>-2927350</wp:posOffset>
            </wp:positionV>
            <wp:extent cx="69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50" cy="8890"/>
                    </a:xfrm>
                    <a:prstGeom prst="rect">
                      <a:avLst/>
                    </a:prstGeom>
                    <a:noFill/>
                  </pic:spPr>
                </pic:pic>
              </a:graphicData>
            </a:graphic>
          </wp:anchor>
        </w:drawing>
      </w:r>
    </w:p>
    <w:p>
      <w:pPr>
        <w:sectPr>
          <w:pgSz w:w="11900" w:h="16838" w:orient="portrait"/>
          <w:cols w:equalWidth="0" w:num="1">
            <w:col w:w="11233"/>
          </w:cols>
          <w:pgMar w:left="327" w:top="1418" w:right="339" w:bottom="1440" w:gutter="0" w:footer="0" w:header="0"/>
        </w:sectPr>
      </w:pPr>
    </w:p>
    <w:bookmarkStart w:id="54" w:name="page55"/>
    <w:bookmarkEnd w:id="54"/>
    <w:p>
      <w:pPr>
        <w:spacing w:after="0" w:line="271" w:lineRule="auto"/>
        <w:rPr>
          <w:sz w:val="20"/>
          <w:szCs w:val="20"/>
          <w:color w:val="auto"/>
        </w:rPr>
      </w:pPr>
      <w:r>
        <w:rPr>
          <w:rFonts w:ascii="Times New Roman" w:cs="Times New Roman" w:eastAsia="Times New Roman" w:hAnsi="Times New Roman"/>
          <w:sz w:val="22"/>
          <w:szCs w:val="22"/>
          <w:color w:val="auto"/>
        </w:rPr>
        <w:t>registration of such transferred Securities under the Securities Act. As a condition of transfer, any such transferee shall agree in writing to be bound by the terms of this Agreement and shall have the rights and obligations of a Buyer under this Agreement.</w:t>
      </w:r>
    </w:p>
    <w:p>
      <w:pPr>
        <w:spacing w:after="0" w:line="158" w:lineRule="exact"/>
        <w:rPr>
          <w:sz w:val="20"/>
          <w:szCs w:val="20"/>
          <w:color w:val="auto"/>
        </w:rPr>
      </w:pPr>
    </w:p>
    <w:p>
      <w:pPr>
        <w:jc w:val="both"/>
        <w:ind w:firstLine="656"/>
        <w:spacing w:after="0" w:line="251" w:lineRule="auto"/>
        <w:tabs>
          <w:tab w:leader="none" w:pos="1156"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and Exercise Procedures</w:t>
      </w:r>
      <w:r>
        <w:rPr>
          <w:rFonts w:ascii="Times New Roman" w:cs="Times New Roman" w:eastAsia="Times New Roman" w:hAnsi="Times New Roman"/>
          <w:sz w:val="22"/>
          <w:szCs w:val="22"/>
          <w:color w:val="auto"/>
        </w:rPr>
        <w:t>. The form of Conversion Notice included in the Convertible Debentures set forth the totality of the procedures required of the Buyers in order to convert the Convertible Debentures. Except as provided in Section 2(f) and Section 5(b), no additional legal opinion, other information or instructions shall be required of the Buyers to convert their Convertible Debentures. The Company shall honor conversions of the Convertible Debentures and shall deliver the Conversion Shares in accordance with the terms, conditions and time periods set forth in the Convertible Debentures.</w:t>
      </w:r>
    </w:p>
    <w:p>
      <w:pPr>
        <w:spacing w:after="0" w:line="200" w:lineRule="exact"/>
        <w:rPr>
          <w:rFonts w:ascii="Times New Roman" w:cs="Times New Roman" w:eastAsia="Times New Roman" w:hAnsi="Times New Roman"/>
          <w:sz w:val="22"/>
          <w:szCs w:val="22"/>
          <w:color w:val="auto"/>
        </w:rPr>
      </w:pPr>
    </w:p>
    <w:p>
      <w:pPr>
        <w:spacing w:after="0" w:line="255" w:lineRule="exact"/>
        <w:rPr>
          <w:rFonts w:ascii="Times New Roman" w:cs="Times New Roman" w:eastAsia="Times New Roman" w:hAnsi="Times New Roman"/>
          <w:sz w:val="22"/>
          <w:szCs w:val="22"/>
          <w:color w:val="auto"/>
        </w:rPr>
      </w:pPr>
    </w:p>
    <w:p>
      <w:pPr>
        <w:ind w:left="380" w:hanging="373"/>
        <w:spacing w:after="0"/>
        <w:tabs>
          <w:tab w:leader="none" w:pos="38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CONDITIONS TO THE COMPANY’S OBLIGATION TO SELL.</w:t>
      </w:r>
    </w:p>
    <w:p>
      <w:pPr>
        <w:spacing w:after="0" w:line="251" w:lineRule="exact"/>
        <w:rPr>
          <w:sz w:val="20"/>
          <w:szCs w:val="20"/>
          <w:color w:val="auto"/>
        </w:rPr>
      </w:pPr>
    </w:p>
    <w:p>
      <w:pPr>
        <w:jc w:val="both"/>
        <w:ind w:firstLine="212"/>
        <w:spacing w:after="0" w:line="252" w:lineRule="auto"/>
        <w:rPr>
          <w:sz w:val="20"/>
          <w:szCs w:val="20"/>
          <w:color w:val="auto"/>
        </w:rPr>
      </w:pPr>
      <w:r>
        <w:rPr>
          <w:rFonts w:ascii="Times New Roman" w:cs="Times New Roman" w:eastAsia="Times New Roman" w:hAnsi="Times New Roman"/>
          <w:sz w:val="22"/>
          <w:szCs w:val="22"/>
          <w:color w:val="auto"/>
        </w:rPr>
        <w:t>The obligation of the Company hereunder to issue and sell the Convertible Debentures to each Buyer at each Closing is subject to the satisfaction, at or before each Closing Date, of each of the following conditions, provided that these conditions are for the Company's sole benefit and may be waived by the Company at any time in its sole discretion by providing each Buyer with prior written notice thereof:</w:t>
      </w:r>
    </w:p>
    <w:p>
      <w:pPr>
        <w:spacing w:after="0" w:line="220" w:lineRule="exact"/>
        <w:rPr>
          <w:sz w:val="20"/>
          <w:szCs w:val="20"/>
          <w:color w:val="auto"/>
        </w:rPr>
      </w:pPr>
    </w:p>
    <w:p>
      <w:pPr>
        <w:ind w:right="20" w:firstLine="656"/>
        <w:spacing w:after="0" w:line="271" w:lineRule="auto"/>
        <w:tabs>
          <w:tab w:leader="none" w:pos="1145"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Buyer shall have executed each of the Transaction Documents to which it is a party and delivered the same to the Company.</w:t>
      </w:r>
    </w:p>
    <w:p>
      <w:pPr>
        <w:spacing w:after="0" w:line="157" w:lineRule="exact"/>
        <w:rPr>
          <w:rFonts w:ascii="Times New Roman" w:cs="Times New Roman" w:eastAsia="Times New Roman" w:hAnsi="Times New Roman"/>
          <w:sz w:val="22"/>
          <w:szCs w:val="22"/>
          <w:color w:val="auto"/>
        </w:rPr>
      </w:pPr>
    </w:p>
    <w:p>
      <w:pPr>
        <w:jc w:val="both"/>
        <w:ind w:firstLine="656"/>
        <w:spacing w:after="0" w:line="253" w:lineRule="auto"/>
        <w:tabs>
          <w:tab w:leader="none" w:pos="1135"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Buyer and each other Buyer shall have delivered to the Company the Purchase Price (less, in the case of any Buyer, the amounts withheld pursuant to Section 4(d), if any) for the Convertible Debentures being purchased by such Buyer at the Closing by wire transfer of immediately available funds in accordance with a letter, duly executed by an officer of the Company, setting forth the wire amounts of each Buyer and the wire transfer instructions of the Company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656"/>
        <w:spacing w:after="0" w:line="253" w:lineRule="auto"/>
        <w:tabs>
          <w:tab w:leader="none" w:pos="1163"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such Buyer shall be true and correct in all material respects as of the date when made and as of each Closing Date as though originally made at that time (except for representations and warranties that speak as of a specific date, which shall be true and correct as of such specific date), and such Buyer shall have performed, satisfied and complied in all material respects with the covenants, agreements and conditions required by this Agreement to be performed, satisfied or complied with by such Buyer at or prior to such Closing Date.</w:t>
      </w:r>
    </w:p>
    <w:p>
      <w:pPr>
        <w:spacing w:after="0" w:line="174" w:lineRule="exact"/>
        <w:rPr>
          <w:rFonts w:ascii="Times New Roman" w:cs="Times New Roman" w:eastAsia="Times New Roman" w:hAnsi="Times New Roman"/>
          <w:sz w:val="22"/>
          <w:szCs w:val="22"/>
          <w:color w:val="auto"/>
        </w:rPr>
      </w:pPr>
    </w:p>
    <w:p>
      <w:pPr>
        <w:ind w:left="380" w:hanging="373"/>
        <w:spacing w:after="0"/>
        <w:tabs>
          <w:tab w:leader="none" w:pos="38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CONDITIONS TO EACH BUYER'S OBLIGATION TO PURCHASE.</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obligation of each Buyer hereunder to purchase its Convertible Debentures at each Closing is subject to the satisfaction, at or before each Closing Date, of each of the following conditions, provided that these conditions are for each Buyer's sole benefit and may be waived by such</w:t>
      </w:r>
    </w:p>
    <w:p>
      <w:pPr>
        <w:sectPr>
          <w:pgSz w:w="11900" w:h="16838" w:orient="portrait"/>
          <w:cols w:equalWidth="0" w:num="1">
            <w:col w:w="11240"/>
          </w:cols>
          <w:pgMar w:left="320" w:top="142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Buyer at any time in its sole discretion by providing the Company with prior written notice thereof:</w:t>
      </w:r>
    </w:p>
    <w:p>
      <w:pPr>
        <w:spacing w:after="0" w:line="247" w:lineRule="exact"/>
        <w:rPr>
          <w:sz w:val="20"/>
          <w:szCs w:val="20"/>
          <w:color w:val="auto"/>
        </w:rPr>
      </w:pPr>
    </w:p>
    <w:p>
      <w:pPr>
        <w:jc w:val="both"/>
        <w:ind w:firstLine="656"/>
        <w:spacing w:after="0" w:line="256" w:lineRule="auto"/>
        <w:tabs>
          <w:tab w:leader="none" w:pos="113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duly executed and delivered to such Buyer each of the Transaction Documents to which it is a party and the Company shall have duly executed and delivered to such Buyer a Convertible Debenture with a principal amount corresponding to the Subscription Amount set forth opposite such Buyer’s name on the Schedule of Buyers attached as Schedule I for the Closing.</w:t>
      </w:r>
    </w:p>
    <w:p>
      <w:pPr>
        <w:spacing w:after="0" w:line="176" w:lineRule="exact"/>
        <w:rPr>
          <w:rFonts w:ascii="Times New Roman" w:cs="Times New Roman" w:eastAsia="Times New Roman" w:hAnsi="Times New Roman"/>
          <w:sz w:val="22"/>
          <w:szCs w:val="22"/>
          <w:color w:val="auto"/>
        </w:rPr>
      </w:pPr>
    </w:p>
    <w:p>
      <w:pPr>
        <w:jc w:val="both"/>
        <w:ind w:firstLine="656"/>
        <w:spacing w:after="0" w:line="257" w:lineRule="auto"/>
        <w:tabs>
          <w:tab w:leader="none" w:pos="112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delivered to the Buyers the opinion of counsel to the Company or the General Counsel of the Company, dated as of the First Closing Date, in customary form and substance to be reasonably agreed upon with the Buyers and addressing such legal matters as the Buyers and the Company reasonably agree.</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19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delivered to each Buyer a certified copy of its charter and copies of its Subsidiaries’ operating agreements or charters, to the extent applicable, as well as any stockholder or operating agreements by or among the stockholders or members of any of the Company’s Subsidiaries.</w:t>
      </w:r>
    </w:p>
    <w:p>
      <w:pPr>
        <w:spacing w:after="0" w:line="172" w:lineRule="exact"/>
        <w:rPr>
          <w:rFonts w:ascii="Times New Roman" w:cs="Times New Roman" w:eastAsia="Times New Roman" w:hAnsi="Times New Roman"/>
          <w:sz w:val="22"/>
          <w:szCs w:val="22"/>
          <w:color w:val="auto"/>
        </w:rPr>
      </w:pPr>
    </w:p>
    <w:p>
      <w:pPr>
        <w:ind w:right="20" w:firstLine="656"/>
        <w:spacing w:after="0" w:line="271" w:lineRule="auto"/>
        <w:tabs>
          <w:tab w:leader="none" w:pos="115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delivered to such Buyer a certificate evidencing the incorporation and good standing of the Company as of a date within ten (10) days of the Closing Date.</w:t>
      </w:r>
    </w:p>
    <w:p>
      <w:pPr>
        <w:spacing w:after="0" w:line="171" w:lineRule="exact"/>
        <w:rPr>
          <w:rFonts w:ascii="Times New Roman" w:cs="Times New Roman" w:eastAsia="Times New Roman" w:hAnsi="Times New Roman"/>
          <w:sz w:val="22"/>
          <w:szCs w:val="22"/>
          <w:color w:val="auto"/>
        </w:rPr>
      </w:pPr>
    </w:p>
    <w:p>
      <w:pPr>
        <w:jc w:val="both"/>
        <w:ind w:firstLine="656"/>
        <w:spacing w:after="0" w:line="251" w:lineRule="auto"/>
        <w:tabs>
          <w:tab w:leader="none" w:pos="121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and every representation and warranty of the Company shall be true and correct in all material respects (other than representations and warranties qualified by materiality, which shall be true and correct in all respects) as of such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set forth in each Transaction Document required to be performed, satisfied or complied with by the Company at or prior to such Closing Date.</w:t>
      </w:r>
    </w:p>
    <w:p>
      <w:pPr>
        <w:spacing w:after="0" w:line="181" w:lineRule="exact"/>
        <w:rPr>
          <w:rFonts w:ascii="Times New Roman" w:cs="Times New Roman" w:eastAsia="Times New Roman" w:hAnsi="Times New Roman"/>
          <w:sz w:val="22"/>
          <w:szCs w:val="22"/>
          <w:color w:val="auto"/>
        </w:rPr>
      </w:pPr>
    </w:p>
    <w:p>
      <w:pPr>
        <w:jc w:val="both"/>
        <w:ind w:firstLine="656"/>
        <w:spacing w:after="0" w:line="250" w:lineRule="auto"/>
        <w:tabs>
          <w:tab w:leader="none" w:pos="108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Shares (A) shall be designated for quotation or listed (as applicable) on the Principal Market and (B) shall not have been suspended, as of each Closing Date, by the SEC or the Principal Market from trading on the Principal Market nor shall suspension by the SEC or the Principal Market have been threatened, as of each Closing Date, either (I) in writing by the SEC or the Principal Market or (II) by receiving a notification from the Principal Market of falling below the minimum maintenance requirements of the Principal Market that is not subject to a cure period.</w:t>
      </w:r>
    </w:p>
    <w:p>
      <w:pPr>
        <w:spacing w:after="0" w:line="194" w:lineRule="exact"/>
        <w:rPr>
          <w:rFonts w:ascii="Times New Roman" w:cs="Times New Roman" w:eastAsia="Times New Roman" w:hAnsi="Times New Roman"/>
          <w:sz w:val="22"/>
          <w:szCs w:val="22"/>
          <w:color w:val="auto"/>
        </w:rPr>
      </w:pPr>
    </w:p>
    <w:p>
      <w:pPr>
        <w:jc w:val="both"/>
        <w:ind w:right="20" w:firstLine="656"/>
        <w:spacing w:after="0" w:line="257" w:lineRule="auto"/>
        <w:tabs>
          <w:tab w:leader="none" w:pos="119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obtained all governmental, regulatory or third-party consents and approvals necessary for the sale of the Securities, including without limitation, those required by the Principal Market, if any, and, other than certain future consents required from the WTI Lenders, the initial consent and waiver of the WTI Lenders.</w:t>
      </w:r>
    </w:p>
    <w:p>
      <w:pPr>
        <w:spacing w:after="0" w:line="172"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ectPr>
          <w:pgSz w:w="11900" w:h="16838" w:orient="portrait"/>
          <w:cols w:equalWidth="0" w:num="1">
            <w:col w:w="11240"/>
          </w:cols>
          <w:pgMar w:left="320" w:top="1422" w:right="339" w:bottom="1440" w:gutter="0" w:footer="0" w:header="0"/>
        </w:sectPr>
      </w:pPr>
    </w:p>
    <w:bookmarkStart w:id="56" w:name="page57"/>
    <w:bookmarkEnd w:id="56"/>
    <w:p>
      <w:pPr>
        <w:jc w:val="both"/>
        <w:ind w:left="-656" w:firstLine="656"/>
        <w:spacing w:after="0" w:line="257" w:lineRule="auto"/>
        <w:tabs>
          <w:tab w:leader="none" w:pos="61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186" w:lineRule="exact"/>
        <w:rPr>
          <w:rFonts w:ascii="Times New Roman" w:cs="Times New Roman" w:eastAsia="Times New Roman" w:hAnsi="Times New Roman"/>
          <w:sz w:val="22"/>
          <w:szCs w:val="22"/>
          <w:color w:val="auto"/>
        </w:rPr>
      </w:pPr>
    </w:p>
    <w:p>
      <w:pPr>
        <w:jc w:val="both"/>
        <w:ind w:left="-656" w:firstLine="656"/>
        <w:spacing w:after="0" w:line="257" w:lineRule="auto"/>
        <w:tabs>
          <w:tab w:leader="none" w:pos="43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execution of this Agreement, no event or series of events shall have occurred that has resulted in or would reasonably be expected to result in a Material Adverse Effect, or an Event of Default (as defined in the Convertible Debentures).</w:t>
      </w:r>
    </w:p>
    <w:p>
      <w:pPr>
        <w:spacing w:after="0" w:line="172" w:lineRule="exact"/>
        <w:rPr>
          <w:rFonts w:ascii="Times New Roman" w:cs="Times New Roman" w:eastAsia="Times New Roman" w:hAnsi="Times New Roman"/>
          <w:sz w:val="22"/>
          <w:szCs w:val="22"/>
          <w:color w:val="auto"/>
        </w:rPr>
      </w:pPr>
    </w:p>
    <w:p>
      <w:pPr>
        <w:ind w:left="-656" w:right="20" w:firstLine="656"/>
        <w:spacing w:after="0" w:line="271" w:lineRule="auto"/>
        <w:tabs>
          <w:tab w:leader="none" w:pos="50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notified the Principal Market to list or designate for quotation (as the case may be) the maximum number of Conversion Shares issuable pursuant to the Convertible Debentures to be issued at the Closing.</w:t>
      </w:r>
    </w:p>
    <w:p>
      <w:pPr>
        <w:spacing w:after="0" w:line="171" w:lineRule="exact"/>
        <w:rPr>
          <w:rFonts w:ascii="Times New Roman" w:cs="Times New Roman" w:eastAsia="Times New Roman" w:hAnsi="Times New Roman"/>
          <w:sz w:val="22"/>
          <w:szCs w:val="22"/>
          <w:color w:val="auto"/>
        </w:rPr>
      </w:pPr>
    </w:p>
    <w:p>
      <w:pPr>
        <w:ind w:left="424" w:hanging="424"/>
        <w:spacing w:after="0"/>
        <w:tabs>
          <w:tab w:leader="none" w:pos="42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Buyer shall have received the Closing Statement.</w:t>
      </w:r>
    </w:p>
    <w:p>
      <w:pPr>
        <w:spacing w:after="0" w:line="219" w:lineRule="exact"/>
        <w:rPr>
          <w:rFonts w:ascii="Times New Roman" w:cs="Times New Roman" w:eastAsia="Times New Roman" w:hAnsi="Times New Roman"/>
          <w:sz w:val="22"/>
          <w:szCs w:val="22"/>
          <w:color w:val="auto"/>
        </w:rPr>
      </w:pPr>
    </w:p>
    <w:p>
      <w:pPr>
        <w:jc w:val="both"/>
        <w:ind w:left="-656" w:firstLine="656"/>
        <w:spacing w:after="0" w:line="248" w:lineRule="auto"/>
        <w:tabs>
          <w:tab w:leader="none" w:pos="65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From the date hereof to the applicable Closing Date, trading in the Common Shares shall not have been suspended by the SEC or the Principal Market (except for any suspension of trading of limited duration agreed to by the Company, which suspension shall be terminated prior to the Closing), and (ii) at any time from the date hereof to the applicable Closing Date, trading in securities generally as reported by Bloomberg L.P. shall not have been suspended or limited, or minimum prices shall not have been established on securities whose trades are reported by such service, or on the Principal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each Buyer, makes it impracticable or inadvisable to purchase the Securities at the Closing.</w:t>
      </w:r>
    </w:p>
    <w:p>
      <w:pPr>
        <w:spacing w:after="0" w:line="185" w:lineRule="exact"/>
        <w:rPr>
          <w:rFonts w:ascii="Times New Roman" w:cs="Times New Roman" w:eastAsia="Times New Roman" w:hAnsi="Times New Roman"/>
          <w:sz w:val="22"/>
          <w:szCs w:val="22"/>
          <w:color w:val="auto"/>
        </w:rPr>
      </w:pPr>
    </w:p>
    <w:p>
      <w:pPr>
        <w:jc w:val="both"/>
        <w:ind w:left="-656" w:firstLine="656"/>
        <w:spacing w:after="0" w:line="256" w:lineRule="auto"/>
        <w:tabs>
          <w:tab w:leader="none" w:pos="70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of the Company has approved the transactions contemplated by the Transaction Documents; said approval has not been amended, rescinded or materially modified and remains in full force and effect as of such Closing, and a true, correct and complete copy of such resolutions duly adopted by the board of directors of the Company shall have been provided to the Buyers.</w:t>
      </w:r>
    </w:p>
    <w:p>
      <w:pPr>
        <w:spacing w:after="0" w:line="176" w:lineRule="exact"/>
        <w:rPr>
          <w:rFonts w:ascii="Times New Roman" w:cs="Times New Roman" w:eastAsia="Times New Roman" w:hAnsi="Times New Roman"/>
          <w:sz w:val="22"/>
          <w:szCs w:val="22"/>
          <w:color w:val="auto"/>
        </w:rPr>
      </w:pPr>
    </w:p>
    <w:p>
      <w:pPr>
        <w:jc w:val="both"/>
        <w:ind w:left="-656" w:firstLine="656"/>
        <w:spacing w:after="0" w:line="256" w:lineRule="auto"/>
        <w:tabs>
          <w:tab w:leader="none" w:pos="51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delivered to the Buyer a compliance certificate executed by an executive officer of the Company certifying that Company has complied with all of the conditions precedent to the applicable Closing set forth herein and which may be relied upon by the Buyer as evidence of satisfaction of such conditions without any obligation to independently verify.</w:t>
      </w:r>
    </w:p>
    <w:p>
      <w:pPr>
        <w:spacing w:after="0" w:line="176" w:lineRule="exact"/>
        <w:rPr>
          <w:rFonts w:ascii="Times New Roman" w:cs="Times New Roman" w:eastAsia="Times New Roman" w:hAnsi="Times New Roman"/>
          <w:sz w:val="22"/>
          <w:szCs w:val="22"/>
          <w:color w:val="auto"/>
        </w:rPr>
      </w:pPr>
    </w:p>
    <w:p>
      <w:pPr>
        <w:ind w:left="-656" w:firstLine="656"/>
        <w:spacing w:after="0" w:line="271" w:lineRule="auto"/>
        <w:tabs>
          <w:tab w:leader="none" w:pos="60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shall have delivered to such Buyer such other documents, instruments or certificates relating to the transactions contemplated by this Agreement as such Buyer or its counsel may reasonably request.</w:t>
      </w:r>
    </w:p>
    <w:p>
      <w:pPr>
        <w:sectPr>
          <w:pgSz w:w="11900" w:h="16838" w:orient="portrait"/>
          <w:cols w:equalWidth="0" w:num="1">
            <w:col w:w="10584"/>
          </w:cols>
          <w:pgMar w:left="976" w:top="1422" w:right="339" w:bottom="1440" w:gutter="0" w:footer="0" w:header="0"/>
        </w:sectPr>
      </w:pPr>
    </w:p>
    <w:bookmarkStart w:id="57" w:name="page58"/>
    <w:bookmarkEnd w:id="57"/>
    <w:p>
      <w:pPr>
        <w:ind w:left="-7" w:firstLine="656"/>
        <w:spacing w:after="0" w:line="271" w:lineRule="auto"/>
        <w:tabs>
          <w:tab w:leader="none" w:pos="1194"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with respect to the Second Closing, the Registration Statement shall be effective in accordance with the provisions set forth in the Registration Rights Agreement, including the effectiveness deadline set forth therein.</w:t>
      </w:r>
    </w:p>
    <w:p>
      <w:pPr>
        <w:spacing w:after="0" w:line="153" w:lineRule="exact"/>
        <w:rPr>
          <w:rFonts w:ascii="Times New Roman" w:cs="Times New Roman" w:eastAsia="Times New Roman" w:hAnsi="Times New Roman"/>
          <w:sz w:val="22"/>
          <w:szCs w:val="22"/>
          <w:color w:val="auto"/>
        </w:rPr>
      </w:pPr>
    </w:p>
    <w:p>
      <w:pPr>
        <w:ind w:left="373" w:hanging="373"/>
        <w:spacing w:after="0"/>
        <w:tabs>
          <w:tab w:leader="none" w:pos="373"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w:t>
      </w:r>
    </w:p>
    <w:p>
      <w:pPr>
        <w:spacing w:after="0" w:line="264" w:lineRule="exact"/>
        <w:rPr>
          <w:sz w:val="20"/>
          <w:szCs w:val="20"/>
          <w:color w:val="auto"/>
        </w:rPr>
      </w:pPr>
    </w:p>
    <w:p>
      <w:pPr>
        <w:jc w:val="both"/>
        <w:ind w:left="93" w:right="100" w:firstLine="648"/>
        <w:spacing w:after="0" w:line="248" w:lineRule="auto"/>
        <w:rPr>
          <w:sz w:val="20"/>
          <w:szCs w:val="20"/>
          <w:color w:val="auto"/>
        </w:rPr>
      </w:pPr>
      <w:r>
        <w:rPr>
          <w:rFonts w:ascii="Times New Roman" w:cs="Times New Roman" w:eastAsia="Times New Roman" w:hAnsi="Times New Roman"/>
          <w:sz w:val="22"/>
          <w:szCs w:val="22"/>
          <w:color w:val="auto"/>
        </w:rPr>
        <w:t>In the event that the First Closing shall not have occurred with respect to a Buyer within 10 days of the date hereof, then such Buyer shall have the right to terminate its obligations under this Agreement with respect to itself at any time on or after the close of business on such date without liability of such Buyer to any other party; provided, however, (i) the right to terminate this Agreement under this Section 8 shall not be available to such Buyer if the failure of the transactions contemplated by this Agreement to have been consummated by such date is the result of such Buyer's breach of this Agreement and (ii) the abandonment of the sale and purchase of the Convertible Debentures shall be applicable only to such Buyer providing such written notice, provided further that no such termination shall affect any obligation of the Company under this Agreement to reimburse such Buyer for the expenses described herein. 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185" w:lineRule="exact"/>
        <w:rPr>
          <w:sz w:val="20"/>
          <w:szCs w:val="20"/>
          <w:color w:val="auto"/>
        </w:rPr>
      </w:pPr>
    </w:p>
    <w:p>
      <w:pPr>
        <w:ind w:left="373" w:hanging="373"/>
        <w:spacing w:after="0"/>
        <w:tabs>
          <w:tab w:leader="none" w:pos="373"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50" w:lineRule="exact"/>
        <w:rPr>
          <w:rFonts w:ascii="Times New Roman" w:cs="Times New Roman" w:eastAsia="Times New Roman" w:hAnsi="Times New Roman"/>
          <w:sz w:val="22"/>
          <w:szCs w:val="22"/>
          <w:b w:val="1"/>
          <w:bCs w:val="1"/>
          <w:color w:val="auto"/>
        </w:rPr>
      </w:pPr>
    </w:p>
    <w:p>
      <w:pPr>
        <w:jc w:val="both"/>
        <w:ind w:left="-7" w:firstLine="656"/>
        <w:spacing w:after="0" w:line="256" w:lineRule="auto"/>
        <w:tabs>
          <w:tab w:leader="none" w:pos="1149"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the rights and obligations of the parties hereunder shall, in all respects, be governed by, and construed in accordance with, the laws (excluding the principles of conflict of laws) of the State of New York (including Section 5-1401 and Section 5-1402 of the General Obligations Law of the State of New York), including all matters of construction, validity and performance.</w:t>
      </w:r>
    </w:p>
    <w:p>
      <w:pPr>
        <w:spacing w:after="0" w:line="176" w:lineRule="exact"/>
        <w:rPr>
          <w:rFonts w:ascii="Times New Roman" w:cs="Times New Roman" w:eastAsia="Times New Roman" w:hAnsi="Times New Roman"/>
          <w:sz w:val="22"/>
          <w:szCs w:val="22"/>
          <w:color w:val="auto"/>
        </w:rPr>
      </w:pPr>
    </w:p>
    <w:p>
      <w:pPr>
        <w:ind w:left="1133" w:hanging="484"/>
        <w:spacing w:after="0"/>
        <w:tabs>
          <w:tab w:leader="none" w:pos="1133"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Jurisdiction; Venue; Service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733" w:right="100" w:firstLine="564"/>
        <w:spacing w:after="0" w:line="257" w:lineRule="auto"/>
        <w:tabs>
          <w:tab w:leader="none" w:pos="1733"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irrevocably consents to the non-exclusive personal jurisdiction of the state courts of the State of New York (the “</w:t>
      </w:r>
      <w:r>
        <w:rPr>
          <w:rFonts w:ascii="Times New Roman" w:cs="Times New Roman" w:eastAsia="Times New Roman" w:hAnsi="Times New Roman"/>
          <w:sz w:val="22"/>
          <w:szCs w:val="22"/>
          <w:u w:val="single" w:color="auto"/>
          <w:color w:val="auto"/>
        </w:rPr>
        <w:t>Governing Jurisdiction</w:t>
      </w:r>
      <w:r>
        <w:rPr>
          <w:rFonts w:ascii="Times New Roman" w:cs="Times New Roman" w:eastAsia="Times New Roman" w:hAnsi="Times New Roman"/>
          <w:sz w:val="22"/>
          <w:szCs w:val="22"/>
          <w:color w:val="auto"/>
        </w:rPr>
        <w:t>”) and, if a basis for federal jurisdiction exists, the non-exclusive personal jurisdiction of any United States District Court for the Governing Jurisdiction.</w:t>
      </w:r>
    </w:p>
    <w:p>
      <w:pPr>
        <w:spacing w:after="0" w:line="213" w:lineRule="exact"/>
        <w:rPr>
          <w:rFonts w:ascii="Times New Roman" w:cs="Times New Roman" w:eastAsia="Times New Roman" w:hAnsi="Times New Roman"/>
          <w:sz w:val="22"/>
          <w:szCs w:val="22"/>
          <w:color w:val="auto"/>
        </w:rPr>
      </w:pPr>
    </w:p>
    <w:p>
      <w:pPr>
        <w:jc w:val="both"/>
        <w:ind w:left="733" w:right="100" w:firstLine="564"/>
        <w:spacing w:after="0" w:line="250" w:lineRule="auto"/>
        <w:tabs>
          <w:tab w:leader="none" w:pos="1746"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that venue shall be proper in any court of the Governing Jurisdiction or, if a basis for federal jurisdiction exists, in any United States District Court in the Governing Jurisdiction. The Company waives any right to object to the maintenance of any suit, claim, action, litigation or proceeding of any kind or description, whether in law or equity, whether in contract or in tort or otherwise, in any of the state or federal courts of the Governing Jurisdiction on the basis of improper venue or inconvenience of forum.</w:t>
      </w:r>
    </w:p>
    <w:p>
      <w:pPr>
        <w:sectPr>
          <w:pgSz w:w="11900" w:h="16838" w:orient="portrait"/>
          <w:cols w:equalWidth="0" w:num="1">
            <w:col w:w="11233"/>
          </w:cols>
          <w:pgMar w:left="327" w:top="1422" w:right="339" w:bottom="1440" w:gutter="0" w:footer="0" w:header="0"/>
        </w:sectPr>
      </w:pPr>
    </w:p>
    <w:bookmarkStart w:id="58" w:name="page59"/>
    <w:bookmarkEnd w:id="58"/>
    <w:p>
      <w:pPr>
        <w:jc w:val="both"/>
        <w:ind w:left="84" w:right="80" w:firstLine="564"/>
        <w:spacing w:after="0" w:line="247" w:lineRule="auto"/>
        <w:tabs>
          <w:tab w:leader="none" w:pos="1259"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suit, claim, action, litigation or proceeding of any kind or description, whether in law or equity, whether in contract or tort or otherwise, brought by the Company against the Buyer arising out of or based upon this Agreement or any matter relating to this Agreement, or any other Transaction Document, or any contemplated transaction, shall be brought in a court only in the Governing Jurisdiction. The Company shall not file any counterclaim against the Buyer in any suit, claim, action, litigation or proceeding brought by the Buyer against the Company in a jurisdiction outside of the Governing Jurisdiction unless under the rules of the court in which the Buyer brought such suit, claim, action, litigation or proceeding the counterclaim is mandatory, and not permissive, and would be considered waived unless filed as a counterclaim in the suit, claim, action, litigation or proceeding instituted by the Buyer against the Company. The Company agrees that any forum outside the Governing Jurisdiction is an inconvenient forum and that any suit, claim, action, litigation or proceeding brought by the Company against the Buyer in any court outside the Governing Jurisdiction should be dismissed or transferred to a court located in the Governing Jurisdiction. Furthermore, the Company irrevocably and unconditionally agrees that it will not bring or commence any suit, claim, action, litigation or proceeding of any kind or description, whether in law or equity, whether in contract or in tort or otherwise, against the Buyer arising out of or based upon this Agreement or any matter relating to this Agreement, or any other Transaction Document, or any contemplated transaction, in any forum other than the courts of the State of New York sitting in New York County, and the United States District Court of the Southern District of New York, and any appellate court from any thereof, and each of the parties hereto irrevocably and unconditionally submits to the jurisdiction of such courts and agrees that all claims in respect of any such suit, claim, action, litigation or proceeding may be heard and determined in such New York State Court or, to the fullest extent permitted by applicable law, in such federal court. The Company and the Buyer agree that a final judgment in any such suit, claim, action, litigation or proceeding shall be conclusive and may be enforced in other jurisdictions by suit on the judgment or in any other manner provided by law.</w:t>
      </w:r>
    </w:p>
    <w:p>
      <w:pPr>
        <w:spacing w:after="0" w:line="212" w:lineRule="exact"/>
        <w:rPr>
          <w:rFonts w:ascii="Times New Roman" w:cs="Times New Roman" w:eastAsia="Times New Roman" w:hAnsi="Times New Roman"/>
          <w:sz w:val="22"/>
          <w:szCs w:val="22"/>
          <w:color w:val="auto"/>
        </w:rPr>
      </w:pPr>
    </w:p>
    <w:p>
      <w:pPr>
        <w:jc w:val="both"/>
        <w:ind w:left="84" w:right="80" w:firstLine="564"/>
        <w:spacing w:after="0" w:line="267" w:lineRule="auto"/>
        <w:tabs>
          <w:tab w:leader="none" w:pos="1132" w:val="left"/>
        </w:tabs>
        <w:numPr>
          <w:ilvl w:val="2"/>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the Buyer irrevocably consent to the service of process out of any of the aforementioned courts in any such suit, claim, action, litigation or proceeding by the mailing of copies thereof by registered or certified mail postage prepaid, to it at the address provided for notices in this Agreement, such service to become effective thirty</w:t>
      </w:r>
    </w:p>
    <w:p>
      <w:pPr>
        <w:spacing w:after="0" w:line="1" w:lineRule="exact"/>
        <w:rPr>
          <w:rFonts w:ascii="Times New Roman" w:cs="Times New Roman" w:eastAsia="Times New Roman" w:hAnsi="Times New Roman"/>
          <w:sz w:val="21"/>
          <w:szCs w:val="21"/>
          <w:color w:val="auto"/>
        </w:rPr>
      </w:pPr>
    </w:p>
    <w:p>
      <w:pPr>
        <w:ind w:left="504" w:hanging="413"/>
        <w:spacing w:after="0"/>
        <w:tabs>
          <w:tab w:leader="none" w:pos="504"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date of mailing.</w:t>
      </w:r>
    </w:p>
    <w:p>
      <w:pPr>
        <w:spacing w:after="0" w:line="222" w:lineRule="exact"/>
        <w:rPr>
          <w:rFonts w:ascii="Times New Roman" w:cs="Times New Roman" w:eastAsia="Times New Roman" w:hAnsi="Times New Roman"/>
          <w:sz w:val="22"/>
          <w:szCs w:val="22"/>
          <w:color w:val="auto"/>
        </w:rPr>
      </w:pPr>
    </w:p>
    <w:p>
      <w:pPr>
        <w:jc w:val="both"/>
        <w:ind w:left="84" w:right="80" w:firstLine="564"/>
        <w:spacing w:after="0" w:line="263" w:lineRule="auto"/>
        <w:tabs>
          <w:tab w:leader="none" w:pos="1092"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affect the right of the Buyer to serve process in any other manner permitted by law or to commence legal proceedings or to otherwise proceed against the Company or any other Person in the Governing Jurisdiction or in any other jurisdiction.</w:t>
      </w:r>
    </w:p>
    <w:p>
      <w:pPr>
        <w:spacing w:after="0" w:line="194" w:lineRule="exact"/>
        <w:rPr>
          <w:rFonts w:ascii="Times New Roman" w:cs="Times New Roman" w:eastAsia="Times New Roman" w:hAnsi="Times New Roman"/>
          <w:sz w:val="22"/>
          <w:szCs w:val="22"/>
          <w:color w:val="auto"/>
        </w:rPr>
      </w:pPr>
    </w:p>
    <w:p>
      <w:pPr>
        <w:jc w:val="both"/>
        <w:ind w:left="-656" w:firstLine="656"/>
        <w:spacing w:after="0" w:line="257" w:lineRule="auto"/>
        <w:tabs>
          <w:tab w:leader="none" w:pos="53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MUTUALLY WAIVE ALL RIGHT TO TRIAL BY JURY OF ALL CLAIMS OF ANY KIND ARISING OUT OF OR BASED UPON THIS AGREEMENT OR ANY MATTER RELATING TO THIS AGREEMENT, OR ANY OTHER</w:t>
      </w:r>
    </w:p>
    <w:p>
      <w:pPr>
        <w:sectPr>
          <w:pgSz w:w="11900" w:h="16838" w:orient="portrait"/>
          <w:cols w:equalWidth="0" w:num="1">
            <w:col w:w="10564"/>
          </w:cols>
          <w:pgMar w:left="976" w:top="1422" w:right="359" w:bottom="1440" w:gutter="0" w:footer="0" w:header="0"/>
        </w:sectPr>
      </w:pPr>
    </w:p>
    <w:bookmarkStart w:id="59" w:name="page60"/>
    <w:bookmarkEnd w:id="59"/>
    <w:p>
      <w:pPr>
        <w:jc w:val="both"/>
        <w:spacing w:after="0" w:line="253" w:lineRule="auto"/>
        <w:rPr>
          <w:sz w:val="20"/>
          <w:szCs w:val="20"/>
          <w:color w:val="auto"/>
        </w:rPr>
      </w:pPr>
      <w:r>
        <w:rPr>
          <w:rFonts w:ascii="Times New Roman" w:cs="Times New Roman" w:eastAsia="Times New Roman" w:hAnsi="Times New Roman"/>
          <w:sz w:val="22"/>
          <w:szCs w:val="22"/>
          <w:color w:val="auto"/>
        </w:rPr>
        <w:t>TRANSACTION DOCUMENT, OR ANY CONTEMPLATED TRANSACTION. THE PARTIES ACKNOWLEDGE THAT THIS IS A WAIVER OF A LEGAL RIGHT AND THAT THE PARTIES EACH MAKE THIS WAIVER VOLUNTARILY AND KNOWINGLY AFTER CONSULTATION WITH COUNSEL OF THEIR RESPECTIVE CHOICE. THE PARTIES AGREE THAT ALL SUCH CLAIMS SHALL BE TRIED BEFORE A JUDGE OF A COURT HAVING JURISDICTION, WITHOUT A JURY</w:t>
      </w:r>
      <w:r>
        <w:rPr>
          <w:rFonts w:ascii="Times New Roman" w:cs="Times New Roman" w:eastAsia="Times New Roman" w:hAnsi="Times New Roman"/>
          <w:sz w:val="22"/>
          <w:szCs w:val="22"/>
          <w:b w:val="1"/>
          <w:bCs w:val="1"/>
          <w:color w:val="auto"/>
        </w:rPr>
        <w:t>.</w:t>
      </w:r>
    </w:p>
    <w:p>
      <w:pPr>
        <w:spacing w:after="0" w:line="179" w:lineRule="exact"/>
        <w:rPr>
          <w:sz w:val="20"/>
          <w:szCs w:val="20"/>
          <w:color w:val="auto"/>
        </w:rPr>
      </w:pPr>
    </w:p>
    <w:p>
      <w:pPr>
        <w:jc w:val="both"/>
        <w:ind w:firstLine="656"/>
        <w:spacing w:after="0" w:line="251" w:lineRule="auto"/>
        <w:tabs>
          <w:tab w:leader="none" w:pos="1263"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81" w:lineRule="exact"/>
        <w:rPr>
          <w:rFonts w:ascii="Times New Roman" w:cs="Times New Roman" w:eastAsia="Times New Roman" w:hAnsi="Times New Roman"/>
          <w:sz w:val="22"/>
          <w:szCs w:val="22"/>
          <w:color w:val="auto"/>
        </w:rPr>
      </w:pPr>
    </w:p>
    <w:p>
      <w:pPr>
        <w:jc w:val="both"/>
        <w:ind w:firstLine="656"/>
        <w:spacing w:after="0" w:line="251" w:lineRule="auto"/>
        <w:tabs>
          <w:tab w:leader="none" w:pos="1129"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 Gender</w:t>
      </w:r>
      <w:r>
        <w:rPr>
          <w:rFonts w:ascii="Times New Roman" w:cs="Times New Roman" w:eastAsia="Times New Roman" w:hAnsi="Times New Roman"/>
          <w:sz w:val="22"/>
          <w:szCs w:val="22"/>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81" w:lineRule="exact"/>
        <w:rPr>
          <w:rFonts w:ascii="Times New Roman" w:cs="Times New Roman" w:eastAsia="Times New Roman" w:hAnsi="Times New Roman"/>
          <w:sz w:val="22"/>
          <w:szCs w:val="22"/>
          <w:color w:val="auto"/>
        </w:rPr>
      </w:pPr>
    </w:p>
    <w:p>
      <w:pPr>
        <w:jc w:val="both"/>
        <w:ind w:firstLine="656"/>
        <w:spacing w:after="0" w:line="248" w:lineRule="auto"/>
        <w:tabs>
          <w:tab w:leader="none" w:pos="1159"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Amendments</w:t>
      </w:r>
      <w:r>
        <w:rPr>
          <w:rFonts w:ascii="Times New Roman" w:cs="Times New Roman" w:eastAsia="Times New Roman" w:hAnsi="Times New Roman"/>
          <w:sz w:val="22"/>
          <w:szCs w:val="22"/>
          <w:color w:val="auto"/>
        </w:rPr>
        <w:t>. This Agreement supersedes all other prior oral or written agreements between the Buyer, the Company, their affiliates and persons acting on their behalf with respect to the matters discussed herein, and this Agreement and the instruments referenced herein contain the entire understanding of the parties with respect to the matters covered herein and therein and, except as specifically set forth herein or therein, neither the Company nor any Buyer makes any representation, warranty, covenant or undertaking with respect to such matters. No provision of this Agreement may be amended other than by an instrument in writing signed by the party to be charged with enforcement. As a material inducement for each Buyer to enter into this Agreement, the Company expressly acknowledges and agrees that (x) no due diligence or other investigation or inquiry conducted by a Buyer, any of its advisors or any of its representatives shall affect such Buyer’s right to rely on, or shall modify or qualify in any manner or be an exception to any of, the Company’s representations and warranties contained in this Agreement or any other Transaction Document and (y) unless a provision of this Agreement or any other Transaction Document is expressly preceded by the phrase “except as disclosed in the SEC Documents,” nothing contained in any of the SEC Documents shall affect such Buyer’s right to rely on, or shall modify or qualify in any manner or be an exception to any of, the Company’s representations and warranties contained in this Agreement or any other Transaction Document.</w:t>
      </w:r>
    </w:p>
    <w:p>
      <w:pPr>
        <w:spacing w:after="0" w:line="187" w:lineRule="exact"/>
        <w:rPr>
          <w:rFonts w:ascii="Times New Roman" w:cs="Times New Roman" w:eastAsia="Times New Roman" w:hAnsi="Times New Roman"/>
          <w:sz w:val="22"/>
          <w:szCs w:val="22"/>
          <w:color w:val="auto"/>
        </w:rPr>
      </w:pPr>
    </w:p>
    <w:p>
      <w:pPr>
        <w:jc w:val="both"/>
        <w:ind w:firstLine="656"/>
        <w:spacing w:after="0" w:line="254" w:lineRule="auto"/>
        <w:tabs>
          <w:tab w:leader="none" w:pos="1222"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consents, waivers or other communications required or permitted to be given under the terms of this Agreement must be in writing by letter and email and will be deemed to have been delivered: upon the later of</w:t>
      </w:r>
    </w:p>
    <w:p>
      <w:pPr>
        <w:spacing w:after="0" w:line="1"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(i) receipt, when</w:t>
      </w:r>
    </w:p>
    <w:p>
      <w:pPr>
        <w:sectPr>
          <w:pgSz w:w="11900" w:h="16838" w:orient="portrait"/>
          <w:cols w:equalWidth="0" w:num="1">
            <w:col w:w="11240"/>
          </w:cols>
          <w:pgMar w:left="320" w:top="1422" w:right="339" w:bottom="1440" w:gutter="0" w:footer="0" w:header="0"/>
        </w:sectPr>
      </w:pPr>
    </w:p>
    <w:bookmarkStart w:id="60" w:name="page61"/>
    <w:bookmarkEnd w:id="60"/>
    <w:p>
      <w:pPr>
        <w:jc w:val="both"/>
        <w:spacing w:after="0" w:line="257" w:lineRule="auto"/>
        <w:rPr>
          <w:sz w:val="20"/>
          <w:szCs w:val="20"/>
          <w:color w:val="auto"/>
        </w:rPr>
      </w:pPr>
      <w:r>
        <w:rPr>
          <w:rFonts w:ascii="Times New Roman" w:cs="Times New Roman" w:eastAsia="Times New Roman" w:hAnsi="Times New Roman"/>
          <w:sz w:val="22"/>
          <w:szCs w:val="22"/>
          <w:color w:val="auto"/>
        </w:rPr>
        <w:t>delivered personally or (ii) one (1) Business Day after deposit with an overnight courier service with next day delivery specified, in each case, properly addressed to the party to receive the same and (B) receipt, when sent by electronic mail. The addresses and email­ addresses for such communications shall be:</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If to the Company,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With Copy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INNVENTURE,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6900 Tavistock Lakes Blvd, Suire 400</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Orlando, FL 32827</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Suzanne Niemeyer, General Counsel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 (610) 996-1767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color w:val="0000FF"/>
        </w:rPr>
        <w:t>legalnotices@innventure.com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-29210</wp:posOffset>
            </wp:positionV>
            <wp:extent cx="16383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Jones Day</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1221 Peachtree Street, N.E., Suite 400</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Atlanta, GA 30361</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Attention: Joel T. May, Esq. and Thomas L. Short, Esq.</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Telephone: (404) 521-3939</w:t>
      </w: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E-Mail: jtmay@jonesday.com; tshort@jonesday.com</w:t>
      </w:r>
    </w:p>
    <w:p>
      <w:pPr>
        <w:spacing w:after="0" w:line="200" w:lineRule="exact"/>
        <w:rPr>
          <w:sz w:val="20"/>
          <w:szCs w:val="20"/>
          <w:color w:val="auto"/>
        </w:rPr>
      </w:pPr>
    </w:p>
    <w:p>
      <w:pPr>
        <w:sectPr>
          <w:pgSz w:w="11900" w:h="16838" w:orient="portrait"/>
          <w:cols w:equalWidth="0" w:num="2">
            <w:col w:w="3340" w:space="720"/>
            <w:col w:w="7180"/>
          </w:cols>
          <w:pgMar w:left="320" w:top="1422" w:right="339" w:bottom="1440" w:gutter="0" w:footer="0" w:header="0"/>
          <w:type w:val="continuous"/>
        </w:sectPr>
      </w:pPr>
    </w:p>
    <w:p>
      <w:pPr>
        <w:spacing w:after="0" w:line="317" w:lineRule="exact"/>
        <w:rPr>
          <w:sz w:val="20"/>
          <w:szCs w:val="20"/>
          <w:color w:val="auto"/>
        </w:rPr>
      </w:pPr>
    </w:p>
    <w:p>
      <w:pPr>
        <w:ind w:left="80" w:right="80"/>
        <w:spacing w:after="0" w:line="236" w:lineRule="auto"/>
        <w:rPr>
          <w:sz w:val="20"/>
          <w:szCs w:val="20"/>
          <w:color w:val="auto"/>
        </w:rPr>
      </w:pPr>
      <w:r>
        <w:rPr>
          <w:rFonts w:ascii="Times New Roman" w:cs="Times New Roman" w:eastAsia="Times New Roman" w:hAnsi="Times New Roman"/>
          <w:sz w:val="22"/>
          <w:szCs w:val="22"/>
          <w:color w:val="auto"/>
        </w:rPr>
        <w:t>If to a Buyer, to its address and email­ address set forth on the Schedule of Buyers, with copies to such Buyer's representatives as set forth on the Schedule of Buyers,</w:t>
      </w:r>
    </w:p>
    <w:p>
      <w:pPr>
        <w:spacing w:after="0" w:line="200" w:lineRule="exact"/>
        <w:rPr>
          <w:sz w:val="20"/>
          <w:szCs w:val="20"/>
          <w:color w:val="auto"/>
        </w:rPr>
      </w:pPr>
    </w:p>
    <w:p>
      <w:pPr>
        <w:spacing w:after="0" w:line="328" w:lineRule="exact"/>
        <w:rPr>
          <w:sz w:val="20"/>
          <w:szCs w:val="20"/>
          <w:color w:val="auto"/>
        </w:rPr>
      </w:pPr>
    </w:p>
    <w:tbl>
      <w:tblPr>
        <w:tblLayout w:type="fixed"/>
        <w:tblInd w:w="80" w:type="dxa"/>
        <w:tblCellMar>
          <w:top w:w="0" w:type="dxa"/>
          <w:left w:w="0" w:type="dxa"/>
          <w:bottom w:w="0" w:type="dxa"/>
          <w:right w:w="0" w:type="dxa"/>
        </w:tblCellMar>
      </w:tblPr>
      <w:tr>
        <w:trPr>
          <w:trHeight w:val="284"/>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With copy to:</w:t>
            </w:r>
          </w:p>
        </w:tc>
        <w:tc>
          <w:tcPr>
            <w:tcW w:w="460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David Fine, Esq.</w:t>
            </w:r>
          </w:p>
        </w:tc>
      </w:tr>
      <w:tr>
        <w:trPr>
          <w:trHeight w:val="256"/>
        </w:trPr>
        <w:tc>
          <w:tcPr>
            <w:tcW w:w="2600" w:type="dxa"/>
            <w:vAlign w:val="bottom"/>
          </w:tcPr>
          <w:p>
            <w:pPr>
              <w:spacing w:after="0"/>
              <w:rPr>
                <w:sz w:val="22"/>
                <w:szCs w:val="22"/>
                <w:color w:val="auto"/>
              </w:rPr>
            </w:pPr>
          </w:p>
        </w:tc>
        <w:tc>
          <w:tcPr>
            <w:tcW w:w="460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c/o Yorkville Advisors Global, LP</w:t>
            </w:r>
          </w:p>
        </w:tc>
      </w:tr>
      <w:tr>
        <w:trPr>
          <w:trHeight w:val="257"/>
        </w:trPr>
        <w:tc>
          <w:tcPr>
            <w:tcW w:w="2600" w:type="dxa"/>
            <w:vAlign w:val="bottom"/>
          </w:tcPr>
          <w:p>
            <w:pPr>
              <w:spacing w:after="0"/>
              <w:rPr>
                <w:sz w:val="22"/>
                <w:szCs w:val="22"/>
                <w:color w:val="auto"/>
              </w:rPr>
            </w:pPr>
          </w:p>
        </w:tc>
        <w:tc>
          <w:tcPr>
            <w:tcW w:w="460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1012 Springfield Avenue</w:t>
            </w:r>
          </w:p>
        </w:tc>
      </w:tr>
      <w:tr>
        <w:trPr>
          <w:trHeight w:val="256"/>
        </w:trPr>
        <w:tc>
          <w:tcPr>
            <w:tcW w:w="2600" w:type="dxa"/>
            <w:vAlign w:val="bottom"/>
          </w:tcPr>
          <w:p>
            <w:pPr>
              <w:spacing w:after="0"/>
              <w:rPr>
                <w:sz w:val="22"/>
                <w:szCs w:val="22"/>
                <w:color w:val="auto"/>
              </w:rPr>
            </w:pPr>
          </w:p>
        </w:tc>
        <w:tc>
          <w:tcPr>
            <w:tcW w:w="460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Mountainside, NJ 07092</w:t>
            </w:r>
          </w:p>
        </w:tc>
      </w:tr>
      <w:tr>
        <w:trPr>
          <w:trHeight w:val="282"/>
        </w:trPr>
        <w:tc>
          <w:tcPr>
            <w:tcW w:w="2600" w:type="dxa"/>
            <w:vAlign w:val="bottom"/>
          </w:tcPr>
          <w:p>
            <w:pPr>
              <w:spacing w:after="0"/>
              <w:rPr>
                <w:sz w:val="24"/>
                <w:szCs w:val="24"/>
                <w:color w:val="auto"/>
              </w:rPr>
            </w:pPr>
          </w:p>
        </w:tc>
        <w:tc>
          <w:tcPr>
            <w:tcW w:w="460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7"/>
              </w:rPr>
              <w:t>Email: legal@yorkvilleadvisors.com</w:t>
            </w:r>
          </w:p>
        </w:tc>
      </w:tr>
    </w:tbl>
    <w:p>
      <w:pPr>
        <w:spacing w:after="0" w:line="3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or to such other address, email­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electronically generated by the sender's e-mail service provider containing the time, date, recipient e-mail address or (C) provided by an overnight courier service shall be rebuttable evidence of personal service, receipt by facsimile or receipt from an overnight courier service in accordance with clause (i), (ii) or (iii) above, respectively</w:t>
      </w:r>
    </w:p>
    <w:p>
      <w:pPr>
        <w:spacing w:after="0" w:line="181" w:lineRule="exact"/>
        <w:rPr>
          <w:sz w:val="20"/>
          <w:szCs w:val="20"/>
          <w:color w:val="auto"/>
        </w:rPr>
      </w:pPr>
    </w:p>
    <w:p>
      <w:pPr>
        <w:ind w:firstLine="656"/>
        <w:spacing w:after="0" w:line="284" w:lineRule="auto"/>
        <w:tabs>
          <w:tab w:leader="none" w:pos="119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be binding upon and inure to the benefit of the parties and their respective successors and assigns, including any purchasers of</w:t>
      </w:r>
    </w:p>
    <w:p>
      <w:pPr>
        <w:sectPr>
          <w:pgSz w:w="11900" w:h="16838" w:orient="portrait"/>
          <w:cols w:equalWidth="0" w:num="1">
            <w:col w:w="11240"/>
          </w:cols>
          <w:pgMar w:left="320" w:top="1422" w:right="339" w:bottom="1440" w:gutter="0" w:footer="0" w:header="0"/>
          <w:type w:val="continuous"/>
        </w:sectPr>
      </w:pPr>
    </w:p>
    <w:bookmarkStart w:id="61" w:name="page62"/>
    <w:bookmarkEnd w:id="61"/>
    <w:p>
      <w:pPr>
        <w:jc w:val="both"/>
        <w:spacing w:after="0" w:line="253" w:lineRule="auto"/>
        <w:rPr>
          <w:sz w:val="20"/>
          <w:szCs w:val="20"/>
          <w:color w:val="auto"/>
        </w:rPr>
      </w:pPr>
      <w:r>
        <w:rPr>
          <w:rFonts w:ascii="Times New Roman" w:cs="Times New Roman" w:eastAsia="Times New Roman" w:hAnsi="Times New Roman"/>
          <w:sz w:val="22"/>
          <w:szCs w:val="22"/>
          <w:color w:val="auto"/>
        </w:rPr>
        <w:t>any of the Convertible Debentures (but excluding any purchasers of Underlying Securities, unless pursuant to a written assignment by such Buyer) . The Company shall not assign this Agreement or any rights or obligations hereunder without the prior written consent of the Buyers. In connection with any transfer of any or all of its Securities, a Buyer may assign all, or a portion, of its rights and obligations hereunder in connection with such Securities without the consent of the Company, in which event such assignee shall be deemed to be a Buyer hereunder with respect to such transferred Securities.</w:t>
      </w:r>
    </w:p>
    <w:p>
      <w:pPr>
        <w:spacing w:after="0" w:line="179" w:lineRule="exact"/>
        <w:rPr>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1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each Buyer's execution and delivery of the Transaction Documents and acquiring the Securities thereunder and in addition to all of the Company's other obligations under the Transaction Documents, the Company shall defend, protect, indemnify and hold harmless each Buyer and each holder of any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22"/>
          <w:szCs w:val="22"/>
          <w:u w:val="single" w:color="auto"/>
          <w:color w:val="auto"/>
        </w:rPr>
        <w:t>Indemnitees</w:t>
      </w:r>
      <w:r>
        <w:rPr>
          <w:rFonts w:ascii="Times New Roman" w:cs="Times New Roman" w:eastAsia="Times New Roman" w:hAnsi="Times New Roman"/>
          <w:sz w:val="22"/>
          <w:szCs w:val="22"/>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Times New Roman" w:cs="Times New Roman" w:eastAsia="Times New Roman" w:hAnsi="Times New Roman"/>
          <w:sz w:val="22"/>
          <w:szCs w:val="22"/>
          <w:u w:val="single" w:color="auto"/>
          <w:color w:val="auto"/>
        </w:rPr>
        <w:t>Indemnified Liabilities</w:t>
      </w:r>
      <w:r>
        <w:rPr>
          <w:rFonts w:ascii="Times New Roman" w:cs="Times New Roman" w:eastAsia="Times New Roman" w:hAnsi="Times New Roman"/>
          <w:sz w:val="22"/>
          <w:szCs w:val="22"/>
          <w:color w:val="auto"/>
        </w:rPr>
        <w:t>”), incurred by any Indemnitee as a result of, or arising out of, or relating to (i) any misrepresentation or breach of any representation or warranty made by the Company in any of the Transaction Documents, (ii) any breach of any covenant, agreement or obligation of the Company or any Subsidiary contained in any of the Transaction Documents or (iii) 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 (A) the execution, delivery, performance or enforcement of any of the Transaction Documents, (B) any transaction financed or to be financed in whole or in part, directly or indirectly, with the proceeds of the issuance of the Securities, or (C) any disclosure properly made to such Buyer pursuant to Section 4(g), or (D) the status of such Buyer or holder of the Securities either as an investor in the Company pursuant to the transactions contemplated by the Transaction Documents or as a party to this Agreement (including, without limitation, as a party in interest or otherwise in any action or proceeding for injunctive or other equitable relief).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18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76"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receipt by an Indemnitee under this Section 9(i) of notice of the commencement of any action or proceeding (including any governmental action or proceeding) involving an Indemnified Liability, such Indemnitee shall, if a claim in respect thereof is to be made against the Company under this Section 9(i), deliver to the Company a written notice of the commencement thereof, and the Company shall have the right to participate in, and, to the extent the Company so desires, to assume control of the defense thereof with</w:t>
      </w:r>
    </w:p>
    <w:p>
      <w:pPr>
        <w:sectPr>
          <w:pgSz w:w="11900" w:h="16838" w:orient="portrait"/>
          <w:cols w:equalWidth="0" w:num="1">
            <w:col w:w="11240"/>
          </w:cols>
          <w:pgMar w:left="320" w:top="1422" w:right="339" w:bottom="1440" w:gutter="0" w:footer="0" w:header="0"/>
        </w:sectPr>
      </w:pPr>
    </w:p>
    <w:bookmarkStart w:id="62" w:name="page63"/>
    <w:bookmarkEnd w:id="62"/>
    <w:p>
      <w:pPr>
        <w:jc w:val="both"/>
        <w:spacing w:after="0" w:line="259" w:lineRule="auto"/>
        <w:rPr>
          <w:sz w:val="20"/>
          <w:szCs w:val="20"/>
          <w:color w:val="auto"/>
        </w:rPr>
      </w:pPr>
      <w:r>
        <w:rPr>
          <w:rFonts w:ascii="Times New Roman" w:cs="Times New Roman" w:eastAsia="Times New Roman" w:hAnsi="Times New Roman"/>
          <w:sz w:val="21"/>
          <w:szCs w:val="21"/>
          <w:color w:val="auto"/>
        </w:rPr>
        <w:t>counsel mutually reasonably satisfactory to the Company and the Indemnitee; provided, however, that an Indemnitee shall have the right to retain its own counsel with the fees and expenses of such counsel to be paid by the Company if: (A) the Company has agreed in writing to pay such fees and expenses; (B) the Company shall have failed promptly to assume the defense of such Indemnified Liability and to employ counsel reasonably satisfactory to such Indemnitee in any such Indemnified Liability; or (C) the named parties to any such Indemnified Liability (including any impleaded parties) include both such Indemnitee and the Company, and such Indemnitee shall have been advised by counsel that a conflict of interest is likely to exist if the same counsel were to represent such Indemnitee and the Company (in which case, if such Indemnitee notifies the Company in writing that it elects to employ separate counsel at the expense of the Company, then the Company shall not have the right to assume the defense thereof and such counsel shall be at the expense of the Company), provided further, that in the case of clause (C) above the Company shall not be responsible for the reasonable fees and expenses of more than one (1) separate legal counsel for the Indemnitees. The Indemnitee shall reasonably cooperate with the Company in connection with any negotiation or defense of any such action or Indemnified Liability by the Company and shall furnish to the Company all information reasonably available to the Indemnitee which relates to such action or Indemnified Liability. The Company shall keep the Indemnitee reasonably apprised at all times as to the status of the defense or any settlement negotiations with respect thereto. The Company shall not be liable for any settlement of any action, claim or proceeding effected without its prior written consent, provided, however, that the Company shall not unreasonably withhold, delay or condition its consent. The Company shall not, without the prior written consent of the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Liability or litigation, and such settlement shall not include any admission as to fault on the part of the Indemnitee. Following indemnification as provided for hereunder, the Company shall be subrogated to all rights of the Indemnitee with respect to all third parties, firms or corporations relating to the matter for which indemnification has been made. The failure to deliver written notice to the Company within a reasonable time of the commencement of any such action shall not relieve the Company of any liability to the Indemnitee under this Section 9(i), except to the extent that the Company is materially and adversely prejudiced in its ability to defend such action.</w:t>
      </w:r>
    </w:p>
    <w:p>
      <w:pPr>
        <w:spacing w:after="0" w:line="200" w:lineRule="exact"/>
        <w:rPr>
          <w:sz w:val="20"/>
          <w:szCs w:val="20"/>
          <w:color w:val="auto"/>
        </w:rPr>
      </w:pPr>
    </w:p>
    <w:p>
      <w:pPr>
        <w:spacing w:after="0" w:line="246" w:lineRule="exact"/>
        <w:rPr>
          <w:sz w:val="20"/>
          <w:szCs w:val="20"/>
          <w:color w:val="auto"/>
        </w:rPr>
      </w:pPr>
    </w:p>
    <w:p>
      <w:pPr>
        <w:jc w:val="both"/>
        <w:ind w:firstLine="1304"/>
        <w:spacing w:after="0" w:line="257" w:lineRule="auto"/>
        <w:tabs>
          <w:tab w:leader="none" w:pos="183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indemnification required by this Section 9(i) shall be made by periodic payments of the amount thereof during the course of the investigation or defense, within ten (10) days after bills supporting the Indemnified Liabilities are received by the Company.</w:t>
      </w:r>
    </w:p>
    <w:p>
      <w:pPr>
        <w:spacing w:after="0" w:line="172" w:lineRule="exact"/>
        <w:rPr>
          <w:rFonts w:ascii="Times New Roman" w:cs="Times New Roman" w:eastAsia="Times New Roman" w:hAnsi="Times New Roman"/>
          <w:sz w:val="22"/>
          <w:szCs w:val="22"/>
          <w:color w:val="auto"/>
        </w:rPr>
      </w:pPr>
    </w:p>
    <w:p>
      <w:pPr>
        <w:ind w:right="20" w:firstLine="1304"/>
        <w:spacing w:after="0" w:line="271" w:lineRule="auto"/>
        <w:tabs>
          <w:tab w:leader="none" w:pos="182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indemnity agreement contained herein shall be in addition to (A) any cause of action or similar right of the Indemnitee against the Company or others, and (B) any liabilities the Company may be subject to pursuant to the law.</w:t>
      </w:r>
    </w:p>
    <w:p>
      <w:pPr>
        <w:sectPr>
          <w:pgSz w:w="11900" w:h="16838" w:orient="portrait"/>
          <w:cols w:equalWidth="0" w:num="1">
            <w:col w:w="11240"/>
          </w:cols>
          <w:pgMar w:left="320" w:top="1422" w:right="339" w:bottom="1440" w:gutter="0" w:footer="0" w:header="0"/>
        </w:sectPr>
      </w:pPr>
    </w:p>
    <w:bookmarkStart w:id="63" w:name="page64"/>
    <w:bookmarkEnd w:id="63"/>
    <w:p>
      <w:pPr>
        <w:ind w:left="-656" w:firstLine="656"/>
        <w:spacing w:after="0" w:line="271" w:lineRule="auto"/>
        <w:tabs>
          <w:tab w:leader="none" w:pos="49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Strict Construction</w:t>
      </w:r>
      <w:r>
        <w:rPr>
          <w:rFonts w:ascii="Times New Roman" w:cs="Times New Roman" w:eastAsia="Times New Roman" w:hAnsi="Times New Roman"/>
          <w:sz w:val="22"/>
          <w:szCs w:val="22"/>
          <w:color w:val="auto"/>
        </w:rPr>
        <w:t>. The language used in this Agreement will be deemed to be the language chosen by the parties to express their mutual intent, and no rules of strict construction will be applied against any party.</w:t>
      </w:r>
    </w:p>
    <w:p>
      <w:pPr>
        <w:spacing w:after="0" w:line="157" w:lineRule="exact"/>
        <w:rPr>
          <w:rFonts w:ascii="Times New Roman" w:cs="Times New Roman" w:eastAsia="Times New Roman" w:hAnsi="Times New Roman"/>
          <w:sz w:val="22"/>
          <w:szCs w:val="22"/>
          <w:color w:val="auto"/>
        </w:rPr>
      </w:pPr>
    </w:p>
    <w:p>
      <w:pPr>
        <w:jc w:val="both"/>
        <w:ind w:left="-656" w:firstLine="656"/>
        <w:spacing w:after="0" w:line="252" w:lineRule="auto"/>
        <w:tabs>
          <w:tab w:leader="none" w:pos="5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YA II PN, LTD. Consent</w:t>
      </w:r>
      <w:r>
        <w:rPr>
          <w:rFonts w:ascii="Times New Roman" w:cs="Times New Roman" w:eastAsia="Times New Roman" w:hAnsi="Times New Roman"/>
          <w:sz w:val="22"/>
          <w:szCs w:val="22"/>
          <w:color w:val="auto"/>
        </w:rPr>
        <w:t>. The Company and the Buyer are parties to the March SPA, pursuant to which the Company sold the Existing Convertible Debentures to the Buyer. The Buyer, pursuant to Section 4(m) of the March SPA, hereby consents to the Company entering into this Agreement and the Transaction Documents and performing its obligations hereunder and thereunder, including the issuance and sale of the Convertible Debentures. The Buyer acknowledges that no other terms of the March SPA are expected to be triggered by this Agreement, the Transaction Documents and the issuance and sale of the Convertible Debentures and prospectively waives any other term of the March SPA that may ultimately be triggered upon the issuance and sale of the Convertible Debentures.</w:t>
      </w:r>
    </w:p>
    <w:p>
      <w:pPr>
        <w:spacing w:after="0" w:line="175" w:lineRule="exact"/>
        <w:rPr>
          <w:sz w:val="20"/>
          <w:szCs w:val="20"/>
          <w:color w:val="auto"/>
        </w:rPr>
      </w:pPr>
    </w:p>
    <w:p>
      <w:pPr>
        <w:ind w:left="2564"/>
        <w:spacing w:after="0"/>
        <w:rPr>
          <w:sz w:val="20"/>
          <w:szCs w:val="20"/>
          <w:color w:val="auto"/>
        </w:rPr>
      </w:pPr>
      <w:r>
        <w:rPr>
          <w:rFonts w:ascii="Times New Roman" w:cs="Times New Roman" w:eastAsia="Times New Roman" w:hAnsi="Times New Roman"/>
          <w:sz w:val="22"/>
          <w:szCs w:val="22"/>
          <w:b w:val="1"/>
          <w:bCs w:val="1"/>
          <w:color w:val="auto"/>
        </w:rPr>
        <w:t>[REMAINDER PAGE INTENTIONALLY LEFT BLANK]</w:t>
      </w:r>
    </w:p>
    <w:p>
      <w:pPr>
        <w:sectPr>
          <w:pgSz w:w="11900" w:h="16838" w:orient="portrait"/>
          <w:cols w:equalWidth="0" w:num="1">
            <w:col w:w="10584"/>
          </w:cols>
          <w:pgMar w:left="976" w:top="1422" w:right="339" w:bottom="1440" w:gutter="0" w:footer="0" w:header="0"/>
        </w:sectPr>
      </w:pPr>
    </w:p>
    <w:bookmarkStart w:id="64" w:name="page65"/>
    <w:bookmarkEnd w:id="64"/>
    <w:p>
      <w:pPr>
        <w:spacing w:after="0" w:line="200" w:lineRule="exact"/>
        <w:rPr>
          <w:sz w:val="20"/>
          <w:szCs w:val="20"/>
          <w:color w:val="auto"/>
        </w:rPr>
      </w:pPr>
    </w:p>
    <w:p>
      <w:pPr>
        <w:spacing w:after="0" w:line="264"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Buyer and the Company have caused their respective signature page to this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Agreement to be duly executed as of the date first written above.</w:t>
      </w:r>
    </w:p>
    <w:p>
      <w:pPr>
        <w:spacing w:after="0" w:line="200" w:lineRule="exact"/>
        <w:rPr>
          <w:sz w:val="20"/>
          <w:szCs w:val="20"/>
          <w:color w:val="auto"/>
        </w:rPr>
      </w:pPr>
    </w:p>
    <w:p>
      <w:pPr>
        <w:spacing w:after="0" w:line="2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3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color w:val="auto"/>
        </w:rPr>
        <w:t>INNVENTURE, INC.</w:t>
      </w:r>
    </w:p>
    <w:p>
      <w:pPr>
        <w:spacing w:after="0" w:line="30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-13970</wp:posOffset>
            </wp:positionV>
            <wp:extent cx="1319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9530" cy="8890"/>
                    </a:xfrm>
                    <a:prstGeom prst="rect">
                      <a:avLst/>
                    </a:prstGeom>
                    <a:noFill/>
                  </pic:spPr>
                </pic:pic>
              </a:graphicData>
            </a:graphic>
          </wp:anchor>
        </w:drawing>
      </w:r>
    </w:p>
    <w:p>
      <w:pPr>
        <w:spacing w:after="0" w:line="11" w:lineRule="exact"/>
        <w:rPr>
          <w:sz w:val="20"/>
          <w:szCs w:val="20"/>
          <w:color w:val="auto"/>
        </w:rPr>
      </w:pPr>
    </w:p>
    <w:p>
      <w:pPr>
        <w:ind w:left="5660"/>
        <w:spacing w:after="0"/>
        <w:tabs>
          <w:tab w:leader="none" w:pos="64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David Yablunosky</w:t>
      </w:r>
    </w:p>
    <w:p>
      <w:pPr>
        <w:spacing w:after="0" w:line="29" w:lineRule="exact"/>
        <w:rPr>
          <w:sz w:val="20"/>
          <w:szCs w:val="20"/>
          <w:color w:val="auto"/>
        </w:rPr>
      </w:pPr>
    </w:p>
    <w:p>
      <w:pPr>
        <w:ind w:left="5660"/>
        <w:spacing w:after="0"/>
        <w:tabs>
          <w:tab w:leader="none" w:pos="63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ectPr>
          <w:pgSz w:w="11900" w:h="16838" w:orient="portrait"/>
          <w:cols w:equalWidth="0" w:num="1">
            <w:col w:w="11240"/>
          </w:cols>
          <w:pgMar w:left="320" w:top="1440" w:right="339" w:bottom="1440" w:gutter="0" w:footer="0" w:header="0"/>
        </w:sectPr>
      </w:pPr>
    </w:p>
    <w:bookmarkStart w:id="65" w:name="page66"/>
    <w:bookmarkEnd w:id="65"/>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Buyer and the Company have caused their respective signature page to this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Agreement to be duly executed as of the date first written above.</w:t>
      </w:r>
    </w:p>
    <w:p>
      <w:pPr>
        <w:spacing w:after="0" w:line="200" w:lineRule="exact"/>
        <w:rPr>
          <w:sz w:val="20"/>
          <w:szCs w:val="20"/>
          <w:color w:val="auto"/>
        </w:rPr>
      </w:pPr>
    </w:p>
    <w:p>
      <w:pPr>
        <w:spacing w:after="0" w:line="2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color w:val="auto"/>
        </w:rPr>
        <w:t>BUYER:</w:t>
      </w:r>
    </w:p>
    <w:p>
      <w:pPr>
        <w:spacing w:after="0" w:line="3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color w:val="auto"/>
        </w:rPr>
        <w:t>YA II PN, LTD.</w:t>
      </w:r>
    </w:p>
    <w:p>
      <w:pPr>
        <w:spacing w:after="0" w:line="3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Yorkville Advisors Global, LP</w:t>
      </w:r>
    </w:p>
    <w:p>
      <w:pPr>
        <w:spacing w:after="0" w:line="3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Its: Investment Manager</w:t>
      </w:r>
    </w:p>
    <w:p>
      <w:pPr>
        <w:spacing w:after="0" w:line="28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Yorkville Advisors Global II, LLC</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302"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Matt Beckman</w:t>
      </w:r>
    </w:p>
    <w:p>
      <w:pPr>
        <w:spacing w:after="0" w:line="31" w:lineRule="exact"/>
        <w:rPr>
          <w:sz w:val="20"/>
          <w:szCs w:val="20"/>
          <w:color w:val="auto"/>
        </w:rPr>
      </w:pPr>
    </w:p>
    <w:p>
      <w:pPr>
        <w:ind w:left="5660"/>
        <w:spacing w:after="0"/>
        <w:tabs>
          <w:tab w:leader="none" w:pos="64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Matt Beckman</w:t>
      </w:r>
    </w:p>
    <w:p>
      <w:pPr>
        <w:spacing w:after="0" w:line="29" w:lineRule="exact"/>
        <w:rPr>
          <w:sz w:val="20"/>
          <w:szCs w:val="20"/>
          <w:color w:val="auto"/>
        </w:rPr>
      </w:pPr>
    </w:p>
    <w:p>
      <w:pPr>
        <w:ind w:left="5660"/>
        <w:spacing w:after="0"/>
        <w:tabs>
          <w:tab w:leader="none" w:pos="63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Member</w:t>
      </w:r>
    </w:p>
    <w:p>
      <w:pPr>
        <w:sectPr>
          <w:pgSz w:w="11900" w:h="16838" w:orient="portrait"/>
          <w:cols w:equalWidth="0" w:num="1">
            <w:col w:w="11240"/>
          </w:cols>
          <w:pgMar w:left="320" w:top="1418"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0"/>
          <w:szCs w:val="20"/>
          <w:b w:val="1"/>
          <w:bCs w:val="1"/>
          <w:color w:val="6D6D6D"/>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GLOBAL GUARANTY AGREEMENT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This Global Guaranty Agreement (this “</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xml:space="preserve">”) is made as of September 15, 2025 by </w:t>
      </w:r>
      <w:r>
        <w:rPr>
          <w:rFonts w:ascii="Times New Roman" w:cs="Times New Roman" w:eastAsia="Times New Roman" w:hAnsi="Times New Roman"/>
          <w:sz w:val="22"/>
          <w:szCs w:val="22"/>
          <w:b w:val="1"/>
          <w:bCs w:val="1"/>
          <w:color w:val="auto"/>
        </w:rPr>
        <w:t>INNVENTURE LLC</w:t>
      </w:r>
      <w:r>
        <w:rPr>
          <w:rFonts w:ascii="Times New Roman" w:cs="Times New Roman" w:eastAsia="Times New Roman" w:hAnsi="Times New Roman"/>
          <w:sz w:val="22"/>
          <w:szCs w:val="22"/>
          <w:color w:val="auto"/>
        </w:rPr>
        <w:t>, a limited liability company organized under the laws of Delaware (the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xml:space="preserve">”), in favor of </w:t>
      </w:r>
      <w:r>
        <w:rPr>
          <w:rFonts w:ascii="Times New Roman" w:cs="Times New Roman" w:eastAsia="Times New Roman" w:hAnsi="Times New Roman"/>
          <w:sz w:val="22"/>
          <w:szCs w:val="22"/>
          <w:b w:val="1"/>
          <w:bCs w:val="1"/>
          <w:color w:val="auto"/>
        </w:rPr>
        <w:t>YA II PN, LTD.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YA II</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Creditor</w:t>
      </w:r>
      <w:r>
        <w:rPr>
          <w:rFonts w:ascii="Times New Roman" w:cs="Times New Roman" w:eastAsia="Times New Roman" w:hAnsi="Times New Roman"/>
          <w:sz w:val="22"/>
          <w:szCs w:val="22"/>
          <w:color w:val="auto"/>
        </w:rPr>
        <w:t xml:space="preserve">”), with respect to all obligations of </w:t>
      </w:r>
      <w:r>
        <w:rPr>
          <w:rFonts w:ascii="Times New Roman" w:cs="Times New Roman" w:eastAsia="Times New Roman" w:hAnsi="Times New Roman"/>
          <w:sz w:val="22"/>
          <w:szCs w:val="22"/>
          <w:b w:val="1"/>
          <w:bCs w:val="1"/>
          <w:color w:val="auto"/>
        </w:rPr>
        <w:t>INNVENTURE, INC.,</w:t>
      </w:r>
      <w:r>
        <w:rPr>
          <w:rFonts w:ascii="Times New Roman" w:cs="Times New Roman" w:eastAsia="Times New Roman" w:hAnsi="Times New Roman"/>
          <w:sz w:val="22"/>
          <w:szCs w:val="22"/>
          <w:color w:val="auto"/>
        </w:rPr>
        <w:t xml:space="preserve"> a corporation incorporated under the laws of the State of Delaware (the “</w:t>
      </w:r>
      <w:r>
        <w:rPr>
          <w:rFonts w:ascii="Times New Roman" w:cs="Times New Roman" w:eastAsia="Times New Roman" w:hAnsi="Times New Roman"/>
          <w:sz w:val="22"/>
          <w:szCs w:val="22"/>
          <w:u w:val="single" w:color="auto"/>
          <w:color w:val="auto"/>
        </w:rPr>
        <w:t>Debtor</w:t>
      </w:r>
      <w:r>
        <w:rPr>
          <w:rFonts w:ascii="Times New Roman" w:cs="Times New Roman" w:eastAsia="Times New Roman" w:hAnsi="Times New Roman"/>
          <w:sz w:val="22"/>
          <w:szCs w:val="22"/>
          <w:color w:val="auto"/>
        </w:rPr>
        <w:t>”) owed to the Creditor.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4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Creditor and the Debtor have entered into a Securities Purchase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September 15, 2025 pursuant to which the Creditor shall provide loans to the Debtor, to be evidenced by convertible debentures (the “</w:t>
      </w:r>
      <w:r>
        <w:rPr>
          <w:rFonts w:ascii="Times New Roman" w:cs="Times New Roman" w:eastAsia="Times New Roman" w:hAnsi="Times New Roman"/>
          <w:sz w:val="22"/>
          <w:szCs w:val="22"/>
          <w:u w:val="single" w:color="auto"/>
          <w:color w:val="auto"/>
        </w:rPr>
        <w:t>Convertible Debentures</w:t>
      </w:r>
      <w:r>
        <w:rPr>
          <w:rFonts w:ascii="Times New Roman" w:cs="Times New Roman" w:eastAsia="Times New Roman" w:hAnsi="Times New Roman"/>
          <w:sz w:val="22"/>
          <w:szCs w:val="22"/>
          <w:color w:val="auto"/>
        </w:rPr>
        <w:t>”) to be issued by the Debtor to the Creditor, in the amount of up to $15 million;</w:t>
      </w:r>
    </w:p>
    <w:p>
      <w:pPr>
        <w:spacing w:after="0" w:line="16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it is a condition precedent to Debtor being permitted to loan, invest, transfer or “downstream” any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proceeds, or assets or property acquired with cash proceeds from the issuance and sale of the Convertible Debentures to the Guarantor that the Guarantor enter into this Guaranty; and</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Guarantor is a wholly owned subsidiary of the Debtor.</w:t>
      </w:r>
    </w:p>
    <w:p>
      <w:pPr>
        <w:spacing w:after="0" w:line="2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good and valuable consideration, the receipt and sufficiency of which are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acknowledged, the Guarantor covenants and agrees as follows:</w:t>
      </w:r>
    </w:p>
    <w:p>
      <w:pPr>
        <w:spacing w:after="0" w:line="137" w:lineRule="exact"/>
        <w:rPr>
          <w:sz w:val="20"/>
          <w:szCs w:val="20"/>
          <w:color w:val="auto"/>
        </w:rPr>
      </w:pPr>
    </w:p>
    <w:p>
      <w:pPr>
        <w:jc w:val="both"/>
        <w:ind w:firstLine="726"/>
        <w:spacing w:after="0" w:line="248" w:lineRule="auto"/>
        <w:tabs>
          <w:tab w:leader="none" w:pos="1231"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Guaranty of Payment and Performance</w:t>
      </w:r>
      <w:r>
        <w:rPr>
          <w:rFonts w:ascii="Times New Roman" w:cs="Times New Roman" w:eastAsia="Times New Roman" w:hAnsi="Times New Roman"/>
          <w:sz w:val="22"/>
          <w:szCs w:val="22"/>
          <w:color w:val="auto"/>
        </w:rPr>
        <w:t>. The Guarantor hereby guarantees to the Creditor the full, prompt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unconditional payment when due (whether at maturity, by acceleration or otherwise), and the performance, of all liabilities, agreements and other obligations of the Debtor to the Creditor contained in the Convertible Debentures and the Transaction Documents (all the foregoing, collectively, the “</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This Guaranty is an absolute, unconditional and continuing guaranty of the full and punctual payment and performance of the Obligations and not of their collectability only and is in no way conditioned upon any requirement that the Creditor first attempt to collect or require the performance of any of the Obligations from the Debtor or resort to any security or other means of obtaining their payment. Should the Debtor default in the payment or performance of any of the Obligations, the obligations of the Guarantor hereunder shall become immediately due and payable to the Creditor, without demand or notice of any nature all of which are expressly waived by the Guarantor.</w:t>
      </w:r>
    </w:p>
    <w:p>
      <w:pPr>
        <w:spacing w:after="0" w:line="198" w:lineRule="exact"/>
        <w:rPr>
          <w:rFonts w:ascii="Times New Roman" w:cs="Times New Roman" w:eastAsia="Times New Roman" w:hAnsi="Times New Roman"/>
          <w:sz w:val="22"/>
          <w:szCs w:val="22"/>
          <w:color w:val="auto"/>
        </w:rPr>
      </w:pPr>
    </w:p>
    <w:p>
      <w:pPr>
        <w:ind w:firstLine="656"/>
        <w:spacing w:after="0" w:line="275" w:lineRule="auto"/>
        <w:tabs>
          <w:tab w:leader="none" w:pos="1039"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Limited Guaranty</w:t>
      </w:r>
      <w:r>
        <w:rPr>
          <w:rFonts w:ascii="Times New Roman" w:cs="Times New Roman" w:eastAsia="Times New Roman" w:hAnsi="Times New Roman"/>
          <w:sz w:val="22"/>
          <w:szCs w:val="22"/>
          <w:color w:val="auto"/>
        </w:rPr>
        <w:t>. The liability of the Guarantor hereunder shall be limited to the amount of the Obligations due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Creditor.</w:t>
      </w:r>
    </w:p>
    <w:p>
      <w:pPr>
        <w:spacing w:after="0" w:line="149" w:lineRule="exact"/>
        <w:rPr>
          <w:rFonts w:ascii="Times New Roman" w:cs="Times New Roman" w:eastAsia="Times New Roman" w:hAnsi="Times New Roman"/>
          <w:sz w:val="22"/>
          <w:szCs w:val="22"/>
          <w:color w:val="auto"/>
        </w:rPr>
      </w:pPr>
    </w:p>
    <w:p>
      <w:pPr>
        <w:jc w:val="both"/>
        <w:ind w:firstLine="656"/>
        <w:spacing w:after="0" w:line="259" w:lineRule="auto"/>
        <w:tabs>
          <w:tab w:leader="none" w:pos="1039"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Waivers by Guarantor; Creditor’s Freedom to Act</w:t>
      </w:r>
      <w:r>
        <w:rPr>
          <w:rFonts w:ascii="Times New Roman" w:cs="Times New Roman" w:eastAsia="Times New Roman" w:hAnsi="Times New Roman"/>
          <w:sz w:val="22"/>
          <w:szCs w:val="22"/>
          <w:color w:val="auto"/>
        </w:rPr>
        <w:t>. The Guarantor hereby agrees that the Obligations will be paid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performed strictly in accordance with their terms regardless of any law, regulation or order now or hereafter in effect in any jurisdiction affecting</w:t>
      </w:r>
    </w:p>
    <w:p>
      <w:pPr>
        <w:sectPr>
          <w:pgSz w:w="11900" w:h="16838" w:orient="portrait"/>
          <w:cols w:equalWidth="0" w:num="1">
            <w:col w:w="11240"/>
          </w:cols>
          <w:pgMar w:left="320" w:top="114" w:right="339" w:bottom="1440" w:gutter="0" w:footer="0" w:header="0"/>
        </w:sectPr>
      </w:pPr>
    </w:p>
    <w:bookmarkStart w:id="67" w:name="page68"/>
    <w:bookmarkEnd w:id="67"/>
    <w:p>
      <w:pPr>
        <w:jc w:val="both"/>
        <w:spacing w:after="0" w:line="259" w:lineRule="auto"/>
        <w:rPr>
          <w:sz w:val="20"/>
          <w:szCs w:val="20"/>
          <w:color w:val="auto"/>
        </w:rPr>
      </w:pPr>
      <w:r>
        <w:rPr>
          <w:rFonts w:ascii="Times New Roman" w:cs="Times New Roman" w:eastAsia="Times New Roman" w:hAnsi="Times New Roman"/>
          <w:sz w:val="21"/>
          <w:szCs w:val="21"/>
          <w:color w:val="auto"/>
        </w:rPr>
        <w:t>any of such terms or the rights of the Creditor with respect thereto. The Guarantor waives presentment, demand, protest, notice of acceptance, notice of Obligations incurred and all other notices of any kind, all defenses that may be available by virtue of any valuation, stay, moratorium law or other similar law now or hereafter in effect, any right to require the marshalling of assets of the Debtor, and all suretyship defenses generally. Without limiting the generality of the foregoing, the Guarantor agrees to the provisions of any instrument evidencing, securing or otherwise executed in connection with any Obligation and agrees that the obligations of the Guarantor hereunder shall not be released or discharged, in whole or in part, or otherwise affected by (i) the failure of the Creditor to assert any claim or demand or to enforce any right or remedy against the Debtor; (ii) any extensions or renewals of, or alteration of the terms of, any Obligation or any portion thereof unless entered into by the Debtor and the Creditor; (iii) any rescissions, waivers, amendments or modifications of any of the terms or provisions of any agreement evidencing, securing or otherwise executed in connection with any Obligation unless entered into by the Debtor and the Creditor;</w:t>
      </w:r>
    </w:p>
    <w:p>
      <w:pPr>
        <w:spacing w:after="0" w:line="10" w:lineRule="exact"/>
        <w:rPr>
          <w:sz w:val="20"/>
          <w:szCs w:val="20"/>
          <w:color w:val="auto"/>
        </w:rPr>
      </w:pPr>
    </w:p>
    <w:p>
      <w:pPr>
        <w:jc w:val="both"/>
        <w:ind w:firstLine="8"/>
        <w:spacing w:after="0" w:line="255" w:lineRule="auto"/>
        <w:tabs>
          <w:tab w:leader="none" w:pos="374"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substitution or release of any entity primarily or secondarily liable for any Obligation; (v) the adequacy of any rights the Creditor may have against any collateral or other means of obtaining payment or performance of the Obligations; (vi) the impairment of any collateral securing the Obligations, including without limitation the failure to perfect or preserve any rights the Creditor might have in such collateral or the substitution, exchange, surrender, release, loss or destruction of any such collateral;</w:t>
      </w:r>
    </w:p>
    <w:p>
      <w:pPr>
        <w:spacing w:after="0" w:line="1" w:lineRule="exact"/>
        <w:rPr>
          <w:rFonts w:ascii="Times New Roman" w:cs="Times New Roman" w:eastAsia="Times New Roman" w:hAnsi="Times New Roman"/>
          <w:sz w:val="21"/>
          <w:szCs w:val="21"/>
          <w:color w:val="auto"/>
        </w:rPr>
      </w:pPr>
    </w:p>
    <w:p>
      <w:pPr>
        <w:jc w:val="both"/>
        <w:ind w:firstLine="8"/>
        <w:spacing w:after="0" w:line="247" w:lineRule="auto"/>
        <w:tabs>
          <w:tab w:leader="none" w:pos="467"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to obtain or maintain a right of contribution for the benefit of the Guarantor; (viii) errors or omissions in connection with the Creditor’s administration of the Obligations (except behavior constituting bad faith); or (ix) any other act or omission that might in any manner or to any extent vary the risk of the Guarantor or otherwise operate as a release or discharge of the Guarantor (other than payment or performance in full of the Obligations), all of which may be done without notice to the Guarantor.</w:t>
      </w:r>
    </w:p>
    <w:p>
      <w:pPr>
        <w:spacing w:after="0" w:line="193" w:lineRule="exact"/>
        <w:rPr>
          <w:rFonts w:ascii="Times New Roman" w:cs="Times New Roman" w:eastAsia="Times New Roman" w:hAnsi="Times New Roman"/>
          <w:sz w:val="22"/>
          <w:szCs w:val="22"/>
          <w:color w:val="auto"/>
        </w:rPr>
      </w:pPr>
    </w:p>
    <w:p>
      <w:pPr>
        <w:jc w:val="both"/>
        <w:ind w:firstLine="656"/>
        <w:spacing w:after="0" w:line="249" w:lineRule="auto"/>
        <w:tabs>
          <w:tab w:leader="none" w:pos="1134"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Unenforceability of Obligations Against Debtor</w:t>
      </w:r>
      <w:r>
        <w:rPr>
          <w:rFonts w:ascii="Times New Roman" w:cs="Times New Roman" w:eastAsia="Times New Roman" w:hAnsi="Times New Roman"/>
          <w:sz w:val="22"/>
          <w:szCs w:val="22"/>
          <w:color w:val="auto"/>
        </w:rPr>
        <w:t>. If, for any reason, the Debtor is under no legal obligation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discharge or perform any of the Obligations, or if any of the Obligations have become irrecoverable from the Debtor by operation of law or for any other reason (other than payment or performance in full of the Obligations), this Guaranty shall nevertheless be binding on the Guarantor to the same extent as if the Guarantor at all times had been the principal obligor on all such Obligations. In the event that acceleration of the time for payment of the Obligations is stayed upon the insolvency, bankruptcy or reorganization of the Debtor, or for any other reason, all such amounts otherwise subject to acceleration under the terms of any agreement evidencing, securing or otherwise executed in connection with any Obligation shall be immediately due and payable by the Guarantor.</w:t>
      </w:r>
    </w:p>
    <w:p>
      <w:pPr>
        <w:spacing w:after="0" w:line="181" w:lineRule="exact"/>
        <w:rPr>
          <w:rFonts w:ascii="Times New Roman" w:cs="Times New Roman" w:eastAsia="Times New Roman" w:hAnsi="Times New Roman"/>
          <w:sz w:val="22"/>
          <w:szCs w:val="22"/>
          <w:color w:val="auto"/>
        </w:rPr>
      </w:pPr>
    </w:p>
    <w:p>
      <w:pPr>
        <w:jc w:val="both"/>
        <w:ind w:firstLine="656"/>
        <w:spacing w:after="0" w:line="266" w:lineRule="auto"/>
        <w:tabs>
          <w:tab w:leader="none" w:pos="1066"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Subrogation; Subordination</w:t>
      </w:r>
      <w:r>
        <w:rPr>
          <w:rFonts w:ascii="Times New Roman" w:cs="Times New Roman" w:eastAsia="Times New Roman" w:hAnsi="Times New Roman"/>
          <w:sz w:val="21"/>
          <w:szCs w:val="21"/>
          <w:color w:val="auto"/>
        </w:rPr>
        <w:t>. Until the payment and performance in full of all Obligations, the Guarantor shall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exercise any rights against the Debtor arising as a result of payment by the Guarantor hereunder, by way of subrogation or otherwise, and will not prove any claim in competition with the Creditor in respect of any payment hereunder in bankruptcy or insolvency proceedings of any nature; the Guarantor will not claim any set-off or counterclaim against the Debtor in respect of any liability of the Guarantor to the Debtor; and the Guarantor waives any benefit of and any right to participate in any collateral that may be held by the Creditor. The payment of any amounts due with respect to any indebtedness of the Debtor now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68" w:name="page69"/>
    <w:bookmarkEnd w:id="68"/>
    <w:p>
      <w:pPr>
        <w:jc w:val="both"/>
        <w:spacing w:after="0" w:line="250" w:lineRule="auto"/>
        <w:rPr>
          <w:sz w:val="20"/>
          <w:szCs w:val="20"/>
          <w:color w:val="auto"/>
        </w:rPr>
      </w:pPr>
      <w:r>
        <w:rPr>
          <w:rFonts w:ascii="Times New Roman" w:cs="Times New Roman" w:eastAsia="Times New Roman" w:hAnsi="Times New Roman"/>
          <w:sz w:val="22"/>
          <w:szCs w:val="22"/>
          <w:color w:val="auto"/>
        </w:rPr>
        <w:t>or hereafter held by the Guarantor is hereby subordinated to the prior payment in full of the Obligations. The Guarantor agrees that after the occurrence of any default in the payment or performance of the Obligations, the Guarantor will not demand, sue for or otherwise attempt to collect any such indebtedness of the Debtor to the Guarantor until the Obligations shall have been paid or performed in full. If, notwithstanding the foregoing sentence, the Guarantor shall collect, enforce or receive any amounts in respect of such indebtedness, such amounts shall be collected, enforced and received by the Guarantor as trustee for the Creditor and be paid over to the Creditor on account of the Obligations without affecting in any manner the liability of the Guarantor under the other provisions of this Guaranty.</w:t>
      </w:r>
    </w:p>
    <w:p>
      <w:pPr>
        <w:spacing w:after="0" w:line="176" w:lineRule="exact"/>
        <w:rPr>
          <w:sz w:val="20"/>
          <w:szCs w:val="20"/>
          <w:color w:val="auto"/>
        </w:rPr>
      </w:pPr>
    </w:p>
    <w:p>
      <w:pPr>
        <w:jc w:val="both"/>
        <w:ind w:firstLine="656"/>
        <w:spacing w:after="0" w:line="258" w:lineRule="auto"/>
        <w:tabs>
          <w:tab w:leader="none" w:pos="117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Reinstatement</w:t>
      </w:r>
      <w:r>
        <w:rPr>
          <w:rFonts w:ascii="Times New Roman" w:cs="Times New Roman" w:eastAsia="Times New Roman" w:hAnsi="Times New Roman"/>
          <w:sz w:val="22"/>
          <w:szCs w:val="22"/>
          <w:color w:val="auto"/>
        </w:rPr>
        <w:t>. This Guaranty is irrevocable and shall continue until such time as the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been indefeasibly paid or performed in full. This Guaranty shall be reinstated if at any time any payment made or value received with respect to an Obligation is rescinded or must otherwise be returned by the Creditor upon the insolvency, bankruptcy or reorganization of the Debtor, or otherwise, all as though such payment had not been made or value received.</w:t>
      </w:r>
    </w:p>
    <w:p>
      <w:pPr>
        <w:spacing w:after="0" w:line="167" w:lineRule="exact"/>
        <w:rPr>
          <w:rFonts w:ascii="Times New Roman" w:cs="Times New Roman" w:eastAsia="Times New Roman" w:hAnsi="Times New Roman"/>
          <w:sz w:val="22"/>
          <w:szCs w:val="22"/>
          <w:color w:val="auto"/>
        </w:rPr>
      </w:pPr>
    </w:p>
    <w:p>
      <w:pPr>
        <w:jc w:val="both"/>
        <w:ind w:firstLine="656"/>
        <w:spacing w:after="0" w:line="259" w:lineRule="auto"/>
        <w:tabs>
          <w:tab w:leader="none" w:pos="1147"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This Guaranty shall be binding upon the Guarantor, its successors and assigns,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inure to the benefit of and be enforceable by the Creditor and the Creditor’s shareholders, officers, directors, agents, successors and assigns.</w:t>
      </w:r>
    </w:p>
    <w:p>
      <w:pPr>
        <w:spacing w:after="0" w:line="179" w:lineRule="exact"/>
        <w:rPr>
          <w:rFonts w:ascii="Times New Roman" w:cs="Times New Roman" w:eastAsia="Times New Roman" w:hAnsi="Times New Roman"/>
          <w:sz w:val="22"/>
          <w:szCs w:val="22"/>
          <w:color w:val="auto"/>
        </w:rPr>
      </w:pPr>
    </w:p>
    <w:p>
      <w:pPr>
        <w:jc w:val="both"/>
        <w:ind w:firstLine="656"/>
        <w:spacing w:after="0" w:line="251" w:lineRule="auto"/>
        <w:tabs>
          <w:tab w:leader="none" w:pos="126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Amendments and Waivers</w:t>
      </w:r>
      <w:r>
        <w:rPr>
          <w:rFonts w:ascii="Times New Roman" w:cs="Times New Roman" w:eastAsia="Times New Roman" w:hAnsi="Times New Roman"/>
          <w:sz w:val="22"/>
          <w:szCs w:val="22"/>
          <w:color w:val="auto"/>
        </w:rPr>
        <w:t>. No amendment or waiver of any provision of this Guaranty nor consent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departure by the Guarantor therefrom shall be effective unless the same shall be in writing and signed by the Guarantor and the Creditor. No failure on the part of the Creditor to exercise, and no delay in exercising, any right hereunder shall operate as a waiver thereof; nor shall any single or partial exercise of any right hereunder preclude any other or further exercise thereof or the exercise of any other right.</w:t>
      </w:r>
    </w:p>
    <w:p>
      <w:pPr>
        <w:spacing w:after="0" w:line="189" w:lineRule="exact"/>
        <w:rPr>
          <w:rFonts w:ascii="Times New Roman" w:cs="Times New Roman" w:eastAsia="Times New Roman" w:hAnsi="Times New Roman"/>
          <w:sz w:val="22"/>
          <w:szCs w:val="22"/>
          <w:color w:val="auto"/>
        </w:rPr>
      </w:pPr>
    </w:p>
    <w:p>
      <w:pPr>
        <w:jc w:val="both"/>
        <w:ind w:firstLine="656"/>
        <w:spacing w:after="0" w:line="259" w:lineRule="auto"/>
        <w:tabs>
          <w:tab w:leader="none" w:pos="1174"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color w:val="auto"/>
        </w:rPr>
        <w:t>. All notices and other communications called for hereunder to the Creditor or the Debtor shall be made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as provided in the Agreement. All notices and other communications called for hereunder to the Guarantor shall be made in writing as provided on Schedule I attached hereto or as the Guarantor may otherwise notify the Creditor.</w:t>
      </w:r>
    </w:p>
    <w:p>
      <w:pPr>
        <w:spacing w:after="0" w:line="166" w:lineRule="exact"/>
        <w:rPr>
          <w:rFonts w:ascii="Times New Roman" w:cs="Times New Roman" w:eastAsia="Times New Roman" w:hAnsi="Times New Roman"/>
          <w:sz w:val="22"/>
          <w:szCs w:val="22"/>
          <w:color w:val="auto"/>
        </w:rPr>
      </w:pPr>
    </w:p>
    <w:p>
      <w:pPr>
        <w:jc w:val="both"/>
        <w:ind w:firstLine="656"/>
        <w:spacing w:after="0" w:line="250" w:lineRule="auto"/>
        <w:tabs>
          <w:tab w:leader="none" w:pos="118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Consent to Jurisdiction</w:t>
      </w:r>
      <w:r>
        <w:rPr>
          <w:rFonts w:ascii="Times New Roman" w:cs="Times New Roman" w:eastAsia="Times New Roman" w:hAnsi="Times New Roman"/>
          <w:sz w:val="22"/>
          <w:szCs w:val="22"/>
          <w:color w:val="auto"/>
        </w:rPr>
        <w:t>. This Guaranty is intended to take effect as a sealed instrument and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governed by, and construed in accordance with, the laws of the State of New York (excluding the laws applicable to conflicts or choice of law). The Guarantor agrees that any suit for the enforcement of this Guaranty may be brought in the courts of the State of New York, New York County and consents to the non-exclusive jurisdiction of such court and to service of process in any such suit’s being made upon the Guarantor by mail at the address set forth at the head of this Guaranty. The Guarantor hereby waives any objection that it may now or hereafter have to the venue of any such suit or any such court or that such suit was brought in an inconvenient court.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Rest of page intentionally left blank. Signature page follows.</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69" w:name="page70"/>
    <w:bookmarkEnd w:id="69"/>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Guarantor has caused this Guaranty to be executed and delivered as a sealed instrument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date appearing on page one.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INNVENTURE LLC</w:t>
      </w:r>
    </w:p>
    <w:p>
      <w:pPr>
        <w:spacing w:after="0" w:line="26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-13970</wp:posOffset>
            </wp:positionV>
            <wp:extent cx="1319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9530" cy="8890"/>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3285490</wp:posOffset>
            </wp:positionH>
            <wp:positionV relativeFrom="paragraph">
              <wp:posOffset>-29210</wp:posOffset>
            </wp:positionV>
            <wp:extent cx="1155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55700" cy="8255"/>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-29210</wp:posOffset>
            </wp:positionV>
            <wp:extent cx="14141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18" w:right="359" w:bottom="1440" w:gutter="0" w:footer="0" w:header="0"/>
        </w:sectPr>
      </w:pPr>
    </w:p>
    <w:bookmarkStart w:id="70" w:name="page71"/>
    <w:bookmarkEnd w:id="70"/>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Schedule I</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The Guarantor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Innventure LLC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6900 Tavistock Lakes Blvd, Suite 400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Orlando, FL 32827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Suzanne Niemeyer, General Counsel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 (610) 996-1767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legalnotices@innventure.com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copy to:</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Jones Day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1221 Peachtree Street, N.E., Suite 400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Atlanta, GA 30361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Joel T. May, Esq.</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Telephone: (404) 581-8967</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jtmay@jonesday.com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139"/>
          </w:cols>
          <w:pgMar w:left="320" w:top="1418" w:right="1440"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0"/>
          <w:szCs w:val="20"/>
          <w:b w:val="1"/>
          <w:bCs w:val="1"/>
          <w:color w:val="6D6D6D"/>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REGISTRATION RIGHTS AGREEMENT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THIS REGISTRATION RIGHTS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September 15, 2025, is made by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YA II PN, LTD., a Cayman Islands exempt limited company (the “</w:t>
      </w:r>
      <w:r>
        <w:rPr>
          <w:rFonts w:ascii="Times New Roman" w:cs="Times New Roman" w:eastAsia="Times New Roman" w:hAnsi="Times New Roman"/>
          <w:sz w:val="22"/>
          <w:szCs w:val="22"/>
          <w:u w:val="single" w:color="auto"/>
          <w:color w:val="auto"/>
        </w:rPr>
        <w:t>Investor</w:t>
      </w:r>
      <w:r>
        <w:rPr>
          <w:rFonts w:ascii="Times New Roman" w:cs="Times New Roman" w:eastAsia="Times New Roman" w:hAnsi="Times New Roman"/>
          <w:sz w:val="22"/>
          <w:szCs w:val="22"/>
          <w:color w:val="auto"/>
        </w:rPr>
        <w:t>”), and INNVENTURE, INC., a company incorporated under the laws of the State of Delaware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Investor and the Company may be referred to herein individually as a “Party” and collectively as the “Parties.”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WITNESSETH</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p>
    <w:p>
      <w:pPr>
        <w:spacing w:after="0" w:line="224" w:lineRule="exact"/>
        <w:rPr>
          <w:sz w:val="20"/>
          <w:szCs w:val="20"/>
          <w:color w:val="auto"/>
        </w:rPr>
      </w:pPr>
    </w:p>
    <w:p>
      <w:pPr>
        <w:jc w:val="both"/>
        <w:ind w:firstLine="656"/>
        <w:spacing w:after="0" w:line="251" w:lineRule="auto"/>
        <w:tabs>
          <w:tab w:leader="none" w:pos="113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the Securities Purchase Agreement by and among the parties hereto of even date herewith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u w:val="single" w:color="auto"/>
          <w:color w:val="auto"/>
        </w:rPr>
        <w:t>Securities Purchase Agreement</w:t>
      </w:r>
      <w:r>
        <w:rPr>
          <w:rFonts w:ascii="Times New Roman" w:cs="Times New Roman" w:eastAsia="Times New Roman" w:hAnsi="Times New Roman"/>
          <w:sz w:val="22"/>
          <w:szCs w:val="22"/>
          <w:color w:val="auto"/>
        </w:rPr>
        <w:t>”), the Company has agreed, upon the terms and subject to the conditions of the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 Agreement, to issue and sell to the Investor up to $15,000,000 in aggregate principal amount of convertible debentures (the “</w:t>
      </w:r>
      <w:r>
        <w:rPr>
          <w:rFonts w:ascii="Times New Roman" w:cs="Times New Roman" w:eastAsia="Times New Roman" w:hAnsi="Times New Roman"/>
          <w:sz w:val="22"/>
          <w:szCs w:val="22"/>
          <w:u w:val="single" w:color="auto"/>
          <w:color w:val="auto"/>
        </w:rPr>
        <w:t>Convertible Debentures</w:t>
      </w:r>
      <w:r>
        <w:rPr>
          <w:rFonts w:ascii="Times New Roman" w:cs="Times New Roman" w:eastAsia="Times New Roman" w:hAnsi="Times New Roman"/>
          <w:sz w:val="22"/>
          <w:szCs w:val="22"/>
          <w:color w:val="auto"/>
        </w:rPr>
        <w:t>”), which shall be convertible into shares of the Company’s common stock, par value $0.0001 (the “</w:t>
      </w:r>
      <w:r>
        <w:rPr>
          <w:rFonts w:ascii="Times New Roman" w:cs="Times New Roman" w:eastAsia="Times New Roman" w:hAnsi="Times New Roman"/>
          <w:sz w:val="22"/>
          <w:szCs w:val="22"/>
          <w:u w:val="single" w:color="auto"/>
          <w:color w:val="auto"/>
        </w:rPr>
        <w:t>Common Shares</w:t>
      </w:r>
      <w:r>
        <w:rPr>
          <w:rFonts w:ascii="Times New Roman" w:cs="Times New Roman" w:eastAsia="Times New Roman" w:hAnsi="Times New Roman"/>
          <w:sz w:val="22"/>
          <w:szCs w:val="22"/>
          <w:color w:val="auto"/>
        </w:rPr>
        <w:t>”) (as converted, the “</w:t>
      </w:r>
      <w:r>
        <w:rPr>
          <w:rFonts w:ascii="Times New Roman" w:cs="Times New Roman" w:eastAsia="Times New Roman" w:hAnsi="Times New Roman"/>
          <w:sz w:val="22"/>
          <w:szCs w:val="22"/>
          <w:u w:val="single" w:color="auto"/>
          <w:color w:val="auto"/>
        </w:rPr>
        <w:t>Conversion Shares</w:t>
      </w:r>
      <w:r>
        <w:rPr>
          <w:rFonts w:ascii="Times New Roman" w:cs="Times New Roman" w:eastAsia="Times New Roman" w:hAnsi="Times New Roman"/>
          <w:sz w:val="22"/>
          <w:szCs w:val="22"/>
          <w:color w:val="auto"/>
        </w:rPr>
        <w:t>”). Capitalized terms not defined herein shall have the meaning ascribed to them in the Securities Purchase Agreement.</w:t>
      </w:r>
    </w:p>
    <w:p>
      <w:pPr>
        <w:spacing w:after="0" w:line="181" w:lineRule="exact"/>
        <w:rPr>
          <w:rFonts w:ascii="Times New Roman" w:cs="Times New Roman" w:eastAsia="Times New Roman" w:hAnsi="Times New Roman"/>
          <w:sz w:val="22"/>
          <w:szCs w:val="22"/>
          <w:color w:val="auto"/>
        </w:rPr>
      </w:pPr>
    </w:p>
    <w:p>
      <w:pPr>
        <w:jc w:val="both"/>
        <w:ind w:firstLine="656"/>
        <w:spacing w:after="0" w:line="256" w:lineRule="auto"/>
        <w:tabs>
          <w:tab w:leader="none" w:pos="107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terms of, and in consideration for the Investor entering into, and to induce the Investor to execute and deliver the Securities Purchase Agreement, the Company has agreed to provide certain registration rights under the Securities Act of 1933, as amended, and the rules and regulations thereunder, or any similar successor statute (collectively, the “</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and applicable state securities laws and other rights as provided for herein.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premises and the mutual covenants contained herein and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are hereby acknowledged, the Company and the Investor hereby agree as follows:</w:t>
      </w:r>
    </w:p>
    <w:p>
      <w:pPr>
        <w:spacing w:after="0" w:line="165" w:lineRule="exact"/>
        <w:rPr>
          <w:sz w:val="20"/>
          <w:szCs w:val="20"/>
          <w:color w:val="auto"/>
        </w:rPr>
      </w:pPr>
    </w:p>
    <w:p>
      <w:pPr>
        <w:ind w:left="1040" w:hanging="384"/>
        <w:spacing w:after="0"/>
        <w:tabs>
          <w:tab w:leader="none" w:pos="10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Capitalized terms used herein and not otherwise defined herein shall have the respective meanings set forth in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 Purchase Agreement. As used in this Agreement, the following terms shall have the following meanings:</w:t>
      </w:r>
    </w:p>
    <w:p>
      <w:pPr>
        <w:spacing w:after="0" w:line="209"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means the date that the applicable Registration Statement has been declared effective by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w:t>
      </w:r>
    </w:p>
    <w:p>
      <w:pPr>
        <w:spacing w:after="0" w:line="196" w:lineRule="exact"/>
        <w:rPr>
          <w:sz w:val="20"/>
          <w:szCs w:val="20"/>
          <w:color w:val="auto"/>
        </w:rPr>
      </w:pPr>
    </w:p>
    <w:p>
      <w:pPr>
        <w:jc w:val="both"/>
        <w:ind w:firstLine="1304"/>
        <w:spacing w:after="0" w:line="252" w:lineRule="auto"/>
        <w:tabs>
          <w:tab w:leader="none" w:pos="185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Effectiveness Deadline</w:t>
      </w:r>
      <w:r>
        <w:rPr>
          <w:rFonts w:ascii="Times New Roman" w:cs="Times New Roman" w:eastAsia="Times New Roman" w:hAnsi="Times New Roman"/>
          <w:sz w:val="22"/>
          <w:szCs w:val="22"/>
          <w:color w:val="auto"/>
        </w:rPr>
        <w:t>” means, (i) with respect to the initial Registration Statement required to be filed pursuant to Section 2(b), the earlier of the earlier of (A) the 60th calendar day following the filing date thereof and (B) the fifth Business Day after the date the Company is notified (orally or in writing, whichever is earlier) by the SEC that such Registration Statement will not be reviewed or will not be subject to further review and (ii) with respect to</w:t>
      </w:r>
    </w:p>
    <w:p>
      <w:pPr>
        <w:sectPr>
          <w:pgSz w:w="11900" w:h="16838" w:orient="portrait"/>
          <w:cols w:equalWidth="0" w:num="1">
            <w:col w:w="11240"/>
          </w:cols>
          <w:pgMar w:left="320" w:top="114" w:right="339" w:bottom="1440" w:gutter="0" w:footer="0" w:header="0"/>
        </w:sectPr>
      </w:pPr>
    </w:p>
    <w:bookmarkStart w:id="72" w:name="page73"/>
    <w:bookmarkEnd w:id="72"/>
    <w:p>
      <w:pPr>
        <w:jc w:val="both"/>
        <w:spacing w:after="0" w:line="256" w:lineRule="auto"/>
        <w:rPr>
          <w:sz w:val="20"/>
          <w:szCs w:val="20"/>
          <w:color w:val="auto"/>
        </w:rPr>
      </w:pPr>
      <w:r>
        <w:rPr>
          <w:rFonts w:ascii="Times New Roman" w:cs="Times New Roman" w:eastAsia="Times New Roman" w:hAnsi="Times New Roman"/>
          <w:sz w:val="22"/>
          <w:szCs w:val="22"/>
          <w:color w:val="auto"/>
        </w:rPr>
        <w:t>any additional Registration Statements that may be required to be filed by the Company pursuant to this Agreement, the earlier of the (A) 75th calendar day following the date on which the Company was required to file such additional Registration Statement and (B) no later than the fifth Business Day after the date the Company is notified (orally or in writing, whichever is earlier) by the SEC that such Registration Statement will not be reviewed or will not be subject to further review.</w:t>
      </w:r>
    </w:p>
    <w:p>
      <w:pPr>
        <w:spacing w:after="0" w:line="176" w:lineRule="exact"/>
        <w:rPr>
          <w:sz w:val="20"/>
          <w:szCs w:val="20"/>
          <w:color w:val="auto"/>
        </w:rPr>
      </w:pPr>
    </w:p>
    <w:p>
      <w:pPr>
        <w:ind w:right="20" w:firstLine="1304"/>
        <w:spacing w:after="0" w:line="271" w:lineRule="auto"/>
        <w:tabs>
          <w:tab w:leader="none" w:pos="18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and the rules and regulations promulgated thereunder.</w:t>
      </w:r>
    </w:p>
    <w:p>
      <w:pPr>
        <w:spacing w:after="0" w:line="157" w:lineRule="exact"/>
        <w:rPr>
          <w:rFonts w:ascii="Times New Roman" w:cs="Times New Roman" w:eastAsia="Times New Roman" w:hAnsi="Times New Roman"/>
          <w:sz w:val="22"/>
          <w:szCs w:val="22"/>
          <w:color w:val="auto"/>
        </w:rPr>
      </w:pPr>
    </w:p>
    <w:p>
      <w:pPr>
        <w:jc w:val="both"/>
        <w:ind w:firstLine="1304"/>
        <w:spacing w:after="0" w:line="236" w:lineRule="auto"/>
        <w:tabs>
          <w:tab w:leader="none" w:pos="176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Filing Deadline</w:t>
      </w:r>
      <w:r>
        <w:rPr>
          <w:rFonts w:ascii="Times New Roman" w:cs="Times New Roman" w:eastAsia="Times New Roman" w:hAnsi="Times New Roman"/>
          <w:sz w:val="22"/>
          <w:szCs w:val="22"/>
          <w:color w:val="auto"/>
        </w:rPr>
        <w:t>” means, (i) with respect to the initial Registration Statement required to be filed pursuant to Section 2(a), the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following the date hereof, and (ii) with respect to any additional Registration Statements that may be required to be filed by the Company pursuant to this Agreement, the date on which the Company was required to file such additional Registration Statement pursuant to the terms of this Agreement.</w:t>
      </w:r>
    </w:p>
    <w:p>
      <w:pPr>
        <w:spacing w:after="0" w:line="192" w:lineRule="exact"/>
        <w:rPr>
          <w:rFonts w:ascii="Times New Roman" w:cs="Times New Roman" w:eastAsia="Times New Roman" w:hAnsi="Times New Roman"/>
          <w:sz w:val="22"/>
          <w:szCs w:val="22"/>
          <w:color w:val="auto"/>
        </w:rPr>
      </w:pPr>
    </w:p>
    <w:p>
      <w:pPr>
        <w:ind w:right="20" w:firstLine="1304"/>
        <w:spacing w:after="0" w:line="271" w:lineRule="auto"/>
        <w:tabs>
          <w:tab w:leader="none" w:pos="180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 corporation, a limited liability company, an association, a partnership, an organization, a business, an individual, a governmental or political subdivision thereof or a governmental agency.</w:t>
      </w:r>
    </w:p>
    <w:p>
      <w:pPr>
        <w:spacing w:after="0" w:line="157"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3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Prospectus</w:t>
      </w:r>
      <w:r>
        <w:rPr>
          <w:rFonts w:ascii="Times New Roman" w:cs="Times New Roman" w:eastAsia="Times New Roman" w:hAnsi="Times New Roman"/>
          <w:sz w:val="22"/>
          <w:szCs w:val="22"/>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under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81"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3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Registrable Securities</w:t>
      </w:r>
      <w:r>
        <w:rPr>
          <w:rFonts w:ascii="Times New Roman" w:cs="Times New Roman" w:eastAsia="Times New Roman" w:hAnsi="Times New Roman"/>
          <w:sz w:val="22"/>
          <w:szCs w:val="22"/>
          <w:color w:val="auto"/>
        </w:rPr>
        <w:t>” means all of (i) the Common Shares issuable upon conversion of the Convertible Debentures, (ii) the additional shares issuable in connection with any anti-dilution provisions of the Convertible Debentures (without giving effect to any limitations on exercise set forth in the Convertible Debentures) and (iii) any Common Shares issued or issuable with respect to any shares described in subsections (i) and (ii) above by way of any stock split, stock dividend or other distribution, recapitalization or similar event or otherwise (in each case without giving effect to any limitations on exercise set forth in the Convertible Debentures).</w:t>
      </w:r>
    </w:p>
    <w:p>
      <w:pPr>
        <w:spacing w:after="0" w:line="194"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7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means any registration statement of the Company filed pursuant to this Agreement, including the Prospectus, amendments and supplements to such registration statement or Prospectus, including post-effective amendments, all exhibits thereto, and all material incorporated by reference or deemed to be incorporated by reference in such registration statement.</w:t>
      </w:r>
    </w:p>
    <w:p>
      <w:pPr>
        <w:spacing w:after="0" w:line="179" w:lineRule="exact"/>
        <w:rPr>
          <w:rFonts w:ascii="Times New Roman" w:cs="Times New Roman" w:eastAsia="Times New Roman" w:hAnsi="Times New Roman"/>
          <w:sz w:val="22"/>
          <w:szCs w:val="22"/>
          <w:color w:val="auto"/>
        </w:rPr>
      </w:pPr>
    </w:p>
    <w:p>
      <w:pPr>
        <w:ind w:firstLine="1304"/>
        <w:spacing w:after="0" w:line="271" w:lineRule="auto"/>
        <w:tabs>
          <w:tab w:leader="none" w:pos="191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Registration Amount</w:t>
      </w:r>
      <w:r>
        <w:rPr>
          <w:rFonts w:ascii="Times New Roman" w:cs="Times New Roman" w:eastAsia="Times New Roman" w:hAnsi="Times New Roman"/>
          <w:sz w:val="22"/>
          <w:szCs w:val="22"/>
          <w:color w:val="auto"/>
        </w:rPr>
        <w:t>” means (i) with respect to the initial Registration Statement at least 12,000,000 shares of Common Stock, and (ii)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73" w:name="page74"/>
    <w:bookmarkEnd w:id="73"/>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subsequent Registration Statements such number of Registrable Securities determined as of date the subsequent Registration Statement is initially filed with the SEC (that are not already subject to an effective Registration Statement), in each case subject to any cutback set forth in Section 2(d).</w:t>
      </w:r>
    </w:p>
    <w:p>
      <w:pPr>
        <w:spacing w:after="0" w:line="186" w:lineRule="exact"/>
        <w:rPr>
          <w:sz w:val="20"/>
          <w:szCs w:val="20"/>
          <w:color w:val="auto"/>
        </w:rPr>
      </w:pPr>
    </w:p>
    <w:p>
      <w:pPr>
        <w:ind w:left="1780" w:hanging="476"/>
        <w:spacing w:after="0"/>
        <w:tabs>
          <w:tab w:leader="none" w:pos="1780" w:val="left"/>
        </w:tabs>
        <w:numPr>
          <w:ilvl w:val="2"/>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144</w:t>
      </w:r>
      <w:r>
        <w:rPr>
          <w:rFonts w:ascii="Times New Roman" w:cs="Times New Roman" w:eastAsia="Times New Roman" w:hAnsi="Times New Roman"/>
          <w:sz w:val="22"/>
          <w:szCs w:val="22"/>
          <w:color w:val="auto"/>
        </w:rPr>
        <w:t>” means Rule 144 under the Securities Act or any successor rule thereto.</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18" w:val="left"/>
        </w:tabs>
        <w:numPr>
          <w:ilvl w:val="2"/>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415</w:t>
      </w:r>
      <w:r>
        <w:rPr>
          <w:rFonts w:ascii="Times New Roman" w:cs="Times New Roman" w:eastAsia="Times New Roman" w:hAnsi="Times New Roman"/>
          <w:sz w:val="22"/>
          <w:szCs w:val="22"/>
          <w:color w:val="auto"/>
        </w:rPr>
        <w:t>” means Rule 415 promulgated by the SEC pursuant to the Securities Act, as such Rule may be amended from time to time, or any similar rule or regulation hereafter adopted by the SEC having substantially the same purpose and effect as such Rule.</w:t>
      </w:r>
    </w:p>
    <w:p>
      <w:pPr>
        <w:spacing w:after="0" w:line="172" w:lineRule="exact"/>
        <w:rPr>
          <w:rFonts w:ascii="Times New Roman" w:cs="Times New Roman" w:eastAsia="Times New Roman" w:hAnsi="Times New Roman"/>
          <w:sz w:val="22"/>
          <w:szCs w:val="22"/>
          <w:color w:val="auto"/>
        </w:rPr>
      </w:pPr>
    </w:p>
    <w:p>
      <w:pPr>
        <w:ind w:firstLine="1304"/>
        <w:spacing w:after="0" w:line="284" w:lineRule="auto"/>
        <w:tabs>
          <w:tab w:leader="none" w:pos="1878" w:val="left"/>
        </w:tabs>
        <w:numPr>
          <w:ilvl w:val="2"/>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Securities and Exchange Commission or any other federal agency administering the Securities Act and the Exchange Act at the time.</w:t>
      </w:r>
    </w:p>
    <w:p>
      <w:pPr>
        <w:spacing w:after="0" w:line="143"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2"/>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shall have the meaning set forth in the Recitals above.</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53" w:val="left"/>
        </w:tabs>
        <w:numPr>
          <w:ilvl w:val="2"/>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 Guidance</w:t>
      </w:r>
      <w:r>
        <w:rPr>
          <w:rFonts w:ascii="Times New Roman" w:cs="Times New Roman" w:eastAsia="Times New Roman" w:hAnsi="Times New Roman"/>
          <w:sz w:val="22"/>
          <w:szCs w:val="22"/>
          <w:color w:val="auto"/>
        </w:rPr>
        <w:t>” means (i) any publicly available written or oral guidance of the SEC staff, or any comments, requirements or requests of the SEC staff and (ii) the Securities Act.</w:t>
      </w:r>
    </w:p>
    <w:p>
      <w:pPr>
        <w:spacing w:after="0" w:line="157"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54"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Period</w:t>
      </w:r>
      <w:r>
        <w:rPr>
          <w:rFonts w:ascii="Times New Roman" w:cs="Times New Roman" w:eastAsia="Times New Roman" w:hAnsi="Times New Roman"/>
          <w:sz w:val="22"/>
          <w:szCs w:val="22"/>
          <w:color w:val="auto"/>
        </w:rPr>
        <w:t>. The Company’s registration obligations set forth in this Section 2, including its obligations to file Registration Statements, obtain effectiveness of Registration Statements, and maintain the continuous effectiveness of any Registration Statement that has been declared effective shall begin on the date hereof and continue until all the Registrable Securities have been sold or may be sold without any restrictions pursuant to Rule 144, as such rule applies to non-affiliates, as determined by the counsel to the Company pursuant to a written opinion letter to such effect, addressed and reasonably acceptable to the Company’s transfer agent (the “</w:t>
      </w:r>
      <w:r>
        <w:rPr>
          <w:rFonts w:ascii="Times New Roman" w:cs="Times New Roman" w:eastAsia="Times New Roman" w:hAnsi="Times New Roman"/>
          <w:sz w:val="22"/>
          <w:szCs w:val="22"/>
          <w:u w:val="single" w:color="auto"/>
          <w:color w:val="auto"/>
        </w:rPr>
        <w:t>Registration Period</w:t>
      </w:r>
      <w:r>
        <w:rPr>
          <w:rFonts w:ascii="Times New Roman" w:cs="Times New Roman" w:eastAsia="Times New Roman" w:hAnsi="Times New Roman"/>
          <w:sz w:val="22"/>
          <w:szCs w:val="22"/>
          <w:color w:val="auto"/>
        </w:rPr>
        <w:t>”).</w:t>
      </w:r>
    </w:p>
    <w:p>
      <w:pPr>
        <w:spacing w:after="0" w:line="194" w:lineRule="exact"/>
        <w:rPr>
          <w:rFonts w:ascii="Times New Roman" w:cs="Times New Roman" w:eastAsia="Times New Roman" w:hAnsi="Times New Roman"/>
          <w:sz w:val="22"/>
          <w:szCs w:val="22"/>
          <w:color w:val="auto"/>
        </w:rPr>
      </w:pPr>
    </w:p>
    <w:p>
      <w:pPr>
        <w:jc w:val="both"/>
        <w:ind w:firstLine="1304"/>
        <w:spacing w:after="0" w:line="262" w:lineRule="auto"/>
        <w:tabs>
          <w:tab w:leader="none" w:pos="1791" w:val="left"/>
        </w:tabs>
        <w:numPr>
          <w:ilvl w:val="2"/>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Mandatory Registration</w:t>
      </w:r>
      <w:r>
        <w:rPr>
          <w:rFonts w:ascii="Times New Roman" w:cs="Times New Roman" w:eastAsia="Times New Roman" w:hAnsi="Times New Roman"/>
          <w:sz w:val="21"/>
          <w:szCs w:val="21"/>
          <w:color w:val="auto"/>
        </w:rPr>
        <w:t>. Subject to the terms and conditions of this Agreement, the Company shall (i) on or prior to the Filing Deadline, prepare and file with the SEC an initial Registration Statement on Form S-3 (or, if the Company is not then eligible, on Form S-1) or any successor form thereto covering the resale by the Investor of Registrable Securities, and</w:t>
      </w:r>
    </w:p>
    <w:p>
      <w:pPr>
        <w:spacing w:after="0" w:line="2" w:lineRule="exact"/>
        <w:rPr>
          <w:rFonts w:ascii="Times New Roman" w:cs="Times New Roman" w:eastAsia="Times New Roman" w:hAnsi="Times New Roman"/>
          <w:sz w:val="21"/>
          <w:szCs w:val="21"/>
          <w:color w:val="auto"/>
        </w:rPr>
      </w:pPr>
    </w:p>
    <w:p>
      <w:pPr>
        <w:jc w:val="both"/>
        <w:ind w:firstLine="8"/>
        <w:spacing w:after="0" w:line="245" w:lineRule="auto"/>
        <w:tabs>
          <w:tab w:leader="none" w:pos="33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30th calendar day following receipt of each written notice by the Investor (a “</w:t>
      </w:r>
      <w:r>
        <w:rPr>
          <w:rFonts w:ascii="Times New Roman" w:cs="Times New Roman" w:eastAsia="Times New Roman" w:hAnsi="Times New Roman"/>
          <w:sz w:val="22"/>
          <w:szCs w:val="22"/>
          <w:u w:val="single" w:color="auto"/>
          <w:color w:val="auto"/>
        </w:rPr>
        <w:t>Demand Notice</w:t>
      </w:r>
      <w:r>
        <w:rPr>
          <w:rFonts w:ascii="Times New Roman" w:cs="Times New Roman" w:eastAsia="Times New Roman" w:hAnsi="Times New Roman"/>
          <w:sz w:val="22"/>
          <w:szCs w:val="22"/>
          <w:color w:val="auto"/>
        </w:rPr>
        <w:t>”) delivered pursuant to the terms hereof, prepare and file an additional Registration Statement covering the resale by the Investor of Registrable Securities not covered by the initial Registration Statement. Each Registration Statement prepared pursuant hereto shall register for resale at least the number of Common Shares equal to the Required Registration Amount as of date the Registration Statement is initially filed with the SEC. Each Registration Statement shall contain “</w:t>
      </w:r>
      <w:r>
        <w:rPr>
          <w:rFonts w:ascii="Times New Roman" w:cs="Times New Roman" w:eastAsia="Times New Roman" w:hAnsi="Times New Roman"/>
          <w:sz w:val="22"/>
          <w:szCs w:val="22"/>
          <w:u w:val="single" w:color="auto"/>
          <w:color w:val="auto"/>
        </w:rPr>
        <w:t>Selling Stockholders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of Distribution</w:t>
      </w:r>
      <w:r>
        <w:rPr>
          <w:rFonts w:ascii="Times New Roman" w:cs="Times New Roman" w:eastAsia="Times New Roman" w:hAnsi="Times New Roman"/>
          <w:sz w:val="22"/>
          <w:szCs w:val="22"/>
          <w:color w:val="auto"/>
        </w:rPr>
        <w:t>” sections. The Company shall use its reasonable best efforts to have each Registration Statement declared effective by the SEC as soon as practicable, but in no event later than the Effectiveness Deadline. By 9:30 am, New York time on the Business Day following the date of effectiveness,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74" w:name="page75"/>
    <w:bookmarkEnd w:id="74"/>
    <w:p>
      <w:pPr>
        <w:jc w:val="both"/>
        <w:spacing w:after="0" w:line="261" w:lineRule="auto"/>
        <w:rPr>
          <w:sz w:val="20"/>
          <w:szCs w:val="20"/>
          <w:color w:val="auto"/>
        </w:rPr>
      </w:pPr>
      <w:r>
        <w:rPr>
          <w:rFonts w:ascii="Times New Roman" w:cs="Times New Roman" w:eastAsia="Times New Roman" w:hAnsi="Times New Roman"/>
          <w:sz w:val="21"/>
          <w:szCs w:val="21"/>
          <w:color w:val="auto"/>
        </w:rPr>
        <w:t>Company shall file with the SEC in accordance with Rule 424 under the Securities Act the final Prospectus to be used in connection with sales pursuant to such Registration Statement. Prior to the filing of the Registration Statement with the SEC, the Company shall furnish a draft of the Registration Statement to the Investor for their review and comment. The Investor shall furnish comments on the Registration Statement to the Company within 24 hours of the receipt thereof from the Company. For the purposes hereof, the Investor shall be entitled to deliver a Demand Notice to the Company at any time during the Registration Period if at such time (i) no Registration Statement is then in effect which the Investor may use to resell Registrable Securities, or</w:t>
      </w:r>
    </w:p>
    <w:p>
      <w:pPr>
        <w:spacing w:after="0" w:line="1" w:lineRule="exact"/>
        <w:rPr>
          <w:sz w:val="20"/>
          <w:szCs w:val="20"/>
          <w:color w:val="auto"/>
        </w:rPr>
      </w:pPr>
    </w:p>
    <w:p>
      <w:pPr>
        <w:ind w:firstLine="8"/>
        <w:spacing w:after="0" w:line="248" w:lineRule="auto"/>
        <w:tabs>
          <w:tab w:leader="none" w:pos="36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Registration Statement is effective, but the number of Common Shares issuable upon conversion of the Convertible Debentures exceeds the number of Common Shares registered on such Registration Statement.</w:t>
      </w:r>
    </w:p>
    <w:p>
      <w:pPr>
        <w:spacing w:after="0" w:line="195" w:lineRule="exact"/>
        <w:rPr>
          <w:rFonts w:ascii="Times New Roman" w:cs="Times New Roman" w:eastAsia="Times New Roman" w:hAnsi="Times New Roman"/>
          <w:sz w:val="22"/>
          <w:szCs w:val="22"/>
          <w:color w:val="auto"/>
        </w:rPr>
      </w:pPr>
    </w:p>
    <w:p>
      <w:pPr>
        <w:jc w:val="both"/>
        <w:ind w:firstLine="1304"/>
        <w:spacing w:after="0" w:line="259" w:lineRule="auto"/>
        <w:tabs>
          <w:tab w:leader="none" w:pos="1779"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Amendments and Supplements</w:t>
      </w:r>
      <w:r>
        <w:rPr>
          <w:rFonts w:ascii="Times New Roman" w:cs="Times New Roman" w:eastAsia="Times New Roman" w:hAnsi="Times New Roman"/>
          <w:sz w:val="21"/>
          <w:szCs w:val="21"/>
          <w:color w:val="auto"/>
        </w:rPr>
        <w:t>. During the Registration Period, the Company shall (i) promptly prepare and file with the SEC such amendments (including post-effective amendments) and supplements to a Registration Statement and the Prospectus used in connection with a Registration Statement, which Prospectus is to be filed pursuant to Rule 424 promulgated under the Securities Act, as may be necessary to keep such Registration Statement effective at all times during the Registration Period, (ii) prepare and file with the SEC additional Registration Statements in order to register for resale under the Securities Act all of the Registrable Securities in accordance with the terms of this Agreement; (iii) cause the related Prospectus to be amended or supplemented by any required Prospectus supplement (subject to the terms of this Agreement), and as so supplemented or amended to be filed pursuant to Rule 424; (iv) respond as promptly as reasonably practicable to any comments received from the SEC with respect to a Registration Statement or any amendment thereto; and (v) comply with the provisions of the Securities Act with respect to the disposition of all Registrable Securities of the Company covered by such Registration Statement until such time as all of such Registrable Securities shall have been disposed of in accordance with the intended methods of disposition by the seller or sellers thereof as set forth in such Registration Statement. In the case of amendments and supplements to a Registration Statement which are required to be filed pursuant to this Agreement (including pursuant to this Section 2(c)) by reason of the Company’s filing a report on Form 10-K, Form 10-Q, or Form 8-K or any analogous report under the Securities Exchange Act, the Company shall incorporate such report by reference into the Registration Statement, if applicable, or shall file such amendments or supplements with the SEC on the same day on which the Exchange Act report is filed which created the requirement for the Company to amend or supplement the Registration Statement.</w:t>
      </w:r>
    </w:p>
    <w:p>
      <w:pPr>
        <w:spacing w:after="0" w:line="186" w:lineRule="exact"/>
        <w:rPr>
          <w:rFonts w:ascii="Times New Roman" w:cs="Times New Roman" w:eastAsia="Times New Roman" w:hAnsi="Times New Roman"/>
          <w:sz w:val="21"/>
          <w:szCs w:val="21"/>
          <w:color w:val="auto"/>
        </w:rPr>
      </w:pPr>
    </w:p>
    <w:p>
      <w:pPr>
        <w:jc w:val="both"/>
        <w:ind w:firstLine="1952"/>
        <w:spacing w:after="0" w:line="250" w:lineRule="auto"/>
        <w:tabs>
          <w:tab w:leader="none" w:pos="2452"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Reduction of Registrable Securities Included in a Registration Statement</w:t>
      </w:r>
      <w:r>
        <w:rPr>
          <w:rFonts w:ascii="Times New Roman" w:cs="Times New Roman" w:eastAsia="Times New Roman" w:hAnsi="Times New Roman"/>
          <w:sz w:val="22"/>
          <w:szCs w:val="22"/>
          <w:color w:val="auto"/>
        </w:rPr>
        <w:t>. Notwithstanding anything contained herein, in the event that the SEC requires the Company to reduce the number of Registrable Securities to be included in a Registration Statement in order to allow the Company to rely on Rule 415 with respect to a Registration Statement, then the Company shall be obligated to include in such Registration Statement (which may be a subsequent Registration Statement if the Company needs to withdraw a Registration Statement and refile a new Registration Statement in order to rely on Rule 415) only such limited portion of the Registrable Securities as the SEC shall permit. Any Registrable Securities that are excluded in accordance with the foregoing terms are hereinafter referred to as “</w:t>
      </w:r>
      <w:r>
        <w:rPr>
          <w:rFonts w:ascii="Times New Roman" w:cs="Times New Roman" w:eastAsia="Times New Roman" w:hAnsi="Times New Roman"/>
          <w:sz w:val="22"/>
          <w:szCs w:val="22"/>
          <w:u w:val="single" w:color="auto"/>
          <w:color w:val="auto"/>
        </w:rPr>
        <w:t>Cut 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75" w:name="page76"/>
    <w:bookmarkEnd w:id="75"/>
    <w:p>
      <w:pPr>
        <w:jc w:val="both"/>
        <w:spacing w:after="0" w:line="262" w:lineRule="auto"/>
        <w:rPr>
          <w:sz w:val="20"/>
          <w:szCs w:val="20"/>
          <w:color w:val="auto"/>
        </w:rPr>
      </w:pPr>
      <w:r>
        <w:rPr>
          <w:rFonts w:ascii="Times New Roman" w:cs="Times New Roman" w:eastAsia="Times New Roman" w:hAnsi="Times New Roman"/>
          <w:sz w:val="21"/>
          <w:szCs w:val="21"/>
          <w:u w:val="single" w:color="auto"/>
          <w:color w:val="auto"/>
        </w:rPr>
        <w:t>Securities</w:t>
      </w:r>
      <w:r>
        <w:rPr>
          <w:rFonts w:ascii="Times New Roman" w:cs="Times New Roman" w:eastAsia="Times New Roman" w:hAnsi="Times New Roman"/>
          <w:sz w:val="21"/>
          <w:szCs w:val="21"/>
          <w:color w:val="auto"/>
        </w:rPr>
        <w:t>.” To the extent Cut Back Securities exist, promptly following such time as may be permitted by the SEC, the Company shall be required to file a Registration Statement covering the resale of the Cut Back Securities (subject also to the terms of this Section) and shall use its reasonable best efforts to cause such Registration Statement to be declared effective as promptly as practicable thereafter, but in no event later than the Effectiveness Deadline. Notwithstanding the foregoing to the contrary, the Company shall be obligated to use diligent efforts to advocate with the SEC for the registration of all of the Registrable Securities in accordance with the SEC Guidance, including without limitation, Compliance and Disclosure Interpretation 612.09. Unless otherwise directed in writing by a holder as to its Registrable Securities, the number of Registrable Securities to be registered on such Registration Statement will be reduced as follows: (i) first, the Company shall reduce or eliminate any securities to be included other than Registrable Securities; and (ii) second, the Company shall reduce Registrable Securities on a pro rata basis based on the total number of Registrable Securities held by such holders (or as otherwise expressly directed by the SEC).</w:t>
      </w:r>
    </w:p>
    <w:p>
      <w:pPr>
        <w:spacing w:after="0" w:line="172" w:lineRule="exact"/>
        <w:rPr>
          <w:sz w:val="20"/>
          <w:szCs w:val="20"/>
          <w:color w:val="auto"/>
        </w:rPr>
      </w:pPr>
    </w:p>
    <w:p>
      <w:pPr>
        <w:jc w:val="both"/>
        <w:ind w:firstLine="1304"/>
        <w:spacing w:after="0" w:line="260" w:lineRule="auto"/>
        <w:tabs>
          <w:tab w:leader="none" w:pos="1792"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Piggy-Back Registrations</w:t>
      </w:r>
      <w:r>
        <w:rPr>
          <w:rFonts w:ascii="Times New Roman" w:cs="Times New Roman" w:eastAsia="Times New Roman" w:hAnsi="Times New Roman"/>
          <w:sz w:val="21"/>
          <w:szCs w:val="21"/>
          <w:color w:val="auto"/>
        </w:rPr>
        <w:t xml:space="preserve">. If at any time there is not an effective Registration Statement covering all of the Registrable Securities and the Company proposes to register the offer and sale of any of its Common Shares under the Securities Act (other than a registration (i) pursuant to a Registration Statement on Form S-8 ((or other registration solely relating to an offering or sale to employees or directors of the Company pursuant to any employee stock plan or other employee benefit arrangement), (ii) pursuant to a Registration Statement on Form S-4 (or similar form that relates to a transaction subject to Rule 145 under the Securities Act or any successor rule thereto), or (iii) in connection with any dividend or distribution reinvestment or similar plan), whether for its own account or for the account of one or more stockholders of the Company and the form of Registration Statement to be used may be used for any registration of Registrable Securities, the Company shall give prompt written notice (in any event no later than five days prior to the filing of such Registration Statement) to the holders of Registrable Securities of its intention to effect such a registration and, shall include in such registration all Registrable Securities with respect to which the Company has received written requests for inclusion from the holders of Registrable Securities;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Company shall not be required to register any Registrable Securities pursuant to this Section 2(f) that have been sold or may be sold without any restrictions pursuant to Rule 144, as such rule applies to non-affiliates, as determined by the counsel to the Company pursuant to a written opinion letter to such effect, addressed and acceptable to the Company’s transfer agent.</w:t>
      </w:r>
    </w:p>
    <w:p>
      <w:pPr>
        <w:spacing w:after="0" w:line="185" w:lineRule="exact"/>
        <w:rPr>
          <w:rFonts w:ascii="Times New Roman" w:cs="Times New Roman" w:eastAsia="Times New Roman" w:hAnsi="Times New Roman"/>
          <w:sz w:val="21"/>
          <w:szCs w:val="21"/>
          <w:color w:val="auto"/>
        </w:rPr>
      </w:pPr>
    </w:p>
    <w:p>
      <w:pPr>
        <w:ind w:left="1040" w:hanging="384"/>
        <w:spacing w:after="0"/>
        <w:tabs>
          <w:tab w:leader="none" w:pos="10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RELATED OBLIGATIONS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65" w:lineRule="auto"/>
        <w:tabs>
          <w:tab w:leader="none" w:pos="1781"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not less than three Business Days prior to the filing of each Registration Statement and not less than one Business Day prior to the filing of any related amendments and supplements to all Registration Statements (except for annual reports on Form 10-K, supplements and amendments to update the Registration Statement solely for information reflected in the Company’s annual reports on Form 10-K, quarterly reports on Form 10-Q or current reports on Form 8-K), furnish to each Investor copies of all such documents proposed to be filed, which documents (other than those incorporated or deemed to be incorporated by reference) will be subject to the reasonable and prompt review of such Investor.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76" w:name="page77"/>
    <w:bookmarkEnd w:id="76"/>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shall not file a Registration Statement or any such Prospectus or any amendments or supplements thereto to which the Investor shall reasonably object in good faith;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is notified of such objection in writing no later than 24 hours after the Investor has been so furnished copies of a Registration Statement.</w:t>
      </w:r>
    </w:p>
    <w:p>
      <w:pPr>
        <w:spacing w:after="0" w:line="186" w:lineRule="exact"/>
        <w:rPr>
          <w:sz w:val="20"/>
          <w:szCs w:val="20"/>
          <w:color w:val="auto"/>
        </w:rPr>
      </w:pPr>
    </w:p>
    <w:p>
      <w:pPr>
        <w:jc w:val="both"/>
        <w:ind w:firstLine="1304"/>
        <w:spacing w:after="0" w:line="250" w:lineRule="auto"/>
        <w:tabs>
          <w:tab w:leader="none" w:pos="1829"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furnish to each Investor whose Registrable Securities are included in any Registration Statement, without charge, (i) an electronic copy of such Registration Statement as declared effective by the SEC and any amendment(s) thereto, including financial statements and schedules, all documents incorporated therein by reference, all exhibits and each preliminary prospectus, (ii) an electronic copy of the final prospectus included in such Registration Statement and all amendments and supplements thereto (or such other number of copies as such Investor may reasonably request) and (iii) such other documents, which are not publicly available through EDGAR, as such Investor may reasonably request from time to time in order to facilitate the disposition of the Registrable Securities owned by such Investor.</w:t>
      </w:r>
    </w:p>
    <w:p>
      <w:pPr>
        <w:spacing w:after="0" w:line="180"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5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use its best efforts to (i) register and qualify the Registrable Securities covered by a Registration Statement under such other securities or “blue sky” laws of such jurisdictions in the United States as the Investor reasonably requests,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(w) make any change to its certificate of incorporation or bylaws, (x) qualify to do business in any jurisdiction where it would not otherwise be required to qualify but for this Section 3(c), (y) subject itself to general taxation in any such jurisdiction, or (z) file a general consent to service of process in any such jurisdiction. The Company shall promptly notify each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 of any proceeding for such purpose.</w:t>
      </w:r>
    </w:p>
    <w:p>
      <w:pPr>
        <w:spacing w:after="0" w:line="20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0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prior to the end of the Registration Period, as promptly as practicable after becoming aware of such event or development, the Company shall notify each Investor in writing of the happening of any event as a result of which the Prospectus included in a Registration Statement, as then in effect, includes an untrue statement of a material fact or omission to state a material fact required to be stated therein or necessary to make the statements therein, in light of the circumstances under which they were made, not misleading (provided that in no event shall such notice contain any material, nonpublic information), and promptly prepare a supplement or amendment to such Registration Statement to correct such untrue statement or omission, and deliver ten (10) copies of such supplement or amendment to the Investor. Unless publicly available through EDGAR, the Company shall also promptly notify each Investor in writing (i) when a Prospectus or any Prospectus supplement or post-effective amendment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77" w:name="page78"/>
    <w:bookmarkEnd w:id="77"/>
    <w:p>
      <w:pPr>
        <w:jc w:val="both"/>
        <w:spacing w:after="0" w:line="251" w:lineRule="auto"/>
        <w:rPr>
          <w:sz w:val="20"/>
          <w:szCs w:val="20"/>
          <w:color w:val="auto"/>
        </w:rPr>
      </w:pPr>
      <w:r>
        <w:rPr>
          <w:rFonts w:ascii="Times New Roman" w:cs="Times New Roman" w:eastAsia="Times New Roman" w:hAnsi="Times New Roman"/>
          <w:sz w:val="22"/>
          <w:szCs w:val="22"/>
          <w:color w:val="auto"/>
        </w:rPr>
        <w:t>been filed, and when a Registration Statement or any post-effective amendment has become effective (notification of such effectiveness shall be delivered to the Investor by e-mail on the same day of such effectiveness), (ii) of any request by the SEC for amendments or supplements to a Registration Statement or related prospectus or related information, and (iii) of the Company’s reasonable determination that a post-effective amendment to a Registration Statement would be appropriate. The Company shall respond as promptly as reasonably practicable to any comments received from the SEC with respect to a Registration Statement or any amendment thereto.</w:t>
      </w:r>
    </w:p>
    <w:p>
      <w:pPr>
        <w:spacing w:after="0" w:line="181" w:lineRule="exact"/>
        <w:rPr>
          <w:sz w:val="20"/>
          <w:szCs w:val="20"/>
          <w:color w:val="auto"/>
        </w:rPr>
      </w:pPr>
    </w:p>
    <w:p>
      <w:pPr>
        <w:jc w:val="both"/>
        <w:ind w:firstLine="1304"/>
        <w:spacing w:after="0" w:line="251" w:lineRule="auto"/>
        <w:tabs>
          <w:tab w:leader="none" w:pos="186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use its best efforts to prevent the issuance of any stop order or other suspension of effectiveness of a Registration Statement, or the suspension of the qualification of any of the Registrable Securities for sale in any jurisdiction within the United States of America and, if such an order or suspension is issued, to obtain the withdrawal of such order or suspension at the earliest possible moment and to notify each Investor who holds Registrable Securities being sold of the issuance of such order and the resolution thereof or its receipt of actual notice of the initiation or threat of any proceeding for such purpose.</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72"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hold in confidence and not make any disclosure of information concerning the Investor provided to the Company unless (i) disclosure of such information is necessary to comply with federal or state securities laws, (ii) the disclosure of such information is necessary to avoid or correct a misstatement or omission in any Registration Statement,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agreement. The Company agrees that it shall, upon learning that disclosure of such information concerning the Investor is sought in or by a court or governmental body of competent jurisdiction or through other means, give prompt written notice to the Investor and allow the Investor, at the Investor’s expense, to undertake appropriate action to prevent disclosure of, or to obtain a protective order for, such information.</w:t>
      </w:r>
    </w:p>
    <w:p>
      <w:pPr>
        <w:spacing w:after="0" w:line="169" w:lineRule="exact"/>
        <w:rPr>
          <w:rFonts w:ascii="Times New Roman" w:cs="Times New Roman" w:eastAsia="Times New Roman" w:hAnsi="Times New Roman"/>
          <w:sz w:val="21"/>
          <w:szCs w:val="21"/>
          <w:color w:val="auto"/>
        </w:rPr>
      </w:pPr>
    </w:p>
    <w:p>
      <w:pPr>
        <w:jc w:val="both"/>
        <w:ind w:firstLine="1304"/>
        <w:spacing w:after="0" w:line="257" w:lineRule="auto"/>
        <w:tabs>
          <w:tab w:leader="none" w:pos="1792"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use its reasonable best efforts to cause all the Registrable Securities to be listed on each securities exchange on which the Common Shares are then listed. The Company shall pay all fees and expenses in connection with satisfying its obligation under this Section 3(g).</w:t>
      </w:r>
    </w:p>
    <w:p>
      <w:pPr>
        <w:spacing w:after="0" w:line="186"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79"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cooperate with the holders of the Registrable Securities to facilitate the timely preparation and delivery of certificates representing the Registrable Securities to be sold pursuant to such Registration Statement or Rule 144 free of any restrictive legends and representing such number of Common Shares and registered in such names as the holders of the Registrable Securities may reasonably request a reasonable period of time prior to sales of Registrable Securities pursuant to such Registration Statement or Rule;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Company may satisfy its obligations hereunder without issuing physical stock certificates through the use of The Depository Trust Company's Direct Registration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78" w:name="page79"/>
    <w:bookmarkEnd w:id="78"/>
    <w:p>
      <w:pPr>
        <w:jc w:val="both"/>
        <w:ind w:firstLine="1304"/>
        <w:spacing w:after="0" w:line="257" w:lineRule="auto"/>
        <w:tabs>
          <w:tab w:leader="none" w:pos="174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use its reasonable best efforts to cause the Registrable Securities to be registered with or approved by such other governmental agencies or authorities as may be necessary to consummate the disposition of such Registrable Securities.</w:t>
      </w:r>
    </w:p>
    <w:p>
      <w:pPr>
        <w:spacing w:after="0" w:line="186" w:lineRule="exact"/>
        <w:rPr>
          <w:rFonts w:ascii="Times New Roman" w:cs="Times New Roman" w:eastAsia="Times New Roman" w:hAnsi="Times New Roman"/>
          <w:sz w:val="22"/>
          <w:szCs w:val="22"/>
          <w:color w:val="auto"/>
        </w:rPr>
      </w:pPr>
    </w:p>
    <w:p>
      <w:pPr>
        <w:ind w:right="20" w:firstLine="1304"/>
        <w:spacing w:after="0" w:line="271" w:lineRule="auto"/>
        <w:tabs>
          <w:tab w:leader="none" w:pos="1905"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otherwise use its reasonable best efforts to comply with all applicable rules and regulations of the SEC in connection with any registration hereunder.</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81"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one Business Day after a Registration Statement which covers Registrable Securities is declared effective by the SEC, the Company shall deliver, and shall cause legal counsel for the Company to deliver, to the transfer agent for such Registrable Securities (with copies to the Investor whose Registrable Securities are included in such Registration Statement) confirmation that such Registration Statement has been declared effective by the SEC.</w:t>
      </w:r>
    </w:p>
    <w:p>
      <w:pPr>
        <w:spacing w:after="0" w:line="176" w:lineRule="exact"/>
        <w:rPr>
          <w:rFonts w:ascii="Times New Roman" w:cs="Times New Roman" w:eastAsia="Times New Roman" w:hAnsi="Times New Roman"/>
          <w:sz w:val="22"/>
          <w:szCs w:val="22"/>
          <w:color w:val="auto"/>
        </w:rPr>
      </w:pPr>
    </w:p>
    <w:p>
      <w:pPr>
        <w:ind w:firstLine="1304"/>
        <w:spacing w:after="0" w:line="271" w:lineRule="auto"/>
        <w:tabs>
          <w:tab w:leader="none" w:pos="1755"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take all other reasonable actions necessary to expedite and facilitate disposition by each Investor of Registrable Securities pursuant to a Registration Statement.</w:t>
      </w:r>
    </w:p>
    <w:p>
      <w:pPr>
        <w:spacing w:after="0" w:line="157"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OF THE INVESTOR</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76"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Investor agrees that, upon receipt of any notice from the Company of the happening of any event of the kind described in Section 3(d), the Investor will immediately discontinue disposition of Registrable Securities pursuant to any Registration Statement covering such Registrable Securities until the Investor’s receipt of the copies of the supplemented or amended prospectus contemplated by Section 3(d) or receipt of notice that no supplement or amendment is required. Notwithstanding anything to the contrary, subject to compliance with the securities laws, the Company shall cause its transfer agent to deliver unlegended certificates for Common Shares to a transferee of an Investor in accordance with the terms of the Securities Purchase Agreement in connection with any sale of Registrable Securities with respect to which an Investor has entered into a contract for sale prior to the Investor’s receipt of a notice from the Company of the happening of any event of the kind described in Section 3(d) and for which the Investor has not yet settled.</w:t>
      </w:r>
    </w:p>
    <w:p>
      <w:pPr>
        <w:spacing w:after="0" w:line="17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88"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Investor covenants and agrees that it will comply with the prospectus delivery requirements of the Securities Act as applicable to it or an exemption therefrom in connection with sales of Registrable Securities pursuant to the Registration Statement.</w:t>
      </w:r>
    </w:p>
    <w:p>
      <w:pPr>
        <w:spacing w:after="0" w:line="186"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 OF REGISTRATION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Each party shall bear its own fees and expenses related to the transactions contemplated by this Agreement. For the avoidance of doubt, all expenses incurred by the Company in complying with its obligations pursuant to this Agreement and in connection with the registration and disposition of Registrable Securities shall be paid by the Company, including, without limitation, all registration, listing and qualifications fees, printers expenses, and fees and expenses of the Company’s counsel and accountants (except legal fees of Investor’s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79" w:name="page80"/>
    <w:bookmarkEnd w:id="79"/>
    <w:p>
      <w:pPr>
        <w:jc w:val="both"/>
        <w:spacing w:after="0" w:line="295" w:lineRule="auto"/>
        <w:rPr>
          <w:sz w:val="20"/>
          <w:szCs w:val="20"/>
          <w:color w:val="auto"/>
        </w:rPr>
      </w:pPr>
      <w:r>
        <w:rPr>
          <w:rFonts w:ascii="Times New Roman" w:cs="Times New Roman" w:eastAsia="Times New Roman" w:hAnsi="Times New Roman"/>
          <w:sz w:val="21"/>
          <w:szCs w:val="21"/>
          <w:color w:val="auto"/>
        </w:rPr>
        <w:t>associated with the review of the Registration Statement). The Investor shall pay any sales or brokerage commissions and fees and expenses of counsel for, and other expenses of, the Investor incurred in connection with registration of Registrable Securities.</w:t>
      </w:r>
    </w:p>
    <w:p>
      <w:pPr>
        <w:spacing w:after="0" w:line="135" w:lineRule="exact"/>
        <w:rPr>
          <w:sz w:val="20"/>
          <w:szCs w:val="20"/>
          <w:color w:val="auto"/>
        </w:rPr>
      </w:pPr>
    </w:p>
    <w:p>
      <w:pPr>
        <w:ind w:left="1040" w:hanging="384"/>
        <w:spacing w:after="0"/>
        <w:tabs>
          <w:tab w:leader="none" w:pos="10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respect to Registrable Securities which are included in a Registration Statement under this Agreement:</w:t>
      </w:r>
    </w:p>
    <w:p>
      <w:pPr>
        <w:spacing w:after="0" w:line="220" w:lineRule="exact"/>
        <w:rPr>
          <w:sz w:val="20"/>
          <w:szCs w:val="20"/>
          <w:color w:val="auto"/>
        </w:rPr>
      </w:pPr>
    </w:p>
    <w:p>
      <w:pPr>
        <w:jc w:val="both"/>
        <w:ind w:firstLine="1304"/>
        <w:spacing w:after="0" w:line="246" w:lineRule="auto"/>
        <w:tabs>
          <w:tab w:leader="none" w:pos="181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law, the Company shall, and hereby does, indemnify, hold harmless and defend the Investor, the directors, officers, partners, employees, agents, representatives of, and each Person, if any, who controls any Investor within the meaning of the Securities Act or the Exchange Act (each, an “</w:t>
      </w:r>
      <w:r>
        <w:rPr>
          <w:rFonts w:ascii="Times New Roman" w:cs="Times New Roman" w:eastAsia="Times New Roman" w:hAnsi="Times New Roman"/>
          <w:sz w:val="22"/>
          <w:szCs w:val="22"/>
          <w:u w:val="single" w:color="auto"/>
          <w:color w:val="auto"/>
        </w:rPr>
        <w:t>Indemnified Person</w:t>
      </w:r>
      <w:r>
        <w:rPr>
          <w:rFonts w:ascii="Times New Roman" w:cs="Times New Roman" w:eastAsia="Times New Roman" w:hAnsi="Times New Roman"/>
          <w:sz w:val="22"/>
          <w:szCs w:val="22"/>
          <w:color w:val="auto"/>
        </w:rPr>
        <w:t>”), against any losses, claims, damages, liabilities, judgments, fines, penalties, charges, costs, reasonable attorneys’ fees, amounts paid in settlement or expenses, joint or several (collectively,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party is or may be a party thereto (“</w:t>
      </w:r>
      <w:r>
        <w:rPr>
          <w:rFonts w:ascii="Times New Roman" w:cs="Times New Roman" w:eastAsia="Times New Roman" w:hAnsi="Times New Roman"/>
          <w:sz w:val="22"/>
          <w:szCs w:val="22"/>
          <w:u w:val="single" w:color="auto"/>
          <w:color w:val="auto"/>
        </w:rPr>
        <w:t>Indemnified Damages</w:t>
      </w:r>
      <w:r>
        <w:rPr>
          <w:rFonts w:ascii="Times New Roman" w:cs="Times New Roman" w:eastAsia="Times New Roman" w:hAnsi="Times New Roman"/>
          <w:sz w:val="22"/>
          <w:szCs w:val="22"/>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Times New Roman" w:cs="Times New Roman" w:eastAsia="Times New Roman" w:hAnsi="Times New Roman"/>
          <w:sz w:val="22"/>
          <w:szCs w:val="22"/>
          <w:u w:val="single" w:color="auto"/>
          <w:color w:val="auto"/>
        </w:rPr>
        <w:t>Blue Sky Filing</w:t>
      </w:r>
      <w:r>
        <w:rPr>
          <w:rFonts w:ascii="Times New Roman" w:cs="Times New Roman" w:eastAsia="Times New Roman" w:hAnsi="Times New Roman"/>
          <w:sz w:val="22"/>
          <w:szCs w:val="22"/>
          <w:color w:val="auto"/>
        </w:rPr>
        <w:t>”), or the omission or alleged omission to state a material fact required to be stated therein or necessary to make the statements therein not misleading; (ii) any untrue statement or alleged untrue statement of a material fact contained in any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or (iii) any violation or alleged violation by the Company of the Securities Act, the Exchange Act, any other law, including, without limitation, any state securities law, or any rule or regulation there under relating to the offer or sale of the Registrable Securities pursuant to a Registration Statement (the matters in the foregoing clauses (i) through (iii) being, collectively, “</w:t>
      </w:r>
      <w:r>
        <w:rPr>
          <w:rFonts w:ascii="Times New Roman" w:cs="Times New Roman" w:eastAsia="Times New Roman" w:hAnsi="Times New Roman"/>
          <w:sz w:val="22"/>
          <w:szCs w:val="22"/>
          <w:u w:val="single" w:color="auto"/>
          <w:color w:val="auto"/>
        </w:rPr>
        <w:t>Violations</w:t>
      </w:r>
      <w:r>
        <w:rPr>
          <w:rFonts w:ascii="Times New Roman" w:cs="Times New Roman" w:eastAsia="Times New Roman" w:hAnsi="Times New Roman"/>
          <w:sz w:val="22"/>
          <w:szCs w:val="22"/>
          <w:color w:val="auto"/>
        </w:rPr>
        <w:t>”). The Company shall reimburse the Investor and each such controlling person promptly as such expenses are incurred and are due and payable, for any legal fees or disbursements or other reasonable expenses incurred by them in connection with investigating or defending any such Claim. Notwithstanding anything to the contrary contained herein, the indemnification agreement contained in this Section 6(a): (x) shall not apply to a Claim by an Indemnified Person arising out of or based upon a Violation which occurs in reliance upon and in conformity with information furnished in writing to the Company by such Indemnified Person expressly for use in connection with the preparation of the Registration Statement or any such amendment thereof or supplement thereto; (y) shall not be available to the extent such Claim is based on a failure of the Investor to deliver or to cause to be delivered the prospectus made available by the Company,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80" w:name="page81"/>
    <w:bookmarkEnd w:id="80"/>
    <w:p>
      <w:pPr>
        <w:jc w:val="both"/>
        <w:spacing w:after="0" w:line="256" w:lineRule="auto"/>
        <w:rPr>
          <w:sz w:val="20"/>
          <w:szCs w:val="20"/>
          <w:color w:val="auto"/>
        </w:rPr>
      </w:pPr>
      <w:r>
        <w:rPr>
          <w:rFonts w:ascii="Times New Roman" w:cs="Times New Roman" w:eastAsia="Times New Roman" w:hAnsi="Times New Roman"/>
          <w:sz w:val="22"/>
          <w:szCs w:val="22"/>
          <w:color w:val="auto"/>
        </w:rPr>
        <w:t>prospectus was timely made available by the Company pursuant to Section 3(b); and (z)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w:t>
      </w:r>
    </w:p>
    <w:p>
      <w:pPr>
        <w:spacing w:after="0" w:line="176" w:lineRule="exact"/>
        <w:rPr>
          <w:sz w:val="20"/>
          <w:szCs w:val="20"/>
          <w:color w:val="auto"/>
        </w:rPr>
      </w:pPr>
    </w:p>
    <w:p>
      <w:pPr>
        <w:jc w:val="both"/>
        <w:ind w:firstLine="1304"/>
        <w:spacing w:after="0" w:line="259" w:lineRule="auto"/>
        <w:tabs>
          <w:tab w:leader="none" w:pos="1801"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a Registration Statement, the Investor agrees to indemnify, hold harmless and defend, to the same extent and in the same manner as is set forth in Section 6(a), the Company, each of its directors, each of its officers, employees, representatives, or agents and each Person, if any, who controls the Company within the meaning of the Securities Act or the Exchange Act (each an “</w:t>
      </w:r>
      <w:r>
        <w:rPr>
          <w:rFonts w:ascii="Times New Roman" w:cs="Times New Roman" w:eastAsia="Times New Roman" w:hAnsi="Times New Roman"/>
          <w:sz w:val="21"/>
          <w:szCs w:val="21"/>
          <w:u w:val="single" w:color="auto"/>
          <w:color w:val="auto"/>
        </w:rPr>
        <w:t>Indemnified Party</w:t>
      </w:r>
      <w:r>
        <w:rPr>
          <w:rFonts w:ascii="Times New Roman" w:cs="Times New Roman" w:eastAsia="Times New Roman" w:hAnsi="Times New Roman"/>
          <w:sz w:val="21"/>
          <w:szCs w:val="21"/>
          <w:color w:val="auto"/>
        </w:rPr>
        <w:t>”), against any Claim or Indemnified Damages to which any of them may become subject, under the Securities Act, the Exchange Act or otherwise, insofar as such Claim or Indemnified Damages arise out of or is based upon any Violation, in each case to the extent, and only to the extent, that such Violation occurs in reliance upon and in conformity with written information furnished to the Company by such Investor expressly for use in connection with such Registration Statement; and, subject to Section 6(d), such Investor will reimburse any legal or other expenses reasonably incurred by them in connection with investigating or defending any such Claim; provided, however, that the indemnity agreement contained in this Section 6(b) and the agreement with respect to contribution contained in Section 7 shall not apply to amounts paid in settlement of any Claim if such settlement is effected without the prior written consent of such Investor, which consent shall not be unreasonably withheld; provided, further, however, that the Investor shall be liable under this Section 6(b) for only that amount of a Claim or Indemnified Damages as does not exceed the net proceeds to such Investor as a result of the sale of Registrable Securities pursuant to such Registration Statement. Such indemnity shall remain in full force and effect regardless of any investigation made by or on behalf of such Indemnified Party. Notwithstanding anything to the contrary contained herein, the indemnification agreement contained in this Section 6(b) with respect to any prospectus shall not inure to the benefit of any Indemnified Party if the untrue statement or omission of material fact contained in the prospectus was corrected and such new prospectus was delivered to each Investor prior to such Investor’s use of the prospectus to which the Claim relates.</w:t>
      </w:r>
    </w:p>
    <w:p>
      <w:pPr>
        <w:spacing w:after="0" w:line="182" w:lineRule="exact"/>
        <w:rPr>
          <w:rFonts w:ascii="Times New Roman" w:cs="Times New Roman" w:eastAsia="Times New Roman" w:hAnsi="Times New Roman"/>
          <w:sz w:val="21"/>
          <w:szCs w:val="21"/>
          <w:color w:val="auto"/>
        </w:rPr>
      </w:pPr>
    </w:p>
    <w:p>
      <w:pPr>
        <w:jc w:val="both"/>
        <w:ind w:firstLine="1304"/>
        <w:spacing w:after="0" w:line="249" w:lineRule="auto"/>
        <w:tabs>
          <w:tab w:leader="none" w:pos="180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fees and expenses of not more than one (1) counsel for such Indemnified Person or Indemnified Party to be paid by the indemnifying party, if, in the reasonable opinion of counsel retained by the indemnifying party, the representation by such counsel of the Indemnified Person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81" w:name="page82"/>
    <w:bookmarkEnd w:id="81"/>
    <w:p>
      <w:pPr>
        <w:jc w:val="both"/>
        <w:spacing w:after="0" w:line="247" w:lineRule="auto"/>
        <w:rPr>
          <w:sz w:val="20"/>
          <w:szCs w:val="20"/>
          <w:color w:val="auto"/>
        </w:rPr>
      </w:pPr>
      <w:r>
        <w:rPr>
          <w:rFonts w:ascii="Times New Roman" w:cs="Times New Roman" w:eastAsia="Times New Roman" w:hAnsi="Times New Roman"/>
          <w:sz w:val="22"/>
          <w:szCs w:val="22"/>
          <w:color w:val="auto"/>
        </w:rPr>
        <w:t>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fully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at all times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w:t>
      </w:r>
    </w:p>
    <w:p>
      <w:pPr>
        <w:spacing w:after="0" w:line="191" w:lineRule="exact"/>
        <w:rPr>
          <w:sz w:val="20"/>
          <w:szCs w:val="20"/>
          <w:color w:val="auto"/>
        </w:rPr>
      </w:pPr>
    </w:p>
    <w:p>
      <w:pPr>
        <w:ind w:firstLine="1304"/>
        <w:spacing w:after="0" w:line="271" w:lineRule="auto"/>
        <w:tabs>
          <w:tab w:leader="none" w:pos="1833"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17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85"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72"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CONTRIBUTION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received by such seller from the sale of such Registrable Securities.</w:t>
      </w:r>
    </w:p>
    <w:p>
      <w:pPr>
        <w:spacing w:after="0" w:line="194" w:lineRule="exact"/>
        <w:rPr>
          <w:sz w:val="20"/>
          <w:szCs w:val="20"/>
          <w:color w:val="auto"/>
        </w:rPr>
      </w:pPr>
    </w:p>
    <w:p>
      <w:pPr>
        <w:ind w:left="1040" w:hanging="384"/>
        <w:spacing w:after="0"/>
        <w:tabs>
          <w:tab w:leader="none" w:pos="104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 UNDER THE EXCHANGE ACT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82" w:name="page83"/>
    <w:bookmarkEnd w:id="82"/>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With a view to making available to the Investor the benefits of Rule 144 promulgated under the Securities Act or any similar rule or regulation of the SEC that may at any time permit the Investor to sell securities of the Company to the public without registration, and as a material inducement to the Investor’s purchase of the Convertible Debentures, the Company represents, warrants, and covenants to the following:</w:t>
      </w:r>
    </w:p>
    <w:p>
      <w:pPr>
        <w:spacing w:after="0" w:line="176" w:lineRule="exact"/>
        <w:rPr>
          <w:sz w:val="20"/>
          <w:szCs w:val="20"/>
          <w:color w:val="auto"/>
        </w:rPr>
      </w:pPr>
    </w:p>
    <w:p>
      <w:pPr>
        <w:jc w:val="both"/>
        <w:ind w:firstLine="1304"/>
        <w:spacing w:after="0" w:line="257" w:lineRule="auto"/>
        <w:tabs>
          <w:tab w:leader="none" w:pos="1807"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subject to the reporting requirements of Section 13 or 15(d) of the Exchange Act and has filed all required reports under Section 13 or 15(d) of the Exchange Act during the 12 months prior to the date hereof (or for such shorter period that the Company was required to file such reports), other than Form 8-K reports.</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28"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furnish to the Investor so long as such Investor owns Registrable Securities, promptly upon request, (i) to the extent it is in compliance with the reporting requirements of Rule 144, a written statement by the Company that it has complied with the reporting requirements of Rule 144, and (ii) such other information as may be reasonably requested to permit the Investor to sell such securities pursuant to Rule 144 without registration.</w:t>
      </w:r>
    </w:p>
    <w:p>
      <w:pPr>
        <w:spacing w:after="0" w:line="176"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OF REGISTRATION RIGHTS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Provisions of this Agreement may be amended and the observance thereof may be waived (either generally or in a particular instance and either retroactively or prospectively), only with the written consent of the Company and Investor. Any amendment or waiver effected in accordance with this Section 9 shall be binding upon the Investor and the Company. No such amendment shall be effective to the extent that it applies to fewer than all of the holders of the Registrable Securities. No consideration shall be offered or paid to any Person to amend or consent to a waiver or modification of any provision of any of this Agreement unless the same consideration also is offered to all of the parties to this Agreement.</w:t>
      </w:r>
    </w:p>
    <w:p>
      <w:pPr>
        <w:spacing w:after="0" w:line="181" w:lineRule="exact"/>
        <w:rPr>
          <w:sz w:val="20"/>
          <w:szCs w:val="20"/>
          <w:color w:val="auto"/>
        </w:rPr>
      </w:pPr>
    </w:p>
    <w:p>
      <w:pPr>
        <w:ind w:left="1140" w:hanging="484"/>
        <w:spacing w:after="0"/>
        <w:tabs>
          <w:tab w:leader="none" w:pos="11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304"/>
        <w:spacing w:after="0" w:line="268" w:lineRule="auto"/>
        <w:tabs>
          <w:tab w:leader="none" w:pos="1749"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Person is deemed to be a holder of Registrable Securities whenever such Person owns or is deemed to own of record such Registrable Securities or owns the right to receive the Registrable Securities. If the Company receives conflicting instructions, notices or elections from two or more Persons with respect to the same Registrable Securities, the Company shall act upon the basis of instructions, notice or election received from the registered owner of such Registrable Securities.</w:t>
      </w:r>
    </w:p>
    <w:p>
      <w:pPr>
        <w:spacing w:after="0" w:line="163" w:lineRule="exact"/>
        <w:rPr>
          <w:rFonts w:ascii="Times New Roman" w:cs="Times New Roman" w:eastAsia="Times New Roman" w:hAnsi="Times New Roman"/>
          <w:sz w:val="21"/>
          <w:szCs w:val="21"/>
          <w:color w:val="auto"/>
        </w:rPr>
      </w:pPr>
    </w:p>
    <w:p>
      <w:pPr>
        <w:jc w:val="both"/>
        <w:ind w:firstLine="1304"/>
        <w:spacing w:after="0" w:line="256" w:lineRule="auto"/>
        <w:tabs>
          <w:tab w:leader="none" w:pos="1799"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file any other registration statements on Form S-3, Form S-1, or otherwise until the initial Registration Statement required hereunder is declared effective by the SEC, provided that this Section 10(b) shall not prohibit the Company from filing amendments to registration statements already filed. The Company shall not include any other securities on a Registration Statement unless otherwise agreed by the Investor.</w:t>
      </w:r>
    </w:p>
    <w:p>
      <w:pPr>
        <w:spacing w:after="0" w:line="176" w:lineRule="exact"/>
        <w:rPr>
          <w:rFonts w:ascii="Times New Roman" w:cs="Times New Roman" w:eastAsia="Times New Roman" w:hAnsi="Times New Roman"/>
          <w:sz w:val="22"/>
          <w:szCs w:val="22"/>
          <w:color w:val="auto"/>
        </w:rPr>
      </w:pPr>
    </w:p>
    <w:p>
      <w:pPr>
        <w:ind w:firstLine="1304"/>
        <w:spacing w:after="0" w:line="271" w:lineRule="auto"/>
        <w:tabs>
          <w:tab w:leader="none" w:pos="1753"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notices, consents, waivers or other communications required or permitted to be given under the terms of this Agreement must be in writing and will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83" w:name="page84"/>
    <w:bookmarkEnd w:id="83"/>
    <w:p>
      <w:pPr>
        <w:jc w:val="both"/>
        <w:spacing w:after="0" w:line="250" w:lineRule="auto"/>
        <w:rPr>
          <w:sz w:val="20"/>
          <w:szCs w:val="20"/>
          <w:color w:val="auto"/>
        </w:rPr>
      </w:pPr>
      <w:r>
        <w:rPr>
          <w:rFonts w:ascii="Times New Roman" w:cs="Times New Roman" w:eastAsia="Times New Roman" w:hAnsi="Times New Roman"/>
          <w:sz w:val="22"/>
          <w:szCs w:val="22"/>
          <w:color w:val="auto"/>
        </w:rPr>
        <w:t>to have been delivered pursuant to the notice provisions of the Securities Purchase Agreement or to such other address and/or electronic 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electronically generated by the sender’s email service provider containing the time, date, and recipient email or (C) provided by a courier or overnight courier service shall be rebuttable evidence of personal service, receipt by facsimile or receipt from a nationally recognized overnight delivery service in accordance with this section.</w:t>
      </w:r>
    </w:p>
    <w:p>
      <w:pPr>
        <w:spacing w:after="0" w:line="180" w:lineRule="exact"/>
        <w:rPr>
          <w:sz w:val="20"/>
          <w:szCs w:val="20"/>
          <w:color w:val="auto"/>
        </w:rPr>
      </w:pPr>
    </w:p>
    <w:p>
      <w:pPr>
        <w:ind w:firstLine="1304"/>
        <w:spacing w:after="0" w:line="284" w:lineRule="auto"/>
        <w:tabs>
          <w:tab w:leader="none" w:pos="176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of any party to exercise any right or remedy under this Agreement or otherwise, or delay by a party in exercising such right or remedy, shall not operate as a waiver thereof.</w:t>
      </w:r>
    </w:p>
    <w:p>
      <w:pPr>
        <w:spacing w:after="0" w:line="143" w:lineRule="exact"/>
        <w:rPr>
          <w:rFonts w:ascii="Times New Roman" w:cs="Times New Roman" w:eastAsia="Times New Roman" w:hAnsi="Times New Roman"/>
          <w:sz w:val="22"/>
          <w:szCs w:val="22"/>
          <w:color w:val="auto"/>
        </w:rPr>
      </w:pPr>
    </w:p>
    <w:p>
      <w:pPr>
        <w:jc w:val="both"/>
        <w:ind w:firstLine="1304"/>
        <w:spacing w:after="0" w:line="259" w:lineRule="auto"/>
        <w:tabs>
          <w:tab w:leader="none" w:pos="1771"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laws of the State of New York shall govern all issues concerning the relative rights of the Company and the Investor. All other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 that would cause the application of the laws of any jurisdiction other than the State of New York. Each party hereby irrevocably submits to the non-exclusive jurisdiction of the Supreme Court of the State of New York, sitting in New York County, New York and federal courts for the Southern District of New York sitting New York,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 EACH PARTY HEREBY IRREVOCABLY WAIVES ANY RIGHT IT MAY HAVE, AND AGREES NOT TO REQUEST, A JURY TRIAL FOR THE ADJUDICATION OF ANY DISPUTE HEREUNDER OR IN CONNECTION HEREWITH OR ARISING OUT OF THIS AGREEMENT OR ANY TRANSACTION CONTEMPLATED HEREBY.</w:t>
      </w:r>
    </w:p>
    <w:p>
      <w:pPr>
        <w:spacing w:after="0" w:line="178" w:lineRule="exact"/>
        <w:rPr>
          <w:rFonts w:ascii="Times New Roman" w:cs="Times New Roman" w:eastAsia="Times New Roman" w:hAnsi="Times New Roman"/>
          <w:sz w:val="21"/>
          <w:szCs w:val="21"/>
          <w:color w:val="auto"/>
        </w:rPr>
      </w:pPr>
    </w:p>
    <w:p>
      <w:pPr>
        <w:jc w:val="both"/>
        <w:ind w:right="20" w:firstLine="1304"/>
        <w:spacing w:after="0" w:line="263" w:lineRule="auto"/>
        <w:tabs>
          <w:tab w:leader="none" w:pos="177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rights, duties and obligations of the Investor hereunder may only be assigned upon the transfer of a Convertible Debenture or the Conversion Shares issued pursuant to a Convertible Debenture pursuant to the terms and restrictions on transfer set forth in the Securities Purchase Agreement and the applicable Convertible Debenture.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84" w:name="page85"/>
    <w:bookmarkEnd w:id="84"/>
    <w:p>
      <w:pPr>
        <w:jc w:val="both"/>
        <w:spacing w:after="0" w:line="251" w:lineRule="auto"/>
        <w:rPr>
          <w:sz w:val="20"/>
          <w:szCs w:val="20"/>
          <w:color w:val="auto"/>
        </w:rPr>
      </w:pPr>
      <w:r>
        <w:rPr>
          <w:rFonts w:ascii="Times New Roman" w:cs="Times New Roman" w:eastAsia="Times New Roman" w:hAnsi="Times New Roman"/>
          <w:sz w:val="22"/>
          <w:szCs w:val="22"/>
          <w:color w:val="auto"/>
        </w:rPr>
        <w:t>This Agreement and the provisions hereof shall be binding upon and shall inure to the benefit of each of the parties and its successors and the permitted assigns of the parties. No assignment by any party hereto of such party’s rights, duties and obligations hereunder shall be binding upon or obligate the Company unless and until the Company shall have received (A) written notice of such assignment and (B) the written agreement of the assignee, in a form reasonably satisfactory to the Company, to be bound by the terms and provisions of this Agreement (which may be accomplished by an addendum or certificate of joinder to this Agreement).</w:t>
      </w:r>
    </w:p>
    <w:p>
      <w:pPr>
        <w:spacing w:after="0" w:line="181" w:lineRule="exact"/>
        <w:rPr>
          <w:sz w:val="20"/>
          <w:szCs w:val="20"/>
          <w:color w:val="auto"/>
        </w:rPr>
      </w:pPr>
    </w:p>
    <w:p>
      <w:pPr>
        <w:ind w:left="1800" w:hanging="496"/>
        <w:spacing w:after="0"/>
        <w:tabs>
          <w:tab w:leader="none" w:pos="1800"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headings in this Agreement are for convenience of reference only and shall not limit or otherwise affect</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meaning hereof.</w:t>
      </w:r>
    </w:p>
    <w:p>
      <w:pPr>
        <w:spacing w:after="0" w:line="209" w:lineRule="exact"/>
        <w:rPr>
          <w:rFonts w:ascii="Times New Roman" w:cs="Times New Roman" w:eastAsia="Times New Roman" w:hAnsi="Times New Roman"/>
          <w:sz w:val="21"/>
          <w:szCs w:val="21"/>
          <w:color w:val="auto"/>
        </w:rPr>
      </w:pPr>
    </w:p>
    <w:p>
      <w:pPr>
        <w:jc w:val="both"/>
        <w:ind w:firstLine="1304"/>
        <w:spacing w:after="0" w:line="248" w:lineRule="auto"/>
        <w:tabs>
          <w:tab w:leader="none" w:pos="177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identical counterparts, both which shall be considered one and the same agreement and shall become effective when counterparts have been signed by each party and delivered to the other party. Facsimile or other electronically scanned and delivered signatures (including any electronic signature covered by the U.S. federal ESIGN Act of 2000, Uniform Electronic Transactions Act, the Electronic Signatures and Records Act or other applicable law, e.g., www.docusign.com), including by e-mail attachment, shall be deemed to have been duly and validly delivered and be valid and effective for all purposes of this Agreement.</w:t>
      </w:r>
    </w:p>
    <w:p>
      <w:pPr>
        <w:spacing w:after="0" w:line="200"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1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9" w:lineRule="exact"/>
        <w:rPr>
          <w:rFonts w:ascii="Times New Roman" w:cs="Times New Roman" w:eastAsia="Times New Roman" w:hAnsi="Times New Roman"/>
          <w:sz w:val="22"/>
          <w:szCs w:val="22"/>
          <w:color w:val="auto"/>
        </w:rPr>
      </w:pPr>
    </w:p>
    <w:p>
      <w:pPr>
        <w:ind w:firstLine="1304"/>
        <w:spacing w:after="0" w:line="284" w:lineRule="auto"/>
        <w:tabs>
          <w:tab w:leader="none" w:pos="171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language used in this Agreement will be deemed to be the language chosen by the parties to express their mutual intent and no rules of strict construction will be applied against any party.</w:t>
      </w:r>
    </w:p>
    <w:p>
      <w:pPr>
        <w:spacing w:after="0" w:line="143" w:lineRule="exact"/>
        <w:rPr>
          <w:rFonts w:ascii="Times New Roman" w:cs="Times New Roman" w:eastAsia="Times New Roman" w:hAnsi="Times New Roman"/>
          <w:sz w:val="22"/>
          <w:szCs w:val="22"/>
          <w:color w:val="auto"/>
        </w:rPr>
      </w:pPr>
    </w:p>
    <w:p>
      <w:pPr>
        <w:ind w:firstLine="1304"/>
        <w:spacing w:after="0" w:line="271" w:lineRule="auto"/>
        <w:tabs>
          <w:tab w:leader="none" w:pos="1773"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intended for the benefit of the parties hereto and their respective permitted successors and assigns, and is not for the benefit of, nor may any provision hereof be enforced by, any other Person.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85" w:name="page86"/>
    <w:bookmarkEnd w:id="85"/>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Investor and the Company have caused their signature page to this Registration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be duly executed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3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INNVENTURE, INC.</w:t>
      </w:r>
    </w:p>
    <w:p>
      <w:pPr>
        <w:spacing w:after="0" w:line="30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 /s/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-13970</wp:posOffset>
            </wp:positionV>
            <wp:extent cx="17310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1010" cy="8255"/>
                    </a:xfrm>
                    <a:prstGeom prst="rect">
                      <a:avLst/>
                    </a:prstGeom>
                    <a:noFill/>
                  </pic:spPr>
                </pic:pic>
              </a:graphicData>
            </a:graphic>
          </wp:anchor>
        </w:drawing>
      </w:r>
    </w:p>
    <w:p>
      <w:pPr>
        <w:spacing w:after="0" w:line="11" w:lineRule="exact"/>
        <w:rPr>
          <w:sz w:val="20"/>
          <w:szCs w:val="20"/>
          <w:color w:val="auto"/>
        </w:rPr>
      </w:pPr>
    </w:p>
    <w:p>
      <w:pPr>
        <w:ind w:left="4880"/>
        <w:spacing w:after="0"/>
        <w:tabs>
          <w:tab w:leader="none" w:pos="5700" w:val="left"/>
        </w:tabs>
        <w:rPr>
          <w:sz w:val="20"/>
          <w:szCs w:val="20"/>
          <w:color w:val="auto"/>
        </w:rPr>
      </w:pPr>
      <w:r>
        <w:rPr>
          <w:rFonts w:ascii="Times New Roman" w:cs="Times New Roman" w:eastAsia="Times New Roman" w:hAnsi="Times New Roman"/>
          <w:sz w:val="22"/>
          <w:szCs w:val="22"/>
          <w:color w:val="auto"/>
        </w:rPr>
        <w:t>Name:</w:t>
        <w:tab/>
        <w:t>David Yablunosky</w:t>
      </w:r>
    </w:p>
    <w:p>
      <w:pPr>
        <w:spacing w:after="0" w:line="29"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3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YA II PN, Ltd.</w:t>
      </w:r>
    </w:p>
    <w:p>
      <w:pPr>
        <w:spacing w:after="0" w:line="275" w:lineRule="exact"/>
        <w:rPr>
          <w:sz w:val="20"/>
          <w:szCs w:val="20"/>
          <w:color w:val="auto"/>
        </w:rPr>
      </w:pPr>
    </w:p>
    <w:p>
      <w:pPr>
        <w:ind w:left="4880"/>
        <w:spacing w:after="0"/>
        <w:tabs>
          <w:tab w:leader="none" w:pos="53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Yorkville Advisors Global, LP</w:t>
      </w:r>
    </w:p>
    <w:p>
      <w:pPr>
        <w:spacing w:after="0" w:line="29" w:lineRule="exact"/>
        <w:rPr>
          <w:sz w:val="20"/>
          <w:szCs w:val="20"/>
          <w:color w:val="auto"/>
        </w:rPr>
      </w:pPr>
    </w:p>
    <w:p>
      <w:pPr>
        <w:ind w:left="4880"/>
        <w:spacing w:after="0"/>
        <w:tabs>
          <w:tab w:leader="none" w:pos="536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Investment Manager</w:t>
      </w:r>
    </w:p>
    <w:p>
      <w:pPr>
        <w:spacing w:after="0" w:line="275" w:lineRule="exact"/>
        <w:rPr>
          <w:sz w:val="20"/>
          <w:szCs w:val="20"/>
          <w:color w:val="auto"/>
        </w:rPr>
      </w:pPr>
    </w:p>
    <w:p>
      <w:pPr>
        <w:ind w:left="4880"/>
        <w:spacing w:after="0"/>
        <w:tabs>
          <w:tab w:leader="none" w:pos="5440" w:val="left"/>
        </w:tabs>
        <w:rPr>
          <w:sz w:val="20"/>
          <w:szCs w:val="20"/>
          <w:color w:val="auto"/>
        </w:rPr>
      </w:pPr>
      <w:r>
        <w:rPr>
          <w:rFonts w:ascii="Times New Roman" w:cs="Times New Roman" w:eastAsia="Times New Roman" w:hAnsi="Times New Roman"/>
          <w:sz w:val="22"/>
          <w:szCs w:val="22"/>
          <w:color w:val="auto"/>
        </w:rPr>
        <w:t>By:</w:t>
        <w:tab/>
        <w:t>Yorkville Advisors Global II, LLC</w:t>
      </w:r>
    </w:p>
    <w:p>
      <w:pPr>
        <w:spacing w:after="0" w:line="29" w:lineRule="exact"/>
        <w:rPr>
          <w:sz w:val="20"/>
          <w:szCs w:val="20"/>
          <w:color w:val="auto"/>
        </w:rPr>
      </w:pPr>
    </w:p>
    <w:p>
      <w:pPr>
        <w:ind w:left="4880"/>
        <w:spacing w:after="0"/>
        <w:tabs>
          <w:tab w:leader="none" w:pos="5400" w:val="left"/>
        </w:tabs>
        <w:rPr>
          <w:sz w:val="20"/>
          <w:szCs w:val="20"/>
          <w:color w:val="auto"/>
        </w:rPr>
      </w:pPr>
      <w:r>
        <w:rPr>
          <w:rFonts w:ascii="Times New Roman" w:cs="Times New Roman" w:eastAsia="Times New Roman" w:hAnsi="Times New Roman"/>
          <w:sz w:val="22"/>
          <w:szCs w:val="22"/>
          <w:color w:val="auto"/>
        </w:rPr>
        <w:t>Its:</w:t>
        <w:tab/>
        <w:t>General Partner</w:t>
      </w:r>
    </w:p>
    <w:p>
      <w:pPr>
        <w:spacing w:after="0" w:line="3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 /s/ Matt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-13970</wp:posOffset>
            </wp:positionV>
            <wp:extent cx="15240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pacing w:after="0" w:line="11" w:lineRule="exact"/>
        <w:rPr>
          <w:sz w:val="20"/>
          <w:szCs w:val="20"/>
          <w:color w:val="auto"/>
        </w:rPr>
      </w:pPr>
    </w:p>
    <w:p>
      <w:pPr>
        <w:ind w:left="4880"/>
        <w:spacing w:after="0"/>
        <w:tabs>
          <w:tab w:leader="none" w:pos="5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Matt Beckman</w:t>
      </w:r>
    </w:p>
    <w:p>
      <w:pPr>
        <w:spacing w:after="0" w:line="29" w:lineRule="exact"/>
        <w:rPr>
          <w:sz w:val="20"/>
          <w:szCs w:val="20"/>
          <w:color w:val="auto"/>
        </w:rPr>
      </w:pPr>
    </w:p>
    <w:p>
      <w:pPr>
        <w:ind w:left="4880"/>
        <w:spacing w:after="0"/>
        <w:tabs>
          <w:tab w:leader="none" w:pos="55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20"/>
          </w:cols>
          <w:pgMar w:left="320" w:top="1418" w:right="359" w:bottom="1440" w:gutter="0" w:footer="0" w:header="0"/>
        </w:sectPr>
      </w:pPr>
    </w:p>
    <w:bookmarkStart w:id="86" w:name="page87"/>
    <w:bookmarkEnd w:id="86"/>
    <w:p>
      <w:pPr>
        <w:ind w:left="7140"/>
        <w:spacing w:after="0"/>
        <w:rPr>
          <w:sz w:val="20"/>
          <w:szCs w:val="20"/>
          <w:color w:val="auto"/>
        </w:rPr>
      </w:pPr>
      <w:r>
        <w:rPr>
          <w:rFonts w:ascii="Times New Roman" w:cs="Times New Roman" w:eastAsia="Times New Roman" w:hAnsi="Times New Roman"/>
          <w:sz w:val="20"/>
          <w:szCs w:val="20"/>
          <w:b w:val="1"/>
          <w:bCs w:val="1"/>
          <w:color w:val="6D6D6D"/>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CONVERTIBLE DEBENTURES</w:t>
      </w:r>
    </w:p>
    <w:p>
      <w:pPr>
        <w:spacing w:after="0" w:line="264" w:lineRule="exact"/>
        <w:rPr>
          <w:sz w:val="20"/>
          <w:szCs w:val="20"/>
          <w:color w:val="auto"/>
        </w:rPr>
      </w:pPr>
    </w:p>
    <w:p>
      <w:pPr>
        <w:jc w:val="both"/>
        <w:ind w:firstLine="847"/>
        <w:spacing w:after="0" w:line="249" w:lineRule="auto"/>
        <w:rPr>
          <w:sz w:val="20"/>
          <w:szCs w:val="20"/>
          <w:color w:val="auto"/>
        </w:rPr>
      </w:pPr>
      <w:r>
        <w:rPr>
          <w:rFonts w:ascii="Times New Roman" w:cs="Times New Roman" w:eastAsia="Times New Roman" w:hAnsi="Times New Roman"/>
          <w:sz w:val="22"/>
          <w:szCs w:val="22"/>
          <w:color w:val="auto"/>
        </w:rPr>
        <w:t>This Amendment to Convertible Debentures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September 15, 2025 by and between Innventure, Inc., a Delaware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YA II PN, LTD., a Cayman Islands exempt limited company (the “</w:t>
      </w:r>
      <w:r>
        <w:rPr>
          <w:rFonts w:ascii="Times New Roman" w:cs="Times New Roman" w:eastAsia="Times New Roman" w:hAnsi="Times New Roman"/>
          <w:sz w:val="22"/>
          <w:szCs w:val="22"/>
          <w:u w:val="single" w:color="auto"/>
          <w:color w:val="auto"/>
        </w:rPr>
        <w:t>Investor</w:t>
      </w:r>
      <w:r>
        <w:rPr>
          <w:rFonts w:ascii="Times New Roman" w:cs="Times New Roman" w:eastAsia="Times New Roman" w:hAnsi="Times New Roman"/>
          <w:sz w:val="22"/>
          <w:szCs w:val="22"/>
          <w:color w:val="auto"/>
        </w:rPr>
        <w:t>”), with reference to (i) that certain Convertible Debenture, issued April 14, 2025, as amended from time to time, in an original principal amount of $20,000,000.00 issued by the Company to the Investor and bearing Number INV-1 (the “</w:t>
      </w:r>
      <w:r>
        <w:rPr>
          <w:rFonts w:ascii="Times New Roman" w:cs="Times New Roman" w:eastAsia="Times New Roman" w:hAnsi="Times New Roman"/>
          <w:sz w:val="22"/>
          <w:szCs w:val="22"/>
          <w:u w:val="single" w:color="auto"/>
          <w:color w:val="auto"/>
        </w:rPr>
        <w:t>First Debenture</w:t>
      </w:r>
      <w:r>
        <w:rPr>
          <w:rFonts w:ascii="Times New Roman" w:cs="Times New Roman" w:eastAsia="Times New Roman" w:hAnsi="Times New Roman"/>
          <w:sz w:val="22"/>
          <w:szCs w:val="22"/>
          <w:color w:val="auto"/>
        </w:rPr>
        <w:t>”), and (ii) that certain Convertible Debenture, issued May 15, 2025, as amended from time to time, in an original principal amount of $10,000,000.00 issued by the Company to the Investor and bearing Number INV-2 (the “</w:t>
      </w:r>
      <w:r>
        <w:rPr>
          <w:rFonts w:ascii="Times New Roman" w:cs="Times New Roman" w:eastAsia="Times New Roman" w:hAnsi="Times New Roman"/>
          <w:sz w:val="22"/>
          <w:szCs w:val="22"/>
          <w:u w:val="single" w:color="auto"/>
          <w:color w:val="auto"/>
        </w:rPr>
        <w:t>Second Debenture</w:t>
      </w:r>
      <w:r>
        <w:rPr>
          <w:rFonts w:ascii="Times New Roman" w:cs="Times New Roman" w:eastAsia="Times New Roman" w:hAnsi="Times New Roman"/>
          <w:sz w:val="22"/>
          <w:szCs w:val="22"/>
          <w:color w:val="auto"/>
        </w:rPr>
        <w:t>” and collectively with the First Debenture, the “</w:t>
      </w:r>
      <w:r>
        <w:rPr>
          <w:rFonts w:ascii="Times New Roman" w:cs="Times New Roman" w:eastAsia="Times New Roman" w:hAnsi="Times New Roman"/>
          <w:sz w:val="22"/>
          <w:szCs w:val="22"/>
          <w:u w:val="single" w:color="auto"/>
          <w:color w:val="auto"/>
        </w:rPr>
        <w:t>Convertible Debentures</w:t>
      </w:r>
      <w:r>
        <w:rPr>
          <w:rFonts w:ascii="Times New Roman" w:cs="Times New Roman" w:eastAsia="Times New Roman" w:hAnsi="Times New Roman"/>
          <w:sz w:val="22"/>
          <w:szCs w:val="22"/>
          <w:color w:val="auto"/>
        </w:rPr>
        <w:t>”). Undefined terms herein have the same definitions set forth in the Convertible Debentures.</w:t>
      </w:r>
    </w:p>
    <w:p>
      <w:pPr>
        <w:spacing w:after="0" w:line="19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in consideration of the mutual agreements herein contained and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receipt and sufficiency of which are hereby acknowledged, the following is agreed: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i w:val="1"/>
          <w:iCs w:val="1"/>
          <w:color w:val="auto"/>
        </w:rPr>
        <w:t>Amendments to the Convertible Debentures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Convertible Debentures are hereby amended as follows:</w:t>
      </w:r>
    </w:p>
    <w:p>
      <w:pPr>
        <w:spacing w:after="0" w:line="224"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Section 1(c) of each of the Convertible Debentures is hereby amended and restated in its entirety as follows:</w:t>
      </w:r>
    </w:p>
    <w:p>
      <w:pPr>
        <w:spacing w:after="0" w:line="355" w:lineRule="exact"/>
        <w:rPr>
          <w:sz w:val="20"/>
          <w:szCs w:val="20"/>
          <w:color w:val="auto"/>
        </w:rPr>
      </w:pPr>
    </w:p>
    <w:p>
      <w:pPr>
        <w:jc w:val="both"/>
        <w:ind w:left="1300"/>
        <w:spacing w:after="0" w:line="248" w:lineRule="auto"/>
        <w:rPr>
          <w:sz w:val="20"/>
          <w:szCs w:val="20"/>
          <w:color w:val="auto"/>
        </w:rPr>
      </w:pPr>
      <w:r>
        <w:rPr>
          <w:rFonts w:ascii="Times New Roman" w:cs="Times New Roman" w:eastAsia="Times New Roman" w:hAnsi="Times New Roman"/>
          <w:sz w:val="22"/>
          <w:szCs w:val="22"/>
          <w:u w:val="single" w:color="auto"/>
          <w:color w:val="auto"/>
        </w:rPr>
        <w:t>Amortization Event Payments</w:t>
      </w:r>
      <w:r>
        <w:rPr>
          <w:rFonts w:ascii="Times New Roman" w:cs="Times New Roman" w:eastAsia="Times New Roman" w:hAnsi="Times New Roman"/>
          <w:sz w:val="22"/>
          <w:szCs w:val="22"/>
          <w:color w:val="auto"/>
        </w:rPr>
        <w:t xml:space="preserve">. If, any time after the date hereof, and from time to time thereafter, an Amortization Event has occurred, then the Company shall make monthly cash payments beginning on the 15th Trading Day after the Amortization Event Date and continuing on the same day of each successive calendar month until the entire outstanding amounts shall have been repaid. Each monthly cash payment shall be in an amount equal to the sum of (i) the Amortization Principal Amount,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 the Payment Premium in respect of such Amortization Principal Amount,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(iii) all accrued and unpaid interest hereunder as of each payment date. The obligation of the Company to make monthly cash payments related to an Amortization Event shall cease (with respect to any payment that has not yet come due) if at any time after the Amortization Event Date (A) in the event of a Floor Price Event, on the date upon which the daily VWAP has been greater than the Floor Price then in effect for five Trading Days during a period of seven consecutive Trading Days, (B) in the event of an Exchange Cap Event, on the date the Company either (i) has obtained stockholder approval to increase the number of Common Shares under the Exchange Cap and/or (ii) the Exchange Cap no longer applies, or (C) in the event of a Registration Event, on the date the condition or event causing the Registration Event has been cured or the Holder is able to resell the Common Shares issuable upon conversion</w:t>
      </w:r>
    </w:p>
    <w:p>
      <w:pPr>
        <w:sectPr>
          <w:pgSz w:w="11900" w:h="16838" w:orient="portrait"/>
          <w:cols w:equalWidth="0" w:num="1">
            <w:col w:w="11240"/>
          </w:cols>
          <w:pgMar w:left="320" w:top="126" w:right="339" w:bottom="1440" w:gutter="0" w:footer="0" w:header="0"/>
        </w:sectPr>
      </w:pPr>
    </w:p>
    <w:bookmarkStart w:id="87" w:name="page88"/>
    <w:bookmarkEnd w:id="87"/>
    <w:p>
      <w:pPr>
        <w:ind w:left="1300"/>
        <w:spacing w:after="0"/>
        <w:rPr>
          <w:sz w:val="20"/>
          <w:szCs w:val="20"/>
          <w:color w:val="auto"/>
        </w:rPr>
      </w:pPr>
      <w:r>
        <w:rPr>
          <w:rFonts w:ascii="Times New Roman" w:cs="Times New Roman" w:eastAsia="Times New Roman" w:hAnsi="Times New Roman"/>
          <w:sz w:val="21"/>
          <w:szCs w:val="21"/>
          <w:color w:val="auto"/>
        </w:rPr>
        <w:t>of this Note in accordance with Rule 144 under the Securities Act, unless a subsequent Amortization Event occurs.</w:t>
      </w:r>
    </w:p>
    <w:p>
      <w:pPr>
        <w:spacing w:after="0" w:line="2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For the purposes of this Debenture, the following definitions shall apply:</w:t>
      </w:r>
    </w:p>
    <w:p>
      <w:pPr>
        <w:spacing w:after="0" w:line="247" w:lineRule="exact"/>
        <w:rPr>
          <w:sz w:val="20"/>
          <w:szCs w:val="20"/>
          <w:color w:val="auto"/>
        </w:rPr>
      </w:pPr>
    </w:p>
    <w:p>
      <w:pPr>
        <w:jc w:val="both"/>
        <w:ind w:left="1300"/>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Amortization Event</w:t>
      </w:r>
      <w:r>
        <w:rPr>
          <w:rFonts w:ascii="Times New Roman" w:cs="Times New Roman" w:eastAsia="Times New Roman" w:hAnsi="Times New Roman"/>
          <w:sz w:val="22"/>
          <w:szCs w:val="22"/>
          <w:color w:val="auto"/>
        </w:rPr>
        <w:t>” shall mean (i) the daily VWAP is less than the Floor Price then in effect for five Trading Days during a period of seven consecutive Trading Days (a “</w:t>
      </w:r>
      <w:r>
        <w:rPr>
          <w:rFonts w:ascii="Times New Roman" w:cs="Times New Roman" w:eastAsia="Times New Roman" w:hAnsi="Times New Roman"/>
          <w:sz w:val="22"/>
          <w:szCs w:val="22"/>
          <w:u w:val="single" w:color="auto"/>
          <w:color w:val="auto"/>
        </w:rPr>
        <w:t>Floor Price Event</w:t>
      </w:r>
      <w:r>
        <w:rPr>
          <w:rFonts w:ascii="Times New Roman" w:cs="Times New Roman" w:eastAsia="Times New Roman" w:hAnsi="Times New Roman"/>
          <w:sz w:val="22"/>
          <w:szCs w:val="22"/>
          <w:color w:val="auto"/>
        </w:rPr>
        <w:t>”), (ii) the Company has issued in excess of 99% of the Common Shares available under the Exchange Cap, where applicable (an “</w:t>
      </w:r>
      <w:r>
        <w:rPr>
          <w:rFonts w:ascii="Times New Roman" w:cs="Times New Roman" w:eastAsia="Times New Roman" w:hAnsi="Times New Roman"/>
          <w:sz w:val="22"/>
          <w:szCs w:val="22"/>
          <w:u w:val="single" w:color="auto"/>
          <w:color w:val="auto"/>
        </w:rPr>
        <w:t>Exchange Cap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Event</w:t>
      </w:r>
      <w:r>
        <w:rPr>
          <w:rFonts w:ascii="Times New Roman" w:cs="Times New Roman" w:eastAsia="Times New Roman" w:hAnsi="Times New Roman"/>
          <w:sz w:val="22"/>
          <w:szCs w:val="22"/>
          <w:color w:val="auto"/>
        </w:rPr>
        <w:t>”), or (iii) from and after September 22, 2025 the Investor is unable to utilize a Registration Statement to resell Underlying Shares for a period of twenty (20) consecutive Trading Days (a “</w:t>
      </w:r>
      <w:r>
        <w:rPr>
          <w:rFonts w:ascii="Times New Roman" w:cs="Times New Roman" w:eastAsia="Times New Roman" w:hAnsi="Times New Roman"/>
          <w:sz w:val="22"/>
          <w:szCs w:val="22"/>
          <w:u w:val="single" w:color="auto"/>
          <w:color w:val="auto"/>
        </w:rPr>
        <w:t>Registration Event</w:t>
      </w:r>
      <w:r>
        <w:rPr>
          <w:rFonts w:ascii="Times New Roman" w:cs="Times New Roman" w:eastAsia="Times New Roman" w:hAnsi="Times New Roman"/>
          <w:sz w:val="22"/>
          <w:szCs w:val="22"/>
          <w:color w:val="auto"/>
        </w:rPr>
        <w:t>”) (the last day of each such occurrence, an “</w:t>
      </w:r>
      <w:r>
        <w:rPr>
          <w:rFonts w:ascii="Times New Roman" w:cs="Times New Roman" w:eastAsia="Times New Roman" w:hAnsi="Times New Roman"/>
          <w:sz w:val="22"/>
          <w:szCs w:val="22"/>
          <w:u w:val="single" w:color="auto"/>
          <w:color w:val="auto"/>
        </w:rPr>
        <w:t>Amortization Event Date</w:t>
      </w:r>
      <w:r>
        <w:rPr>
          <w:rFonts w:ascii="Times New Roman" w:cs="Times New Roman" w:eastAsia="Times New Roman" w:hAnsi="Times New Roman"/>
          <w:sz w:val="22"/>
          <w:szCs w:val="22"/>
          <w:color w:val="auto"/>
        </w:rPr>
        <w:t>”).</w:t>
      </w:r>
    </w:p>
    <w:p>
      <w:pPr>
        <w:spacing w:after="0" w:line="222" w:lineRule="exact"/>
        <w:rPr>
          <w:sz w:val="20"/>
          <w:szCs w:val="20"/>
          <w:color w:val="auto"/>
        </w:rPr>
      </w:pPr>
    </w:p>
    <w:p>
      <w:pPr>
        <w:jc w:val="both"/>
        <w:ind w:left="1300"/>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Amortization Principal Amount</w:t>
      </w:r>
      <w:r>
        <w:rPr>
          <w:rFonts w:ascii="Times New Roman" w:cs="Times New Roman" w:eastAsia="Times New Roman" w:hAnsi="Times New Roman"/>
          <w:sz w:val="22"/>
          <w:szCs w:val="22"/>
          <w:color w:val="auto"/>
        </w:rPr>
        <w:t>” means an amount equal to 10 % of the Principal Amount of this Debenture as of September 15, 2025 (or the outstanding Principal, if less than such amount).</w:t>
      </w:r>
    </w:p>
    <w:p>
      <w:pPr>
        <w:spacing w:after="0" w:line="158" w:lineRule="exact"/>
        <w:rPr>
          <w:sz w:val="20"/>
          <w:szCs w:val="20"/>
          <w:color w:val="auto"/>
        </w:rPr>
      </w:pPr>
    </w:p>
    <w:p>
      <w:pPr>
        <w:ind w:right="20" w:firstLine="656"/>
        <w:spacing w:after="0" w:line="271" w:lineRule="auto"/>
        <w:tabs>
          <w:tab w:leader="none" w:pos="1167"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12(n) of the Convertible Debenture is hereby amended to amend and restate the definition of “Conversion Price” in its entirety as follows:</w:t>
      </w:r>
    </w:p>
    <w:p>
      <w:pPr>
        <w:spacing w:after="0" w:line="293"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 Price</w:t>
      </w:r>
      <w:r>
        <w:rPr>
          <w:rFonts w:ascii="Times New Roman" w:cs="Times New Roman" w:eastAsia="Times New Roman" w:hAnsi="Times New Roman"/>
          <w:sz w:val="22"/>
          <w:szCs w:val="22"/>
          <w:color w:val="auto"/>
        </w:rPr>
        <w:t>” means, as of any Conversion Date or other date of determination the lower of (i) $7.00 per Common Share (the “</w:t>
      </w:r>
      <w:r>
        <w:rPr>
          <w:rFonts w:ascii="Times New Roman" w:cs="Times New Roman" w:eastAsia="Times New Roman" w:hAnsi="Times New Roman"/>
          <w:sz w:val="22"/>
          <w:szCs w:val="22"/>
          <w:u w:val="single" w:color="auto"/>
          <w:color w:val="auto"/>
        </w:rPr>
        <w:t>Fixed Price</w:t>
      </w:r>
      <w:r>
        <w:rPr>
          <w:rFonts w:ascii="Times New Roman" w:cs="Times New Roman" w:eastAsia="Times New Roman" w:hAnsi="Times New Roman"/>
          <w:sz w:val="22"/>
          <w:szCs w:val="22"/>
          <w:color w:val="auto"/>
        </w:rPr>
        <w:t>”), or (ii) 95% of the lowest daily VWAP during the 5 consecutive Trading Days immediately preceding the Conversion Date or other date of determination (the “</w:t>
      </w:r>
      <w:r>
        <w:rPr>
          <w:rFonts w:ascii="Times New Roman" w:cs="Times New Roman" w:eastAsia="Times New Roman" w:hAnsi="Times New Roman"/>
          <w:sz w:val="22"/>
          <w:szCs w:val="22"/>
          <w:u w:val="single" w:color="auto"/>
          <w:color w:val="auto"/>
        </w:rPr>
        <w:t>Variable Price</w:t>
      </w:r>
      <w:r>
        <w:rPr>
          <w:rFonts w:ascii="Times New Roman" w:cs="Times New Roman" w:eastAsia="Times New Roman" w:hAnsi="Times New Roman"/>
          <w:sz w:val="22"/>
          <w:szCs w:val="22"/>
          <w:color w:val="auto"/>
        </w:rPr>
        <w:t>”), but which Variable Price shall not be lower than $1.59 per Common Share (the “</w:t>
      </w:r>
      <w:r>
        <w:rPr>
          <w:rFonts w:ascii="Times New Roman" w:cs="Times New Roman" w:eastAsia="Times New Roman" w:hAnsi="Times New Roman"/>
          <w:sz w:val="22"/>
          <w:szCs w:val="22"/>
          <w:u w:val="single" w:color="auto"/>
          <w:color w:val="auto"/>
        </w:rPr>
        <w:t>Floor Price</w:t>
      </w:r>
      <w:r>
        <w:rPr>
          <w:rFonts w:ascii="Times New Roman" w:cs="Times New Roman" w:eastAsia="Times New Roman" w:hAnsi="Times New Roman"/>
          <w:sz w:val="22"/>
          <w:szCs w:val="22"/>
          <w:color w:val="auto"/>
        </w:rPr>
        <w:t>”). The Conversion Price shall be adjusted from time to time pursuant to the other terms and conditions of this Note.</w:t>
      </w:r>
    </w:p>
    <w:p>
      <w:pPr>
        <w:spacing w:after="0" w:line="179"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Exhibit I attached to each of the Convertible Debentures is hereby deleted in its entirety.</w:t>
      </w:r>
    </w:p>
    <w:p>
      <w:pPr>
        <w:spacing w:after="0" w:line="200" w:lineRule="exact"/>
        <w:rPr>
          <w:sz w:val="20"/>
          <w:szCs w:val="20"/>
          <w:color w:val="auto"/>
        </w:rPr>
      </w:pPr>
    </w:p>
    <w:p>
      <w:pPr>
        <w:spacing w:after="0" w:line="2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2"/>
          <w:szCs w:val="22"/>
          <w:b w:val="1"/>
          <w:bCs w:val="1"/>
          <w:color w:val="auto"/>
        </w:rPr>
        <w:t xml:space="preserve">SECTION 2. </w:t>
      </w:r>
      <w:r>
        <w:rPr>
          <w:rFonts w:ascii="Times New Roman" w:cs="Times New Roman" w:eastAsia="Times New Roman" w:hAnsi="Times New Roman"/>
          <w:sz w:val="22"/>
          <w:szCs w:val="22"/>
          <w:i w:val="1"/>
          <w:iCs w:val="1"/>
          <w:color w:val="auto"/>
        </w:rPr>
        <w:t>Early Repayment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or about the date hereof, the Company shall make an early repayment in the amount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$2,000,000, which amount shall be applied by the Investor as a repayment of $2,000,000 of the Principal amount outstanding under the Second Debenture. The Investor hereby waives any the notice requirement and any Redemption Premium with respect to this early payment.</w:t>
      </w:r>
    </w:p>
    <w:p>
      <w:pPr>
        <w:spacing w:after="0" w:line="1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b w:val="1"/>
          <w:bCs w:val="1"/>
          <w:color w:val="auto"/>
        </w:rPr>
        <w:t xml:space="preserve">SECTION 3. </w:t>
      </w:r>
      <w:r>
        <w:rPr>
          <w:rFonts w:ascii="Times New Roman" w:cs="Times New Roman" w:eastAsia="Times New Roman" w:hAnsi="Times New Roman"/>
          <w:sz w:val="22"/>
          <w:szCs w:val="22"/>
          <w:i w:val="1"/>
          <w:iCs w:val="1"/>
          <w:color w:val="auto"/>
        </w:rPr>
        <w:t>Amendments Effect; Continuing Validity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Convertible Debentures are amended to the extent necessary to give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 to this Agreement, and the terms of this Agreement shall supersede any contrary terms in the Convertible Debentures. Each reference to the “Debenture” in the Convertible Debentures shall be deemed to refer to the Debenture as modified by this Agreement. Except as specifically set forth herein, the terms and conditions of the Convertible Debentures shall remain unmodified and are hereby ratified by the parties. The</w:t>
      </w:r>
    </w:p>
    <w:p>
      <w:pPr>
        <w:sectPr>
          <w:pgSz w:w="11900" w:h="16838" w:orient="portrait"/>
          <w:cols w:equalWidth="0" w:num="1">
            <w:col w:w="11240"/>
          </w:cols>
          <w:pgMar w:left="320" w:top="1422" w:right="339" w:bottom="1440" w:gutter="0" w:footer="0" w:header="0"/>
        </w:sectPr>
      </w:pPr>
    </w:p>
    <w:bookmarkStart w:id="88" w:name="page89"/>
    <w:bookmarkEnd w:id="88"/>
    <w:p>
      <w:pPr>
        <w:jc w:val="both"/>
        <w:spacing w:after="0" w:line="263" w:lineRule="auto"/>
        <w:rPr>
          <w:sz w:val="20"/>
          <w:szCs w:val="20"/>
          <w:color w:val="auto"/>
        </w:rPr>
      </w:pPr>
      <w:r>
        <w:rPr>
          <w:rFonts w:ascii="Times New Roman" w:cs="Times New Roman" w:eastAsia="Times New Roman" w:hAnsi="Times New Roman"/>
          <w:sz w:val="22"/>
          <w:szCs w:val="22"/>
          <w:color w:val="auto"/>
        </w:rPr>
        <w:t>Company acknowledges and agrees that, except as otherwise expressly provided in this Agreement, all terms, conditions and provisions of the Convertible Debentures shall continue in full force and effect and remain unaffected and unchanged and that the amount owed under the Convertible Debentures (the “</w:t>
      </w:r>
      <w:r>
        <w:rPr>
          <w:rFonts w:ascii="Times New Roman" w:cs="Times New Roman" w:eastAsia="Times New Roman" w:hAnsi="Times New Roman"/>
          <w:sz w:val="22"/>
          <w:szCs w:val="22"/>
          <w:u w:val="single" w:color="auto"/>
          <w:color w:val="auto"/>
        </w:rPr>
        <w:t>Outstanding Debt</w:t>
      </w:r>
      <w:r>
        <w:rPr>
          <w:rFonts w:ascii="Times New Roman" w:cs="Times New Roman" w:eastAsia="Times New Roman" w:hAnsi="Times New Roman"/>
          <w:sz w:val="22"/>
          <w:szCs w:val="22"/>
          <w:color w:val="auto"/>
        </w:rPr>
        <w:t xml:space="preserve">”) is as shown on </w:t>
      </w:r>
      <w:r>
        <w:rPr>
          <w:rFonts w:ascii="Times New Roman" w:cs="Times New Roman" w:eastAsia="Times New Roman" w:hAnsi="Times New Roman"/>
          <w:sz w:val="22"/>
          <w:szCs w:val="22"/>
          <w:u w:val="single" w:color="auto"/>
          <w:color w:val="auto"/>
        </w:rPr>
        <w:t>Annex 1</w:t>
      </w:r>
      <w:r>
        <w:rPr>
          <w:rFonts w:ascii="Times New Roman" w:cs="Times New Roman" w:eastAsia="Times New Roman" w:hAnsi="Times New Roman"/>
          <w:sz w:val="22"/>
          <w:szCs w:val="22"/>
          <w:color w:val="auto"/>
        </w:rPr>
        <w:t xml:space="preserve"> attached hereto. This Agreement in no way acts as a release or relinquishment of, and in no way affects any rights created by or arising under the Convertible Debentures.</w:t>
      </w:r>
    </w:p>
    <w:p>
      <w:pPr>
        <w:spacing w:after="0" w:line="17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2"/>
          <w:szCs w:val="22"/>
          <w:b w:val="1"/>
          <w:bCs w:val="1"/>
          <w:color w:val="auto"/>
        </w:rPr>
        <w:t xml:space="preserve">Section 4. </w:t>
      </w:r>
      <w:r>
        <w:rPr>
          <w:rFonts w:ascii="Times New Roman" w:cs="Times New Roman" w:eastAsia="Times New Roman" w:hAnsi="Times New Roman"/>
          <w:sz w:val="22"/>
          <w:szCs w:val="22"/>
          <w:i w:val="1"/>
          <w:iCs w:val="1"/>
          <w:color w:val="auto"/>
        </w:rPr>
        <w:t>This Agreement One of the Transaction Documents</w:t>
      </w:r>
      <w:r>
        <w:rPr>
          <w:rFonts w:ascii="Times New Roman" w:cs="Times New Roman" w:eastAsia="Times New Roman" w:hAnsi="Times New Roman"/>
          <w:sz w:val="22"/>
          <w:szCs w:val="22"/>
          <w:color w:val="auto"/>
        </w:rPr>
        <w:t>. From and after the date hereof, this Agreement is and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 part of the Convertible Debentures. An event of default under this Agreement shall constitute an Event of Default under the Convertible Debentures.</w:t>
      </w:r>
    </w:p>
    <w:p>
      <w:pPr>
        <w:spacing w:after="0" w:line="16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1"/>
          <w:szCs w:val="21"/>
          <w:b w:val="1"/>
          <w:bCs w:val="1"/>
          <w:color w:val="auto"/>
        </w:rPr>
        <w:t xml:space="preserve">Section 5. </w:t>
      </w:r>
      <w:r>
        <w:rPr>
          <w:rFonts w:ascii="Times New Roman" w:cs="Times New Roman" w:eastAsia="Times New Roman" w:hAnsi="Times New Roman"/>
          <w:sz w:val="21"/>
          <w:szCs w:val="21"/>
          <w:i w:val="1"/>
          <w:iCs w:val="1"/>
          <w:color w:val="auto"/>
        </w:rPr>
        <w:t>Guarantors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of the guarantors listed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Annex 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attached hereto (such parties, whether one or more, being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referred to collectively as “</w:t>
      </w:r>
      <w:r>
        <w:rPr>
          <w:rFonts w:ascii="Times New Roman" w:cs="Times New Roman" w:eastAsia="Times New Roman" w:hAnsi="Times New Roman"/>
          <w:sz w:val="21"/>
          <w:szCs w:val="21"/>
          <w:u w:val="single" w:color="auto"/>
          <w:color w:val="auto"/>
        </w:rPr>
        <w:t>Guarantors</w:t>
      </w:r>
      <w:r>
        <w:rPr>
          <w:rFonts w:ascii="Times New Roman" w:cs="Times New Roman" w:eastAsia="Times New Roman" w:hAnsi="Times New Roman"/>
          <w:sz w:val="21"/>
          <w:szCs w:val="21"/>
          <w:color w:val="auto"/>
        </w:rPr>
        <w:t>”), hereby (i) acknowledge and consent to the terms and conditions of this Amendment, (ii) affirm their respective Obligations under the Transaction Documents and any other agreement under which any of the Guarantors has granted to Investor a guaranty in favor of Investor; and (iii) confirm that the Transaction Documents and any other agreement under which any of the Guarantors has granted to the Investor a guaranty in favor of Investor remain in full force and effect.</w:t>
      </w:r>
    </w:p>
    <w:p>
      <w:pPr>
        <w:spacing w:after="0" w:line="16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b w:val="1"/>
          <w:bCs w:val="1"/>
          <w:color w:val="auto"/>
        </w:rPr>
        <w:t xml:space="preserve">Section 6. </w:t>
      </w:r>
      <w:r>
        <w:rPr>
          <w:rFonts w:ascii="Times New Roman" w:cs="Times New Roman" w:eastAsia="Times New Roman" w:hAnsi="Times New Roman"/>
          <w:sz w:val="21"/>
          <w:szCs w:val="21"/>
          <w:i w:val="1"/>
          <w:iCs w:val="1"/>
          <w:color w:val="auto"/>
        </w:rPr>
        <w:t>Maximum Shares</w:t>
      </w:r>
      <w:r>
        <w:rPr>
          <w:rFonts w:ascii="Arial" w:cs="Arial" w:eastAsia="Arial" w:hAnsi="Arial"/>
          <w:sz w:val="18"/>
          <w:szCs w:val="18"/>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anything in this Agreement or in the Convertible Debentures to the contrary, from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after the date hereof, the Company shall not issue any Common Shares pursuant to the Convertible Debentures or any other Transaction Documents if the issuance of Common Shares would exceed the aggregate number of Common Shares that the Company may issue in this transaction, and any transaction aggregated with this transaction, in compliance with the Company’s obligations under the rules or regulations of The Nasdaq Stock Market LLC (“</w:t>
      </w:r>
      <w:r>
        <w:rPr>
          <w:rFonts w:ascii="Times New Roman" w:cs="Times New Roman" w:eastAsia="Times New Roman" w:hAnsi="Times New Roman"/>
          <w:sz w:val="21"/>
          <w:szCs w:val="21"/>
          <w:u w:val="single" w:color="auto"/>
          <w:color w:val="auto"/>
        </w:rPr>
        <w:t>Nasdaq</w:t>
      </w:r>
      <w:r>
        <w:rPr>
          <w:rFonts w:ascii="Times New Roman" w:cs="Times New Roman" w:eastAsia="Times New Roman" w:hAnsi="Times New Roman"/>
          <w:sz w:val="21"/>
          <w:szCs w:val="21"/>
          <w:color w:val="auto"/>
        </w:rPr>
        <w:t>”) (the number of shares which may be issued without violating such rules and regulations being referred to as the “</w:t>
      </w:r>
      <w:r>
        <w:rPr>
          <w:rFonts w:ascii="Times New Roman" w:cs="Times New Roman" w:eastAsia="Times New Roman" w:hAnsi="Times New Roman"/>
          <w:sz w:val="21"/>
          <w:szCs w:val="21"/>
          <w:u w:val="single" w:color="auto"/>
          <w:color w:val="auto"/>
        </w:rPr>
        <w:t>Exchange Cap</w:t>
      </w:r>
      <w:r>
        <w:rPr>
          <w:rFonts w:ascii="Times New Roman" w:cs="Times New Roman" w:eastAsia="Times New Roman" w:hAnsi="Times New Roman"/>
          <w:sz w:val="21"/>
          <w:szCs w:val="21"/>
          <w:color w:val="auto"/>
        </w:rPr>
        <w:t>”), except that such limitation shall not apply in the event that the Company (A) obtains the approval of its stockholders as required by the applicable rules of the Nasdaq for issuances of Common Shares in excess of such amount or (B) obtains a written opinion from outside counsel to the Company that such approval is not required, which opinion shall be reasonably satisfactory to the Investor. The Exchange Cap shall be appropriately adjusted for any stock dividend, stock split, reverse stock split or similar transaction.</w:t>
      </w:r>
    </w:p>
    <w:p>
      <w:pPr>
        <w:spacing w:after="0" w:line="1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7. </w:t>
      </w:r>
      <w:r>
        <w:rPr>
          <w:rFonts w:ascii="Times New Roman" w:cs="Times New Roman" w:eastAsia="Times New Roman" w:hAnsi="Times New Roman"/>
          <w:sz w:val="22"/>
          <w:szCs w:val="22"/>
          <w:i w:val="1"/>
          <w:iCs w:val="1"/>
          <w:color w:val="auto"/>
        </w:rPr>
        <w:t>Registration Statement.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filed a registration statement (File No. 333-286558) (the “</w:t>
      </w:r>
      <w:r>
        <w:rPr>
          <w:rFonts w:ascii="Times New Roman" w:cs="Times New Roman" w:eastAsia="Times New Roman" w:hAnsi="Times New Roman"/>
          <w:sz w:val="22"/>
          <w:szCs w:val="22"/>
          <w:u w:val="single" w:color="auto"/>
          <w:color w:val="auto"/>
        </w:rPr>
        <w:t>Registration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Statement</w:t>
      </w:r>
      <w:r>
        <w:rPr>
          <w:rFonts w:ascii="Times New Roman" w:cs="Times New Roman" w:eastAsia="Times New Roman" w:hAnsi="Times New Roman"/>
          <w:sz w:val="22"/>
          <w:szCs w:val="22"/>
          <w:color w:val="auto"/>
        </w:rPr>
        <w:t>”) for the resale by the Investor of up to 3,000,000 Common Shares issuable pursuant to conversion of the Convertible Debentures, among other shares. The Company shall promptly take all steps necessary to update, supplement, or amend the Registration Statement and the prospectus contained therein for the amendments to the Convertible Debentures set forth in this Agreement to the extent necessary to allow the Investor to continue to utilize such Registration Statement and prospectus in connection with the resale of up to 3,000,000 Common Shares set forth therein.</w:t>
      </w:r>
    </w:p>
    <w:p>
      <w:pPr>
        <w:sectPr>
          <w:pgSz w:w="11900" w:h="16838" w:orient="portrait"/>
          <w:cols w:equalWidth="0" w:num="1">
            <w:col w:w="11240"/>
          </w:cols>
          <w:pgMar w:left="320" w:top="1422" w:right="339" w:bottom="1440" w:gutter="0" w:footer="0" w:header="0"/>
        </w:sectPr>
      </w:pPr>
    </w:p>
    <w:bookmarkStart w:id="89" w:name="page90"/>
    <w:bookmarkEnd w:id="89"/>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Section 8. </w:t>
      </w: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governed by and construed in accordance with the laws of the State of New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York. This Agreement may be executed in counterparts, each of which, when so executed, shall be deemed an original, but all such counterparts, taken together, shall constitute one and the same instrument. Delivery of an executed counterpart of this Agreement electronically shall be equally as effective as delivery of a manually executed counterpart of this Agreement. No waiver of any provision of this Agreement shall be effective or enforceable unless made in writing signed by the party waiving any right or privilege hereunder.</w:t>
      </w:r>
    </w:p>
    <w:p>
      <w:pPr>
        <w:spacing w:after="0" w:line="200" w:lineRule="exact"/>
        <w:rPr>
          <w:sz w:val="20"/>
          <w:szCs w:val="20"/>
          <w:color w:val="auto"/>
        </w:rPr>
      </w:pPr>
    </w:p>
    <w:p>
      <w:pPr>
        <w:spacing w:after="0" w:line="370" w:lineRule="exact"/>
        <w:rPr>
          <w:sz w:val="20"/>
          <w:szCs w:val="20"/>
          <w:color w:val="auto"/>
        </w:rPr>
      </w:pPr>
    </w:p>
    <w:p>
      <w:pPr>
        <w:jc w:val="both"/>
        <w:ind w:firstLine="324"/>
        <w:spacing w:after="0" w:line="287"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each of the Guarantors and the Investor have caused this Amendment to be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by a duly authorized representative as of the date first written above.</w:t>
      </w:r>
    </w:p>
    <w:p>
      <w:pPr>
        <w:spacing w:after="0" w:line="200" w:lineRule="exact"/>
        <w:rPr>
          <w:sz w:val="20"/>
          <w:szCs w:val="20"/>
          <w:color w:val="auto"/>
        </w:rPr>
      </w:pPr>
    </w:p>
    <w:p>
      <w:pPr>
        <w:spacing w:after="0" w:line="3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color w:val="auto"/>
        </w:rPr>
        <w:t>INNVENTURE, INC.</w:t>
      </w:r>
    </w:p>
    <w:p>
      <w:pPr>
        <w:spacing w:after="0" w:line="200" w:lineRule="exact"/>
        <w:rPr>
          <w:sz w:val="20"/>
          <w:szCs w:val="20"/>
          <w:color w:val="auto"/>
        </w:rPr>
      </w:pPr>
    </w:p>
    <w:p>
      <w:pPr>
        <w:spacing w:after="0" w:line="361"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-13970</wp:posOffset>
            </wp:positionV>
            <wp:extent cx="17310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31010" cy="8255"/>
                    </a:xfrm>
                    <a:prstGeom prst="rect">
                      <a:avLst/>
                    </a:prstGeom>
                    <a:noFill/>
                  </pic:spPr>
                </pic:pic>
              </a:graphicData>
            </a:graphic>
          </wp:anchor>
        </w:drawing>
      </w:r>
    </w:p>
    <w:p>
      <w:pPr>
        <w:spacing w:after="0" w:line="38" w:lineRule="exact"/>
        <w:rPr>
          <w:sz w:val="20"/>
          <w:szCs w:val="20"/>
          <w:color w:val="auto"/>
        </w:rPr>
      </w:pPr>
    </w:p>
    <w:p>
      <w:pPr>
        <w:ind w:left="5660"/>
        <w:spacing w:after="0"/>
        <w:tabs>
          <w:tab w:leader="none" w:pos="6500" w:val="left"/>
        </w:tabs>
        <w:rPr>
          <w:sz w:val="20"/>
          <w:szCs w:val="20"/>
          <w:color w:val="auto"/>
        </w:rPr>
      </w:pPr>
      <w:r>
        <w:rPr>
          <w:rFonts w:ascii="Times New Roman" w:cs="Times New Roman" w:eastAsia="Times New Roman" w:hAnsi="Times New Roman"/>
          <w:sz w:val="22"/>
          <w:szCs w:val="22"/>
          <w:color w:val="auto"/>
        </w:rPr>
        <w:t>Name:</w:t>
        <w:tab/>
        <w:t>David Yablunosky</w:t>
      </w:r>
    </w:p>
    <w:p>
      <w:pPr>
        <w:spacing w:after="0" w:line="71" w:lineRule="exact"/>
        <w:rPr>
          <w:sz w:val="20"/>
          <w:szCs w:val="20"/>
          <w:color w:val="auto"/>
        </w:rPr>
      </w:pPr>
    </w:p>
    <w:p>
      <w:pPr>
        <w:ind w:left="5660"/>
        <w:spacing w:after="0"/>
        <w:tabs>
          <w:tab w:leader="none" w:pos="6380" w:val="left"/>
        </w:tabs>
        <w:rPr>
          <w:sz w:val="20"/>
          <w:szCs w:val="20"/>
          <w:color w:val="auto"/>
        </w:rPr>
      </w:pPr>
      <w:r>
        <w:rPr>
          <w:rFonts w:ascii="Times New Roman" w:cs="Times New Roman" w:eastAsia="Times New Roman" w:hAnsi="Times New Roman"/>
          <w:sz w:val="22"/>
          <w:szCs w:val="22"/>
          <w:color w:val="auto"/>
        </w:rPr>
        <w:t>Title:</w:t>
        <w:tab/>
        <w:t>Chief Financial Officer</w:t>
      </w:r>
    </w:p>
    <w:p>
      <w:pPr>
        <w:sectPr>
          <w:pgSz w:w="11900" w:h="16838" w:orient="portrait"/>
          <w:cols w:equalWidth="0" w:num="1">
            <w:col w:w="11240"/>
          </w:cols>
          <w:pgMar w:left="320" w:top="1418" w:right="339" w:bottom="1440" w:gutter="0" w:footer="0" w:header="0"/>
        </w:sectPr>
      </w:pPr>
    </w:p>
    <w:bookmarkStart w:id="90" w:name="page91"/>
    <w:bookmarkEnd w:id="90"/>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7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YA II PN, LTD.</w:t>
      </w:r>
    </w:p>
    <w:p>
      <w:pPr>
        <w:spacing w:after="0" w:line="6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Yorkville Advisors Global, LP</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Its: Investment Manger</w:t>
      </w:r>
    </w:p>
    <w:p>
      <w:pPr>
        <w:spacing w:after="0" w:line="22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color w:val="auto"/>
        </w:rPr>
        <w:t>By: Yorkville Advisors Global II, LLC</w:t>
      </w:r>
    </w:p>
    <w:p>
      <w:pPr>
        <w:spacing w:after="0" w:line="4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88" w:lineRule="exact"/>
        <w:rPr>
          <w:sz w:val="20"/>
          <w:szCs w:val="20"/>
          <w:color w:val="auto"/>
        </w:rPr>
      </w:pPr>
    </w:p>
    <w:p>
      <w:pPr>
        <w:ind w:left="4540"/>
        <w:spacing w:after="0"/>
        <w:tabs>
          <w:tab w:leader="none" w:pos="5100" w:val="left"/>
        </w:tabs>
        <w:rPr>
          <w:sz w:val="20"/>
          <w:szCs w:val="20"/>
          <w:color w:val="auto"/>
        </w:rPr>
      </w:pPr>
      <w:r>
        <w:rPr>
          <w:rFonts w:ascii="Times New Roman" w:cs="Times New Roman" w:eastAsia="Times New Roman" w:hAnsi="Times New Roman"/>
          <w:sz w:val="22"/>
          <w:szCs w:val="22"/>
          <w:color w:val="auto"/>
        </w:rPr>
        <w:t>By:</w:t>
        <w:tab/>
        <w:t>/s/ Matt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-13970</wp:posOffset>
            </wp:positionV>
            <wp:extent cx="15240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24000" cy="8255"/>
                    </a:xfrm>
                    <a:prstGeom prst="rect">
                      <a:avLst/>
                    </a:prstGeom>
                    <a:noFill/>
                  </pic:spPr>
                </pic:pic>
              </a:graphicData>
            </a:graphic>
          </wp:anchor>
        </w:drawing>
      </w:r>
    </w:p>
    <w:p>
      <w:pPr>
        <w:spacing w:after="0" w:line="3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Matt Beckman</w:t>
      </w:r>
    </w:p>
    <w:p>
      <w:pPr>
        <w:spacing w:after="0" w:line="7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Managing Member</w:t>
      </w:r>
    </w:p>
    <w:p>
      <w:pPr>
        <w:sectPr>
          <w:pgSz w:w="11900" w:h="16838" w:orient="portrait"/>
          <w:cols w:equalWidth="0" w:num="1">
            <w:col w:w="9019"/>
          </w:cols>
          <w:pgMar w:left="1440" w:top="1440" w:right="1440" w:bottom="1440" w:gutter="0" w:footer="0" w:header="0"/>
        </w:sectPr>
      </w:pPr>
    </w:p>
    <w:bookmarkStart w:id="91" w:name="page92"/>
    <w:bookmarkEnd w:id="91"/>
    <w:p>
      <w:pPr>
        <w:jc w:val="right"/>
        <w:ind w:right="4319"/>
        <w:spacing w:after="0"/>
        <w:rPr>
          <w:sz w:val="20"/>
          <w:szCs w:val="20"/>
          <w:color w:val="auto"/>
        </w:rPr>
      </w:pPr>
      <w:r>
        <w:rPr>
          <w:rFonts w:ascii="Times New Roman" w:cs="Times New Roman" w:eastAsia="Times New Roman" w:hAnsi="Times New Roman"/>
          <w:sz w:val="22"/>
          <w:szCs w:val="22"/>
          <w:b w:val="1"/>
          <w:bCs w:val="1"/>
          <w:color w:val="auto"/>
        </w:rPr>
        <w:t>INNVENTURE LLC</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By: /s/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1720850</wp:posOffset>
            </wp:positionH>
            <wp:positionV relativeFrom="paragraph">
              <wp:posOffset>-13970</wp:posOffset>
            </wp:positionV>
            <wp:extent cx="15938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93850" cy="8255"/>
                    </a:xfrm>
                    <a:prstGeom prst="rect">
                      <a:avLst/>
                    </a:prstGeom>
                    <a:noFill/>
                  </pic:spPr>
                </pic:pic>
              </a:graphicData>
            </a:graphic>
          </wp:anchor>
        </w:drawing>
      </w:r>
    </w:p>
    <w:p>
      <w:pPr>
        <w:spacing w:after="0" w:line="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Name: David Yablunosky</w:t>
      </w:r>
    </w:p>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Chief Financial Officer</w:t>
      </w:r>
    </w:p>
    <w:p>
      <w:pPr>
        <w:sectPr>
          <w:pgSz w:w="11900" w:h="16838" w:orient="portrait"/>
          <w:cols w:equalWidth="0" w:num="1">
            <w:col w:w="9019"/>
          </w:cols>
          <w:pgMar w:left="1440" w:top="1418" w:right="1440" w:bottom="1440" w:gutter="0" w:footer="0" w:header="0"/>
        </w:sectPr>
      </w:pPr>
    </w:p>
    <w:bookmarkStart w:id="92" w:name="page93"/>
    <w:bookmarkEnd w:id="92"/>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Annex 1</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(Outstanding Debt as of September 15, 2025 (prior to</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application of the early repayment set forth in in Section 2))</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27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Debenture Number</w:t>
            </w:r>
          </w:p>
        </w:tc>
        <w:tc>
          <w:tcPr>
            <w:tcW w:w="20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Issue Date</w:t>
            </w:r>
          </w:p>
        </w:tc>
        <w:tc>
          <w:tcPr>
            <w:tcW w:w="2160" w:type="dxa"/>
            <w:vAlign w:val="bottom"/>
            <w:tcBorders>
              <w:top w:val="single" w:sz="8" w:color="auto"/>
              <w:right w:val="single" w:sz="8" w:color="auto"/>
            </w:tcBorders>
          </w:tcPr>
          <w:p>
            <w:pPr>
              <w:jc w:val="right"/>
              <w:ind w:right="1132"/>
              <w:spacing w:after="0"/>
              <w:rPr>
                <w:sz w:val="20"/>
                <w:szCs w:val="20"/>
                <w:color w:val="auto"/>
              </w:rPr>
            </w:pPr>
            <w:r>
              <w:rPr>
                <w:rFonts w:ascii="Times New Roman" w:cs="Times New Roman" w:eastAsia="Times New Roman" w:hAnsi="Times New Roman"/>
                <w:sz w:val="22"/>
                <w:szCs w:val="22"/>
                <w:b w:val="1"/>
                <w:bCs w:val="1"/>
                <w:color w:val="auto"/>
              </w:rPr>
              <w:t>Principal</w:t>
            </w:r>
          </w:p>
        </w:tc>
        <w:tc>
          <w:tcPr>
            <w:tcW w:w="2080" w:type="dxa"/>
            <w:vAlign w:val="bottom"/>
            <w:tcBorders>
              <w:top w:val="single" w:sz="8" w:color="auto"/>
              <w:right w:val="single" w:sz="8" w:color="auto"/>
            </w:tcBorders>
          </w:tcPr>
          <w:p>
            <w:pPr>
              <w:jc w:val="right"/>
              <w:ind w:right="1192"/>
              <w:spacing w:after="0"/>
              <w:rPr>
                <w:sz w:val="20"/>
                <w:szCs w:val="20"/>
                <w:color w:val="auto"/>
              </w:rPr>
            </w:pPr>
            <w:r>
              <w:rPr>
                <w:rFonts w:ascii="Times New Roman" w:cs="Times New Roman" w:eastAsia="Times New Roman" w:hAnsi="Times New Roman"/>
                <w:sz w:val="22"/>
                <w:szCs w:val="22"/>
                <w:b w:val="1"/>
                <w:bCs w:val="1"/>
                <w:color w:val="auto"/>
              </w:rPr>
              <w:t>Interest</w:t>
            </w:r>
          </w:p>
        </w:tc>
        <w:tc>
          <w:tcPr>
            <w:tcW w:w="2260" w:type="dxa"/>
            <w:vAlign w:val="bottom"/>
            <w:tcBorders>
              <w:top w:val="single" w:sz="8" w:color="auto"/>
              <w:right w:val="single" w:sz="8" w:color="auto"/>
            </w:tcBorders>
          </w:tcPr>
          <w:p>
            <w:pPr>
              <w:jc w:val="right"/>
              <w:ind w:right="1632"/>
              <w:spacing w:after="0"/>
              <w:rPr>
                <w:sz w:val="20"/>
                <w:szCs w:val="20"/>
                <w:color w:val="auto"/>
              </w:rPr>
            </w:pPr>
            <w:r>
              <w:rPr>
                <w:rFonts w:ascii="Times New Roman" w:cs="Times New Roman" w:eastAsia="Times New Roman" w:hAnsi="Times New Roman"/>
                <w:sz w:val="22"/>
                <w:szCs w:val="22"/>
                <w:b w:val="1"/>
                <w:bCs w:val="1"/>
                <w:color w:val="auto"/>
                <w:w w:val="99"/>
              </w:rPr>
              <w:t>Total</w:t>
            </w:r>
          </w:p>
        </w:tc>
      </w:tr>
      <w:tr>
        <w:trPr>
          <w:trHeight w:val="28"/>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89"/>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INV-1</w:t>
            </w:r>
          </w:p>
        </w:tc>
        <w:tc>
          <w:tcPr>
            <w:tcW w:w="2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04/14/2025</w:t>
            </w:r>
          </w:p>
        </w:tc>
        <w:tc>
          <w:tcPr>
            <w:tcW w:w="2160" w:type="dxa"/>
            <w:vAlign w:val="bottom"/>
            <w:tcBorders>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w w:val="98"/>
              </w:rPr>
              <w:t>$13,676,147</w:t>
            </w:r>
          </w:p>
        </w:tc>
        <w:tc>
          <w:tcPr>
            <w:tcW w:w="2080" w:type="dxa"/>
            <w:vAlign w:val="bottom"/>
            <w:tcBorders>
              <w:right w:val="single" w:sz="8" w:color="auto"/>
            </w:tcBorders>
          </w:tcPr>
          <w:p>
            <w:pPr>
              <w:jc w:val="right"/>
              <w:ind w:right="1472"/>
              <w:spacing w:after="0"/>
              <w:rPr>
                <w:sz w:val="20"/>
                <w:szCs w:val="20"/>
                <w:color w:val="auto"/>
              </w:rPr>
            </w:pPr>
            <w:r>
              <w:rPr>
                <w:rFonts w:ascii="Times New Roman" w:cs="Times New Roman" w:eastAsia="Times New Roman" w:hAnsi="Times New Roman"/>
                <w:sz w:val="22"/>
                <w:szCs w:val="22"/>
                <w:color w:val="auto"/>
                <w:w w:val="96"/>
              </w:rPr>
              <w:t>$0.00</w:t>
            </w:r>
          </w:p>
        </w:tc>
        <w:tc>
          <w:tcPr>
            <w:tcW w:w="2260" w:type="dxa"/>
            <w:vAlign w:val="bottom"/>
            <w:tcBorders>
              <w:right w:val="single" w:sz="8" w:color="auto"/>
            </w:tcBorders>
          </w:tcPr>
          <w:p>
            <w:pPr>
              <w:jc w:val="right"/>
              <w:ind w:right="1072"/>
              <w:spacing w:after="0"/>
              <w:rPr>
                <w:sz w:val="20"/>
                <w:szCs w:val="20"/>
                <w:color w:val="auto"/>
              </w:rPr>
            </w:pPr>
            <w:r>
              <w:rPr>
                <w:rFonts w:ascii="Times New Roman" w:cs="Times New Roman" w:eastAsia="Times New Roman" w:hAnsi="Times New Roman"/>
                <w:sz w:val="22"/>
                <w:szCs w:val="22"/>
                <w:color w:val="auto"/>
                <w:w w:val="96"/>
              </w:rPr>
              <w:t>$13,676,147</w:t>
            </w:r>
          </w:p>
        </w:tc>
      </w:tr>
      <w:tr>
        <w:trPr>
          <w:trHeight w:val="28"/>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89"/>
        </w:trPr>
        <w:tc>
          <w:tcPr>
            <w:tcW w:w="27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INV-2</w:t>
            </w:r>
          </w:p>
        </w:tc>
        <w:tc>
          <w:tcPr>
            <w:tcW w:w="2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05/15/2025</w:t>
            </w:r>
          </w:p>
        </w:tc>
        <w:tc>
          <w:tcPr>
            <w:tcW w:w="2160" w:type="dxa"/>
            <w:vAlign w:val="bottom"/>
            <w:tcBorders>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color w:val="auto"/>
                <w:w w:val="98"/>
              </w:rPr>
              <w:t>$10,000,000</w:t>
            </w:r>
          </w:p>
        </w:tc>
        <w:tc>
          <w:tcPr>
            <w:tcW w:w="2080" w:type="dxa"/>
            <w:vAlign w:val="bottom"/>
            <w:tcBorders>
              <w:right w:val="single" w:sz="8" w:color="auto"/>
            </w:tcBorders>
          </w:tcPr>
          <w:p>
            <w:pPr>
              <w:jc w:val="right"/>
              <w:ind w:right="1472"/>
              <w:spacing w:after="0"/>
              <w:rPr>
                <w:sz w:val="20"/>
                <w:szCs w:val="20"/>
                <w:color w:val="auto"/>
              </w:rPr>
            </w:pPr>
            <w:r>
              <w:rPr>
                <w:rFonts w:ascii="Times New Roman" w:cs="Times New Roman" w:eastAsia="Times New Roman" w:hAnsi="Times New Roman"/>
                <w:sz w:val="22"/>
                <w:szCs w:val="22"/>
                <w:color w:val="auto"/>
                <w:w w:val="96"/>
              </w:rPr>
              <w:t>$0.00</w:t>
            </w:r>
          </w:p>
        </w:tc>
        <w:tc>
          <w:tcPr>
            <w:tcW w:w="2260" w:type="dxa"/>
            <w:vAlign w:val="bottom"/>
            <w:tcBorders>
              <w:right w:val="single" w:sz="8" w:color="auto"/>
            </w:tcBorders>
          </w:tcPr>
          <w:p>
            <w:pPr>
              <w:jc w:val="right"/>
              <w:ind w:right="1072"/>
              <w:spacing w:after="0"/>
              <w:rPr>
                <w:sz w:val="20"/>
                <w:szCs w:val="20"/>
                <w:color w:val="auto"/>
              </w:rPr>
            </w:pPr>
            <w:r>
              <w:rPr>
                <w:rFonts w:ascii="Times New Roman" w:cs="Times New Roman" w:eastAsia="Times New Roman" w:hAnsi="Times New Roman"/>
                <w:sz w:val="22"/>
                <w:szCs w:val="22"/>
                <w:color w:val="auto"/>
                <w:w w:val="96"/>
              </w:rPr>
              <w:t>$10,000,000</w:t>
            </w:r>
          </w:p>
        </w:tc>
      </w:tr>
      <w:tr>
        <w:trPr>
          <w:trHeight w:val="28"/>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89"/>
        </w:trPr>
        <w:tc>
          <w:tcPr>
            <w:tcW w:w="2700" w:type="dxa"/>
            <w:vAlign w:val="bottom"/>
            <w:tcBorders>
              <w:left w:val="single" w:sz="8" w:color="auto"/>
              <w:right w:val="single" w:sz="8" w:color="auto"/>
            </w:tcBorders>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2160" w:type="dxa"/>
            <w:vAlign w:val="bottom"/>
            <w:tcBorders>
              <w:right w:val="single" w:sz="8" w:color="auto"/>
            </w:tcBorders>
          </w:tcPr>
          <w:p>
            <w:pPr>
              <w:jc w:val="right"/>
              <w:ind w:right="952"/>
              <w:spacing w:after="0"/>
              <w:rPr>
                <w:sz w:val="20"/>
                <w:szCs w:val="20"/>
                <w:color w:val="auto"/>
              </w:rPr>
            </w:pPr>
            <w:r>
              <w:rPr>
                <w:rFonts w:ascii="Times New Roman" w:cs="Times New Roman" w:eastAsia="Times New Roman" w:hAnsi="Times New Roman"/>
                <w:sz w:val="22"/>
                <w:szCs w:val="22"/>
                <w:b w:val="1"/>
                <w:bCs w:val="1"/>
                <w:color w:val="auto"/>
                <w:w w:val="98"/>
              </w:rPr>
              <w:t>$23,676,147</w:t>
            </w:r>
          </w:p>
        </w:tc>
        <w:tc>
          <w:tcPr>
            <w:tcW w:w="2080" w:type="dxa"/>
            <w:vAlign w:val="bottom"/>
            <w:tcBorders>
              <w:right w:val="single" w:sz="8" w:color="auto"/>
            </w:tcBorders>
          </w:tcPr>
          <w:p>
            <w:pPr>
              <w:jc w:val="right"/>
              <w:ind w:right="1472"/>
              <w:spacing w:after="0"/>
              <w:rPr>
                <w:sz w:val="20"/>
                <w:szCs w:val="20"/>
                <w:color w:val="auto"/>
              </w:rPr>
            </w:pPr>
            <w:r>
              <w:rPr>
                <w:rFonts w:ascii="Times New Roman" w:cs="Times New Roman" w:eastAsia="Times New Roman" w:hAnsi="Times New Roman"/>
                <w:sz w:val="22"/>
                <w:szCs w:val="22"/>
                <w:b w:val="1"/>
                <w:bCs w:val="1"/>
                <w:color w:val="auto"/>
                <w:w w:val="96"/>
              </w:rPr>
              <w:t>$0.00</w:t>
            </w:r>
          </w:p>
        </w:tc>
        <w:tc>
          <w:tcPr>
            <w:tcW w:w="2260" w:type="dxa"/>
            <w:vAlign w:val="bottom"/>
            <w:tcBorders>
              <w:right w:val="single" w:sz="8" w:color="auto"/>
            </w:tcBorders>
          </w:tcPr>
          <w:p>
            <w:pPr>
              <w:jc w:val="right"/>
              <w:ind w:right="1072"/>
              <w:spacing w:after="0"/>
              <w:rPr>
                <w:sz w:val="20"/>
                <w:szCs w:val="20"/>
                <w:color w:val="auto"/>
              </w:rPr>
            </w:pPr>
            <w:r>
              <w:rPr>
                <w:rFonts w:ascii="Times New Roman" w:cs="Times New Roman" w:eastAsia="Times New Roman" w:hAnsi="Times New Roman"/>
                <w:sz w:val="22"/>
                <w:szCs w:val="22"/>
                <w:b w:val="1"/>
                <w:bCs w:val="1"/>
                <w:color w:val="auto"/>
                <w:w w:val="96"/>
              </w:rPr>
              <w:t>$23,676,147</w:t>
            </w:r>
          </w:p>
        </w:tc>
      </w:tr>
      <w:tr>
        <w:trPr>
          <w:trHeight w:val="28"/>
        </w:trPr>
        <w:tc>
          <w:tcPr>
            <w:tcW w:w="2700" w:type="dxa"/>
            <w:vAlign w:val="bottom"/>
            <w:tcBorders>
              <w:left w:val="single" w:sz="8" w:color="auto"/>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18" w:right="319" w:bottom="1440" w:gutter="0" w:footer="0" w:header="0"/>
        </w:sectPr>
      </w:pPr>
    </w:p>
    <w:bookmarkStart w:id="93" w:name="page94"/>
    <w:bookmarkEnd w:id="93"/>
    <w:p>
      <w:pPr>
        <w:spacing w:after="0" w:line="1" w:lineRule="exact"/>
        <w:rPr>
          <w:sz w:val="20"/>
          <w:szCs w:val="20"/>
          <w:color w:val="auto"/>
        </w:rPr>
      </w:pPr>
    </w:p>
    <w:tbl>
      <w:tblPr>
        <w:tblLayout w:type="fixed"/>
        <w:tblInd w:w="101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80" w:type="dxa"/>
            <w:vAlign w:val="bottom"/>
            <w:gridSpan w:val="2"/>
          </w:tcPr>
          <w:p>
            <w:pPr>
              <w:jc w:val="center"/>
              <w:ind w:right="720"/>
              <w:spacing w:after="0"/>
              <w:rPr>
                <w:sz w:val="20"/>
                <w:szCs w:val="20"/>
                <w:color w:val="auto"/>
              </w:rPr>
            </w:pPr>
            <w:r>
              <w:rPr>
                <w:rFonts w:ascii="Times New Roman" w:cs="Times New Roman" w:eastAsia="Times New Roman" w:hAnsi="Times New Roman"/>
                <w:sz w:val="22"/>
                <w:szCs w:val="22"/>
                <w:b w:val="1"/>
                <w:bCs w:val="1"/>
                <w:color w:val="auto"/>
                <w:w w:val="97"/>
              </w:rPr>
              <w:t>Annex 2</w:t>
            </w:r>
          </w:p>
        </w:tc>
      </w:tr>
      <w:tr>
        <w:trPr>
          <w:trHeight w:val="20"/>
        </w:trPr>
        <w:tc>
          <w:tcPr>
            <w:tcW w:w="1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532"/>
        </w:trPr>
        <w:tc>
          <w:tcPr>
            <w:tcW w:w="1800" w:type="dxa"/>
            <w:vAlign w:val="bottom"/>
          </w:tcPr>
          <w:p>
            <w:pPr>
              <w:spacing w:after="0"/>
              <w:rPr>
                <w:sz w:val="24"/>
                <w:szCs w:val="24"/>
                <w:color w:val="auto"/>
              </w:rPr>
            </w:pPr>
          </w:p>
        </w:tc>
        <w:tc>
          <w:tcPr>
            <w:tcW w:w="2800" w:type="dxa"/>
            <w:vAlign w:val="bottom"/>
            <w:gridSpan w:val="3"/>
          </w:tcPr>
          <w:p>
            <w:pPr>
              <w:jc w:val="center"/>
              <w:ind w:left="512"/>
              <w:spacing w:after="0"/>
              <w:rPr>
                <w:sz w:val="20"/>
                <w:szCs w:val="20"/>
                <w:color w:val="auto"/>
              </w:rPr>
            </w:pPr>
            <w:r>
              <w:rPr>
                <w:rFonts w:ascii="Times New Roman" w:cs="Times New Roman" w:eastAsia="Times New Roman" w:hAnsi="Times New Roman"/>
                <w:sz w:val="22"/>
                <w:szCs w:val="22"/>
                <w:color w:val="auto"/>
                <w:w w:val="97"/>
              </w:rPr>
              <w:t>(Guarantors)</w:t>
            </w:r>
          </w:p>
        </w:tc>
      </w:tr>
      <w:tr>
        <w:trPr>
          <w:trHeight w:val="258"/>
        </w:trPr>
        <w:tc>
          <w:tcPr>
            <w:tcW w:w="18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3"/>
          </w:tcPr>
          <w:p>
            <w:pPr>
              <w:spacing w:after="0"/>
              <w:rPr>
                <w:sz w:val="22"/>
                <w:szCs w:val="22"/>
                <w:color w:val="auto"/>
              </w:rPr>
            </w:pPr>
          </w:p>
        </w:tc>
      </w:tr>
      <w:tr>
        <w:trPr>
          <w:trHeight w:val="323"/>
        </w:trPr>
        <w:tc>
          <w:tcPr>
            <w:tcW w:w="1800" w:type="dxa"/>
            <w:vAlign w:val="bottom"/>
            <w:tcBorders>
              <w:left w:val="single" w:sz="8" w:color="auto"/>
              <w:bottom w:val="single" w:sz="8" w:color="D0CECE"/>
              <w:right w:val="single" w:sz="8" w:color="auto"/>
            </w:tcBorders>
            <w:shd w:val="clear" w:color="auto" w:fill="D0CECE"/>
          </w:tcPr>
          <w:p>
            <w:pPr>
              <w:ind w:left="600"/>
              <w:spacing w:after="0"/>
              <w:rPr>
                <w:sz w:val="20"/>
                <w:szCs w:val="20"/>
                <w:color w:val="auto"/>
              </w:rPr>
            </w:pPr>
            <w:r>
              <w:rPr>
                <w:rFonts w:ascii="Times New Roman" w:cs="Times New Roman" w:eastAsia="Times New Roman" w:hAnsi="Times New Roman"/>
                <w:sz w:val="22"/>
                <w:szCs w:val="22"/>
                <w:b w:val="1"/>
                <w:bCs w:val="1"/>
                <w:color w:val="auto"/>
              </w:rPr>
              <w:t>Entity</w:t>
            </w:r>
          </w:p>
        </w:tc>
        <w:tc>
          <w:tcPr>
            <w:tcW w:w="2800" w:type="dxa"/>
            <w:vAlign w:val="bottom"/>
            <w:tcBorders>
              <w:bottom w:val="single" w:sz="8" w:color="D0CECE"/>
              <w:right w:val="single" w:sz="8" w:color="auto"/>
            </w:tcBorders>
            <w:gridSpan w:val="3"/>
            <w:shd w:val="clear" w:color="auto" w:fill="D0CECE"/>
          </w:tcPr>
          <w:p>
            <w:pPr>
              <w:ind w:left="180"/>
              <w:spacing w:after="0"/>
              <w:rPr>
                <w:sz w:val="20"/>
                <w:szCs w:val="20"/>
                <w:color w:val="auto"/>
              </w:rPr>
            </w:pPr>
            <w:r>
              <w:rPr>
                <w:rFonts w:ascii="Times New Roman" w:cs="Times New Roman" w:eastAsia="Times New Roman" w:hAnsi="Times New Roman"/>
                <w:sz w:val="22"/>
                <w:szCs w:val="22"/>
                <w:b w:val="1"/>
                <w:bCs w:val="1"/>
                <w:color w:val="auto"/>
              </w:rPr>
              <w:t>Jurisdiction of Formation</w:t>
            </w:r>
          </w:p>
        </w:tc>
      </w:tr>
      <w:tr>
        <w:trPr>
          <w:trHeight w:val="289"/>
        </w:trPr>
        <w:tc>
          <w:tcPr>
            <w:tcW w:w="18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Innventure, LLC</w:t>
            </w:r>
          </w:p>
        </w:tc>
        <w:tc>
          <w:tcPr>
            <w:tcW w:w="2800" w:type="dxa"/>
            <w:vAlign w:val="bottom"/>
            <w:tcBorders>
              <w:top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2"/>
                <w:szCs w:val="22"/>
                <w:color w:val="auto"/>
              </w:rPr>
              <w:t>Delaware, United States</w:t>
            </w:r>
          </w:p>
        </w:tc>
      </w:tr>
      <w:tr>
        <w:trPr>
          <w:trHeight w:val="28"/>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9019"/>
      </w:cols>
      <w:pgMar w:left="1440" w:top="139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1)"/>
      <w:numFmt w:val="decimal"/>
      <w:start w:val="1"/>
    </w:lvl>
    <w:lvl w:ilvl="1">
      <w:lvlJc w:val="left"/>
      <w:lvlText w:val="(%2)"/>
      <w:numFmt w:val="lowerLetter"/>
      <w:start w:val="1"/>
    </w:lvl>
  </w:abstractNum>
  <w:abstractNum w:abstractNumId="3">
    <w:nsid w:val="7E0C57B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5"/>
    </w:lvl>
    <w:lvl w:ilvl="3">
      <w:lvlJc w:val="left"/>
      <w:lvlText w:val="%4"/>
      <w:numFmt w:val="lowerRoman"/>
      <w:start w:val="1"/>
    </w:lvl>
  </w:abstractNum>
  <w:abstractNum w:abstractNumId="4">
    <w:nsid w:val="77AE35EB"/>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5">
    <w:nsid w:val="579BE4F1"/>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
    <w:nsid w:val="310C50B3"/>
    <w:multiLevelType w:val="hybridMultilevel"/>
    <w:lvl w:ilvl="0">
      <w:lvlJc w:val="left"/>
      <w:lvlText w:val="(%1)"/>
      <w:numFmt w:val="lowerRoman"/>
      <w:start w:val="3"/>
    </w:lvl>
  </w:abstractNum>
  <w:abstractNum w:abstractNumId="7">
    <w:nsid w:val="5FF87E05"/>
    <w:multiLevelType w:val="hybridMultilevel"/>
    <w:lvl w:ilvl="0">
      <w:lvlJc w:val="left"/>
      <w:lvlText w:val="%1"/>
      <w:numFmt w:val="lowerLetter"/>
      <w:start w:val="1"/>
    </w:lvl>
    <w:lvl w:ilvl="1">
      <w:lvlJc w:val="left"/>
      <w:lvlText w:val="(%2)"/>
      <w:numFmt w:val="lowerRoman"/>
      <w:start w:val="8"/>
    </w:lvl>
  </w:abstractNum>
  <w:abstractNum w:abstractNumId="8">
    <w:nsid w:val="2F305DEF"/>
    <w:multiLevelType w:val="hybridMultilevel"/>
    <w:lvl w:ilvl="0">
      <w:lvlJc w:val="left"/>
      <w:lvlText w:val="(%1)"/>
      <w:numFmt w:val="lowerLetter"/>
      <w:start w:val="2"/>
    </w:lvl>
    <w:lvl w:ilvl="1">
      <w:lvlJc w:val="left"/>
      <w:lvlText w:val="%2"/>
      <w:numFmt w:val="lowerRoman"/>
      <w:start w:val="1"/>
    </w:lvl>
  </w:abstractNum>
  <w:abstractNum w:abstractNumId="9">
    <w:nsid w:val="25A70BF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0">
    <w:nsid w:val="1DBABF00"/>
    <w:multiLevelType w:val="hybridMultilevel"/>
    <w:lvl w:ilvl="0">
      <w:lvlJc w:val="left"/>
      <w:lvlText w:val="%1"/>
      <w:numFmt w:val="lowerLetter"/>
      <w:start w:val="1"/>
    </w:lvl>
    <w:lvl w:ilvl="1">
      <w:lvlJc w:val="left"/>
      <w:lvlText w:val="(%2)"/>
      <w:numFmt w:val="lowerRoman"/>
      <w:start w:val="2"/>
    </w:lvl>
  </w:abstractNum>
  <w:abstractNum w:abstractNumId="11">
    <w:nsid w:val="4AD084E9"/>
    <w:multiLevelType w:val="hybridMultilevel"/>
    <w:lvl w:ilvl="0">
      <w:lvlJc w:val="left"/>
      <w:lvlText w:val="(%1)"/>
      <w:numFmt w:val="lowerLetter"/>
      <w:start w:val="3"/>
    </w:lvl>
    <w:lvl w:ilvl="1">
      <w:lvlJc w:val="left"/>
      <w:lvlText w:val="%2"/>
      <w:numFmt w:val="lowerRoman"/>
      <w:start w:val="1"/>
    </w:lvl>
  </w:abstractNum>
  <w:abstractNum w:abstractNumId="12">
    <w:nsid w:val="1F48EAA1"/>
    <w:multiLevelType w:val="hybridMultilevel"/>
    <w:lvl w:ilvl="0">
      <w:lvlJc w:val="left"/>
      <w:lvlText w:val="%1"/>
      <w:numFmt w:val="lowerLetter"/>
      <w:start w:val="1"/>
    </w:lvl>
    <w:lvl w:ilvl="1">
      <w:lvlJc w:val="left"/>
      <w:lvlText w:val="(%2)"/>
      <w:numFmt w:val="lowerLetter"/>
      <w:start w:val="35"/>
    </w:lvl>
  </w:abstractNum>
  <w:abstractNum w:abstractNumId="13">
    <w:nsid w:val="1381823A"/>
    <w:multiLevelType w:val="hybridMultilevel"/>
    <w:lvl w:ilvl="0">
      <w:lvlJc w:val="left"/>
      <w:lvlText w:val="(%1)"/>
      <w:numFmt w:val="lowerLetter"/>
      <w:start w:val="4"/>
    </w:lvl>
    <w:lvl w:ilvl="1">
      <w:lvlJc w:val="left"/>
      <w:lvlText w:val="(%2)"/>
      <w:numFmt w:val="lowerLetter"/>
      <w:start w:val="9"/>
    </w:lvl>
  </w:abstractNum>
  <w:abstractNum w:abstractNumId="14">
    <w:nsid w:val="5DB70AE5"/>
    <w:multiLevelType w:val="hybridMultilevel"/>
    <w:lvl w:ilvl="0">
      <w:lvlJc w:val="left"/>
      <w:lvlText w:val="(%1)"/>
      <w:numFmt w:val="lowerRoman"/>
      <w:start w:val="2"/>
    </w:lvl>
  </w:abstractNum>
  <w:abstractNum w:abstractNumId="15">
    <w:nsid w:val="100F8FCA"/>
    <w:multiLevelType w:val="hybridMultilevel"/>
    <w:lvl w:ilvl="0">
      <w:lvlJc w:val="left"/>
      <w:lvlText w:val="%1"/>
      <w:numFmt w:val="lowerLetter"/>
      <w:start w:val="1"/>
    </w:lvl>
    <w:lvl w:ilvl="1">
      <w:lvlJc w:val="left"/>
      <w:lvlText w:val="(%2)"/>
      <w:numFmt w:val="lowerRoman"/>
      <w:start w:val="3"/>
    </w:lvl>
  </w:abstractNum>
  <w:abstractNum w:abstractNumId="16">
    <w:nsid w:val="6590700B"/>
    <w:multiLevelType w:val="hybridMultilevel"/>
    <w:lvl w:ilvl="0">
      <w:lvlJc w:val="left"/>
      <w:lvlText w:val="(%1)"/>
      <w:numFmt w:val="lowerLetter"/>
      <w:start w:val="5"/>
    </w:lvl>
    <w:lvl w:ilvl="1">
      <w:lvlJc w:val="left"/>
      <w:lvlText w:val="%2"/>
      <w:numFmt w:val="lowerRoman"/>
      <w:start w:val="1"/>
    </w:lvl>
  </w:abstractNum>
  <w:abstractNum w:abstractNumId="17">
    <w:nsid w:val="15014ACB"/>
    <w:multiLevelType w:val="hybridMultilevel"/>
    <w:lvl w:ilvl="0">
      <w:lvlJc w:val="left"/>
      <w:lvlText w:val="(%1)"/>
      <w:numFmt w:val="lowerLetter"/>
      <w:start w:val="6"/>
    </w:lvl>
  </w:abstractNum>
  <w:abstractNum w:abstractNumId="18">
    <w:nsid w:val="5F5E7FD0"/>
    <w:multiLevelType w:val="hybridMultilevel"/>
    <w:lvl w:ilvl="0">
      <w:lvlJc w:val="left"/>
      <w:lvlText w:val="(%1)"/>
      <w:numFmt w:val="decimal"/>
      <w:start w:val="4"/>
    </w:lvl>
    <w:lvl w:ilvl="1">
      <w:lvlJc w:val="left"/>
      <w:lvlText w:val="(%2)"/>
      <w:numFmt w:val="lowerLetter"/>
      <w:start w:val="1"/>
    </w:lvl>
  </w:abstractNum>
  <w:abstractNum w:abstractNumId="19">
    <w:nsid w:val="98A3148"/>
    <w:multiLevelType w:val="hybridMultilevel"/>
    <w:lvl w:ilvl="0">
      <w:lvlJc w:val="left"/>
      <w:lvlText w:val="(%1)"/>
      <w:numFmt w:val="decimal"/>
      <w:start w:val="5"/>
    </w:lvl>
  </w:abstractNum>
  <w:abstractNum w:abstractNumId="20">
    <w:nsid w:val="799D024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1">
    <w:nsid w:val="6B94764"/>
    <w:multiLevelType w:val="hybridMultilevel"/>
    <w:lvl w:ilvl="0">
      <w:lvlJc w:val="left"/>
      <w:lvlText w:val="%1"/>
      <w:numFmt w:val="lowerLetter"/>
      <w:start w:val="1"/>
    </w:lvl>
    <w:lvl w:ilvl="1">
      <w:lvlJc w:val="left"/>
      <w:lvlText w:val="(%2)"/>
      <w:numFmt w:val="lowerRoman"/>
      <w:start w:val="4"/>
    </w:lvl>
  </w:abstractNum>
  <w:abstractNum w:abstractNumId="22">
    <w:nsid w:val="42C296BD"/>
    <w:multiLevelType w:val="hybridMultilevel"/>
    <w:lvl w:ilvl="0">
      <w:lvlJc w:val="left"/>
      <w:lvlText w:val="(%1)"/>
      <w:numFmt w:val="lowerLetter"/>
      <w:start w:val="3"/>
    </w:lvl>
    <w:lvl w:ilvl="1">
      <w:lvlJc w:val="left"/>
      <w:lvlText w:val="%2"/>
      <w:numFmt w:val="lowerRoman"/>
      <w:start w:val="1"/>
    </w:lvl>
  </w:abstractNum>
  <w:abstractNum w:abstractNumId="23">
    <w:nsid w:val="168E121F"/>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24">
    <w:nsid w:val="1EBA5D23"/>
    <w:multiLevelType w:val="hybridMultilevel"/>
    <w:lvl w:ilvl="0">
      <w:lvlJc w:val="left"/>
      <w:lvlText w:val="(%1)"/>
      <w:numFmt w:val="lowerLetter"/>
      <w:start w:val="35"/>
    </w:lvl>
    <w:lvl w:ilvl="1">
      <w:lvlJc w:val="left"/>
      <w:lvlText w:val="(%2)"/>
      <w:numFmt w:val="decimal"/>
      <w:start w:val="10"/>
    </w:lvl>
    <w:lvl w:ilvl="2">
      <w:lvlJc w:val="left"/>
      <w:lvlText w:val="(%3)"/>
      <w:numFmt w:val="lowerLetter"/>
      <w:start w:val="1"/>
    </w:lvl>
  </w:abstractNum>
  <w:abstractNum w:abstractNumId="25">
    <w:nsid w:val="661E3F1E"/>
    <w:multiLevelType w:val="hybridMultilevel"/>
    <w:lvl w:ilvl="0">
      <w:lvlJc w:val="left"/>
      <w:lvlText w:val="(%1)"/>
      <w:numFmt w:val="lowerLetter"/>
      <w:start w:val="4"/>
    </w:lvl>
  </w:abstractNum>
  <w:abstractNum w:abstractNumId="26">
    <w:nsid w:val="5DC79EA8"/>
    <w:multiLevelType w:val="hybridMultilevel"/>
    <w:lvl w:ilvl="0">
      <w:lvlJc w:val="left"/>
      <w:lvlText w:val="(%1)"/>
      <w:numFmt w:val="lowerLetter"/>
      <w:start w:val="14"/>
    </w:lvl>
  </w:abstractNum>
  <w:abstractNum w:abstractNumId="27">
    <w:nsid w:val="540A471C"/>
    <w:multiLevelType w:val="hybridMultilevel"/>
    <w:lvl w:ilvl="0">
      <w:lvlJc w:val="left"/>
      <w:lvlText w:val="(%1)"/>
      <w:numFmt w:val="lowerLetter"/>
      <w:start w:val="24"/>
    </w:lvl>
  </w:abstractNum>
  <w:abstractNum w:abstractNumId="28">
    <w:nsid w:val="7BD3EE7B"/>
    <w:multiLevelType w:val="hybridMultilevel"/>
    <w:lvl w:ilvl="0">
      <w:lvlJc w:val="left"/>
      <w:lvlText w:val="(%1)"/>
      <w:numFmt w:val="lowerLetter"/>
      <w:start w:val="27"/>
    </w:lvl>
  </w:abstractNum>
  <w:abstractNum w:abstractNumId="29">
    <w:nsid w:val="51D9C564"/>
    <w:multiLevelType w:val="hybridMultilevel"/>
    <w:lvl w:ilvl="0">
      <w:lvlJc w:val="left"/>
      <w:lvlText w:val="(%1)"/>
      <w:numFmt w:val="lowerLetter"/>
      <w:start w:val="29"/>
    </w:lvl>
  </w:abstractNum>
  <w:abstractNum w:abstractNumId="30">
    <w:nsid w:val="613EFDC5"/>
    <w:multiLevelType w:val="hybridMultilevel"/>
    <w:lvl w:ilvl="0">
      <w:lvlJc w:val="left"/>
      <w:lvlText w:val="(%1)"/>
      <w:numFmt w:val="lowerLetter"/>
      <w:start w:val="37"/>
    </w:lvl>
  </w:abstractNum>
  <w:abstractNum w:abstractNumId="31">
    <w:nsid w:val="BF72B14"/>
    <w:multiLevelType w:val="hybridMultilevel"/>
    <w:lvl w:ilvl="0">
      <w:lvlJc w:val="left"/>
      <w:lvlText w:val="%1."/>
      <w:numFmt w:val="decimal"/>
      <w:start w:val="1"/>
    </w:lvl>
    <w:lvl w:ilvl="1">
      <w:lvlJc w:val="left"/>
      <w:lvlText w:val="(%2)"/>
      <w:numFmt w:val="lowerLetter"/>
      <w:start w:val="1"/>
    </w:lvl>
  </w:abstractNum>
  <w:abstractNum w:abstractNumId="32">
    <w:nsid w:val="11447B73"/>
    <w:multiLevelType w:val="hybridMultilevel"/>
    <w:lvl w:ilvl="0">
      <w:lvlJc w:val="left"/>
      <w:lvlText w:val="%1."/>
      <w:numFmt w:val="decimal"/>
      <w:start w:val="2"/>
    </w:lvl>
  </w:abstractNum>
  <w:abstractNum w:abstractNumId="33">
    <w:nsid w:val="42963E5A"/>
    <w:multiLevelType w:val="hybridMultilevel"/>
    <w:lvl w:ilvl="0">
      <w:lvlJc w:val="left"/>
      <w:lvlText w:val="(%1)"/>
      <w:numFmt w:val="lowerLetter"/>
      <w:start w:val="1"/>
    </w:lvl>
  </w:abstractNum>
  <w:abstractNum w:abstractNumId="34">
    <w:nsid w:val="A0382C5"/>
    <w:multiLevelType w:val="hybridMultilevel"/>
    <w:lvl w:ilvl="0">
      <w:lvlJc w:val="left"/>
      <w:lvlText w:val="(%1)"/>
      <w:numFmt w:val="lowerLetter"/>
      <w:start w:val="5"/>
    </w:lvl>
  </w:abstractNum>
  <w:abstractNum w:abstractNumId="35">
    <w:nsid w:val="8F2B15E"/>
    <w:multiLevelType w:val="hybridMultilevel"/>
    <w:lvl w:ilvl="0">
      <w:lvlJc w:val="left"/>
      <w:lvlText w:val="(%1)"/>
      <w:numFmt w:val="lowerLetter"/>
      <w:start w:val="7"/>
    </w:lvl>
  </w:abstractNum>
  <w:abstractNum w:abstractNumId="36">
    <w:nsid w:val="1A32234B"/>
    <w:multiLevelType w:val="hybridMultilevel"/>
    <w:lvl w:ilvl="0">
      <w:lvlJc w:val="left"/>
      <w:lvlText w:val="%1"/>
      <w:numFmt w:val="lowerLetter"/>
      <w:start w:val="1"/>
    </w:lvl>
    <w:lvl w:ilvl="1">
      <w:lvlJc w:val="left"/>
      <w:lvlText w:val="(%2)"/>
      <w:numFmt w:val="lowerLetter"/>
      <w:start w:val="11"/>
    </w:lvl>
  </w:abstractNum>
  <w:abstractNum w:abstractNumId="37">
    <w:nsid w:val="3B0FD379"/>
    <w:multiLevelType w:val="hybridMultilevel"/>
    <w:lvl w:ilvl="0">
      <w:lvlJc w:val="left"/>
      <w:lvlText w:val="(%1)"/>
      <w:numFmt w:val="lowerLetter"/>
      <w:start w:val="13"/>
    </w:lvl>
    <w:lvl w:ilvl="1">
      <w:lvlJc w:val="left"/>
      <w:lvlText w:val="%2"/>
      <w:numFmt w:val="lowerLetter"/>
      <w:start w:val="1"/>
    </w:lvl>
  </w:abstractNum>
  <w:abstractNum w:abstractNumId="38">
    <w:nsid w:val="68EB2F63"/>
    <w:multiLevelType w:val="hybridMultilevel"/>
    <w:lvl w:ilvl="0">
      <w:lvlJc w:val="left"/>
      <w:lvlText w:val="%1."/>
      <w:numFmt w:val="decimal"/>
      <w:start w:val="3"/>
    </w:lvl>
  </w:abstractNum>
  <w:abstractNum w:abstractNumId="39">
    <w:nsid w:val="4962813B"/>
    <w:multiLevelType w:val="hybridMultilevel"/>
    <w:lvl w:ilvl="0">
      <w:lvlJc w:val="left"/>
      <w:lvlText w:val="(%1)"/>
      <w:numFmt w:val="lowerLetter"/>
      <w:start w:val="1"/>
    </w:lvl>
  </w:abstractNum>
  <w:abstractNum w:abstractNumId="40">
    <w:nsid w:val="60B6DF70"/>
    <w:multiLevelType w:val="hybridMultilevel"/>
    <w:lvl w:ilvl="0">
      <w:lvlJc w:val="left"/>
      <w:lvlText w:val="(%1)"/>
      <w:numFmt w:val="lowerLetter"/>
      <w:start w:val="2"/>
    </w:lvl>
  </w:abstractNum>
  <w:abstractNum w:abstractNumId="41">
    <w:nsid w:val="6A5EE64"/>
    <w:multiLevelType w:val="hybridMultilevel"/>
    <w:lvl w:ilvl="0">
      <w:lvlJc w:val="left"/>
      <w:lvlText w:val="(%1)"/>
      <w:numFmt w:val="lowerLetter"/>
      <w:start w:val="5"/>
    </w:lvl>
  </w:abstractNum>
  <w:abstractNum w:abstractNumId="42">
    <w:nsid w:val="14330624"/>
    <w:multiLevelType w:val="hybridMultilevel"/>
    <w:lvl w:ilvl="0">
      <w:lvlJc w:val="left"/>
      <w:lvlText w:val="(%1)"/>
      <w:numFmt w:val="lowerLetter"/>
      <w:start w:val="6"/>
    </w:lvl>
  </w:abstractNum>
  <w:abstractNum w:abstractNumId="43">
    <w:nsid w:val="7FFFCA11"/>
    <w:multiLevelType w:val="hybridMultilevel"/>
    <w:lvl w:ilvl="0">
      <w:lvlJc w:val="left"/>
      <w:lvlText w:val="(%1)"/>
      <w:numFmt w:val="lowerLetter"/>
      <w:start w:val="10"/>
    </w:lvl>
  </w:abstractNum>
  <w:abstractNum w:abstractNumId="44">
    <w:nsid w:val="1A27709E"/>
    <w:multiLevelType w:val="hybridMultilevel"/>
    <w:lvl w:ilvl="0">
      <w:lvlJc w:val="left"/>
      <w:lvlText w:val="(%1)"/>
      <w:numFmt w:val="lowerLetter"/>
      <w:start w:val="11"/>
    </w:lvl>
  </w:abstractNum>
  <w:abstractNum w:abstractNumId="45">
    <w:nsid w:val="71EA1109"/>
    <w:multiLevelType w:val="hybridMultilevel"/>
    <w:lvl w:ilvl="0">
      <w:lvlJc w:val="left"/>
      <w:lvlText w:val="%1"/>
      <w:numFmt w:val="lowerLetter"/>
      <w:start w:val="1"/>
    </w:lvl>
    <w:lvl w:ilvl="1">
      <w:lvlJc w:val="left"/>
      <w:lvlText w:val="(%2)"/>
      <w:numFmt w:val="lowerLetter"/>
      <w:start w:val="14"/>
    </w:lvl>
    <w:lvl w:ilvl="2">
      <w:lvlJc w:val="left"/>
      <w:lvlText w:val="%3"/>
      <w:numFmt w:val="lowerLetter"/>
      <w:start w:val="1"/>
    </w:lvl>
  </w:abstractNum>
  <w:abstractNum w:abstractNumId="46">
    <w:nsid w:val="100F59DC"/>
    <w:multiLevelType w:val="hybridMultilevel"/>
    <w:lvl w:ilvl="0">
      <w:lvlJc w:val="left"/>
      <w:lvlText w:val="(%1)"/>
      <w:numFmt w:val="lowerLetter"/>
      <w:start w:val="35"/>
    </w:lvl>
    <w:lvl w:ilvl="1">
      <w:lvlJc w:val="left"/>
      <w:lvlText w:val="(%2)"/>
      <w:numFmt w:val="lowerLetter"/>
      <w:start w:val="15"/>
    </w:lvl>
    <w:lvl w:ilvl="2">
      <w:lvlJc w:val="left"/>
      <w:lvlText w:val="(%3)"/>
      <w:numFmt w:val="lowerLetter"/>
      <w:start w:val="9"/>
    </w:lvl>
  </w:abstractNum>
  <w:abstractNum w:abstractNumId="47">
    <w:nsid w:val="7FB7E0AA"/>
    <w:multiLevelType w:val="hybridMultilevel"/>
    <w:lvl w:ilvl="0">
      <w:lvlJc w:val="left"/>
      <w:lvlText w:val="(%1)"/>
      <w:numFmt w:val="lowerRoman"/>
      <w:start w:val="2"/>
    </w:lvl>
  </w:abstractNum>
  <w:abstractNum w:abstractNumId="48">
    <w:nsid w:val="6EB5BD4"/>
    <w:multiLevelType w:val="hybridMultilevel"/>
    <w:lvl w:ilvl="0">
      <w:lvlJc w:val="left"/>
      <w:lvlText w:val="%1"/>
      <w:numFmt w:val="lowerRoman"/>
      <w:start w:val="1"/>
    </w:lvl>
    <w:lvl w:ilvl="1">
      <w:lvlJc w:val="left"/>
      <w:lvlText w:val="(%2)"/>
      <w:numFmt w:val="lowerLetter"/>
      <w:start w:val="16"/>
    </w:lvl>
  </w:abstractNum>
  <w:abstractNum w:abstractNumId="49">
    <w:nsid w:val="6F6DD9AC"/>
    <w:multiLevelType w:val="hybridMultilevel"/>
    <w:lvl w:ilvl="0">
      <w:lvlJc w:val="left"/>
      <w:lvlText w:val="(%1)"/>
      <w:numFmt w:val="lowerRoman"/>
      <w:start w:val="4"/>
    </w:lvl>
    <w:lvl w:ilvl="1">
      <w:lvlJc w:val="left"/>
      <w:lvlText w:val="%2"/>
      <w:numFmt w:val="lowerLetter"/>
      <w:start w:val="1"/>
    </w:lvl>
  </w:abstractNum>
  <w:abstractNum w:abstractNumId="50">
    <w:nsid w:val="94211F2"/>
    <w:multiLevelType w:val="hybridMultilevel"/>
    <w:lvl w:ilvl="0">
      <w:lvlJc w:val="left"/>
      <w:lvlText w:val="%1"/>
      <w:numFmt w:val="lowerLetter"/>
      <w:start w:val="1"/>
    </w:lvl>
    <w:lvl w:ilvl="1">
      <w:lvlJc w:val="left"/>
      <w:lvlText w:val="(%2)"/>
      <w:numFmt w:val="lowerLetter"/>
      <w:start w:val="17"/>
    </w:lvl>
  </w:abstractNum>
  <w:abstractNum w:abstractNumId="51">
    <w:nsid w:val="885E1B"/>
    <w:multiLevelType w:val="hybridMultilevel"/>
    <w:lvl w:ilvl="0">
      <w:lvlJc w:val="left"/>
      <w:lvlText w:val="(%1)"/>
      <w:numFmt w:val="lowerLetter"/>
      <w:start w:val="2"/>
    </w:lvl>
    <w:lvl w:ilvl="1">
      <w:lvlJc w:val="left"/>
      <w:lvlText w:val="%2"/>
      <w:numFmt w:val="lowerLetter"/>
      <w:start w:val="1"/>
    </w:lvl>
  </w:abstractNum>
  <w:abstractNum w:abstractNumId="52">
    <w:nsid w:val="76272110"/>
    <w:multiLevelType w:val="hybridMultilevel"/>
    <w:lvl w:ilvl="0">
      <w:lvlJc w:val="left"/>
      <w:lvlText w:val="(%1)"/>
      <w:numFmt w:val="lowerLetter"/>
      <w:start w:val="20"/>
    </w:lvl>
  </w:abstractNum>
  <w:abstractNum w:abstractNumId="53">
    <w:nsid w:val="4C04A8AF"/>
    <w:multiLevelType w:val="hybridMultilevel"/>
    <w:lvl w:ilvl="0">
      <w:lvlJc w:val="left"/>
      <w:lvlText w:val="(%1)"/>
      <w:numFmt w:val="lowerLetter"/>
      <w:start w:val="23"/>
    </w:lvl>
  </w:abstractNum>
  <w:abstractNum w:abstractNumId="54">
    <w:nsid w:val="1716703B"/>
    <w:multiLevelType w:val="hybridMultilevel"/>
    <w:lvl w:ilvl="0">
      <w:lvlJc w:val="left"/>
      <w:lvlText w:val="(%1)"/>
      <w:numFmt w:val="lowerLetter"/>
      <w:start w:val="27"/>
    </w:lvl>
  </w:abstractNum>
  <w:abstractNum w:abstractNumId="55">
    <w:nsid w:val="14E17E33"/>
    <w:multiLevelType w:val="hybridMultilevel"/>
    <w:lvl w:ilvl="0">
      <w:lvlJc w:val="left"/>
      <w:lvlText w:val="(%1)"/>
      <w:numFmt w:val="lowerLetter"/>
      <w:start w:val="28"/>
    </w:lvl>
  </w:abstractNum>
  <w:abstractNum w:abstractNumId="56">
    <w:nsid w:val="3222E7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1"/>
    </w:lvl>
  </w:abstractNum>
  <w:abstractNum w:abstractNumId="57">
    <w:nsid w:val="74DE0EE3"/>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58">
    <w:nsid w:val="68EBC550"/>
    <w:multiLevelType w:val="hybridMultilevel"/>
    <w:lvl w:ilvl="0">
      <w:lvlJc w:val="left"/>
      <w:lvlText w:val="(%1)"/>
      <w:numFmt w:val="lowerLetter"/>
      <w:start w:val="3"/>
    </w:lvl>
  </w:abstractNum>
  <w:abstractNum w:abstractNumId="59">
    <w:nsid w:val="2DF6D648"/>
    <w:multiLevelType w:val="hybridMultilevel"/>
    <w:lvl w:ilvl="0">
      <w:lvlJc w:val="left"/>
      <w:lvlText w:val="(%1)"/>
      <w:numFmt w:val="lowerLetter"/>
      <w:start w:val="7"/>
    </w:lvl>
    <w:lvl w:ilvl="1">
      <w:lvlJc w:val="left"/>
      <w:lvlText w:val="(%2)"/>
      <w:numFmt w:val="lowerRoman"/>
      <w:start w:val="1"/>
    </w:lvl>
  </w:abstractNum>
  <w:abstractNum w:abstractNumId="60">
    <w:nsid w:val="46B7D44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61">
    <w:nsid w:val="4A2AC315"/>
    <w:multiLevelType w:val="hybridMultilevel"/>
    <w:lvl w:ilvl="0">
      <w:lvlJc w:val="left"/>
      <w:lvlText w:val="(%1)"/>
      <w:numFmt w:val="upperLetter"/>
      <w:start w:val="35"/>
    </w:lvl>
    <w:lvl w:ilvl="1">
      <w:lvlJc w:val="left"/>
      <w:lvlText w:val="(%2)"/>
      <w:numFmt w:val="lowerLetter"/>
      <w:start w:val="8"/>
    </w:lvl>
    <w:lvl w:ilvl="2">
      <w:lvlJc w:val="left"/>
      <w:lvlText w:val="%3"/>
      <w:numFmt w:val="lowerLetter"/>
      <w:start w:val="1"/>
    </w:lvl>
  </w:abstractNum>
  <w:abstractNum w:abstractNumId="62">
    <w:nsid w:val="39EE015C"/>
    <w:multiLevelType w:val="hybridMultilevel"/>
    <w:lvl w:ilvl="0">
      <w:lvlJc w:val="left"/>
      <w:lvlText w:val="%1"/>
      <w:numFmt w:val="lowerRoman"/>
      <w:start w:val="1"/>
    </w:lvl>
    <w:lvl w:ilvl="1">
      <w:lvlJc w:val="left"/>
      <w:lvlText w:val="(%2)"/>
      <w:numFmt w:val="lowerLetter"/>
      <w:start w:val="10"/>
    </w:lvl>
    <w:lvl w:ilvl="2">
      <w:lvlJc w:val="left"/>
      <w:lvlText w:val="(%3)"/>
      <w:numFmt w:val="lowerRoman"/>
      <w:start w:val="1"/>
    </w:lvl>
  </w:abstractNum>
  <w:abstractNum w:abstractNumId="63">
    <w:nsid w:val="57FC4FBB"/>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3"/>
    </w:lvl>
  </w:abstractNum>
  <w:abstractNum w:abstractNumId="64">
    <w:nsid w:val="CC1016F"/>
    <w:multiLevelType w:val="hybridMultilevel"/>
    <w:lvl w:ilvl="0">
      <w:lvlJc w:val="left"/>
      <w:lvlText w:val="(%1)"/>
      <w:numFmt w:val="lowerLetter"/>
      <w:start w:val="11"/>
    </w:lvl>
  </w:abstractNum>
  <w:abstractNum w:abstractNumId="65">
    <w:nsid w:val="43F18422"/>
    <w:multiLevelType w:val="hybridMultilevel"/>
    <w:lvl w:ilvl="0">
      <w:lvlJc w:val="left"/>
      <w:lvlText w:val="(%1)"/>
      <w:numFmt w:val="lowerLetter"/>
      <w:start w:val="13"/>
    </w:lvl>
  </w:abstractNum>
  <w:abstractNum w:abstractNumId="66">
    <w:nsid w:val="60EF0119"/>
    <w:multiLevelType w:val="hybridMultilevel"/>
    <w:lvl w:ilvl="0">
      <w:lvlJc w:val="left"/>
      <w:lvlText w:val="(%1)"/>
      <w:numFmt w:val="lowerRoman"/>
      <w:start w:val="6"/>
    </w:lvl>
  </w:abstractNum>
  <w:abstractNum w:abstractNumId="67">
    <w:nsid w:val="26F324BA"/>
    <w:multiLevelType w:val="hybridMultilevel"/>
    <w:lvl w:ilvl="0">
      <w:lvlJc w:val="left"/>
      <w:lvlText w:val="(%1)"/>
      <w:numFmt w:val="decimal"/>
      <w:start w:val="11"/>
    </w:lvl>
  </w:abstractNum>
  <w:abstractNum w:abstractNumId="68">
    <w:nsid w:val="7F0157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4"/>
    </w:lvl>
  </w:abstractNum>
  <w:abstractNum w:abstractNumId="69">
    <w:nsid w:val="49DA307D"/>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5"/>
    </w:lvl>
  </w:abstractNum>
  <w:abstractNum w:abstractNumId="70">
    <w:nsid w:val="7055A5F5"/>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71">
    <w:nsid w:val="5FB8370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72">
    <w:nsid w:val="50801EE1"/>
    <w:multiLevelType w:val="hybridMultilevel"/>
    <w:lvl w:ilvl="0">
      <w:lvlJc w:val="left"/>
      <w:lvlText w:val="%1"/>
      <w:numFmt w:val="decimal"/>
      <w:start w:val="1"/>
    </w:lvl>
    <w:lvl w:ilvl="1">
      <w:lvlJc w:val="left"/>
      <w:lvlText w:val="(%2)"/>
      <w:numFmt w:val="lowerLetter"/>
      <w:start w:val="3"/>
    </w:lvl>
  </w:abstractNum>
  <w:abstractNum w:abstractNumId="73">
    <w:nsid w:val="488AC1A"/>
    <w:multiLevelType w:val="hybridMultilevel"/>
    <w:lvl w:ilvl="0">
      <w:lvlJc w:val="left"/>
      <w:lvlText w:val="%1."/>
      <w:numFmt w:val="decimal"/>
      <w:start w:val="6"/>
    </w:lvl>
    <w:lvl w:ilvl="1">
      <w:lvlJc w:val="left"/>
      <w:lvlText w:val="%2"/>
      <w:numFmt w:val="lowerLetter"/>
      <w:start w:val="1"/>
    </w:lvl>
  </w:abstractNum>
  <w:abstractNum w:abstractNumId="74">
    <w:nsid w:val="5FB8011C"/>
    <w:multiLevelType w:val="hybridMultilevel"/>
    <w:lvl w:ilvl="0">
      <w:lvlJc w:val="left"/>
      <w:lvlText w:val="%1"/>
      <w:numFmt w:val="decimal"/>
      <w:start w:val="1"/>
    </w:lvl>
    <w:lvl w:ilvl="1">
      <w:lvlJc w:val="left"/>
      <w:lvlText w:val="(%2)"/>
      <w:numFmt w:val="lowerLetter"/>
      <w:start w:val="1"/>
    </w:lvl>
  </w:abstractNum>
  <w:abstractNum w:abstractNumId="75">
    <w:nsid w:val="6AA78F7F"/>
    <w:multiLevelType w:val="hybridMultilevel"/>
    <w:lvl w:ilvl="0">
      <w:lvlJc w:val="left"/>
      <w:lvlText w:val="%1."/>
      <w:numFmt w:val="decimal"/>
      <w:start w:val="7"/>
    </w:lvl>
    <w:lvl w:ilvl="1">
      <w:lvlJc w:val="left"/>
      <w:lvlText w:val="%2"/>
      <w:numFmt w:val="lowerLetter"/>
      <w:start w:val="1"/>
    </w:lvl>
  </w:abstractNum>
  <w:abstractNum w:abstractNumId="76">
    <w:nsid w:val="7672BD23"/>
    <w:multiLevelType w:val="hybridMultilevel"/>
    <w:lvl w:ilvl="0">
      <w:lvlJc w:val="left"/>
      <w:lvlText w:val="(%1)"/>
      <w:numFmt w:val="lowerLetter"/>
      <w:start w:val="1"/>
    </w:lvl>
  </w:abstractNum>
  <w:abstractNum w:abstractNumId="77">
    <w:nsid w:val="6FC75AF8"/>
    <w:multiLevelType w:val="hybridMultilevel"/>
    <w:lvl w:ilvl="0">
      <w:lvlJc w:val="left"/>
      <w:lvlText w:val="(%1)"/>
      <w:numFmt w:val="lowerLetter"/>
      <w:start w:val="9"/>
    </w:lvl>
  </w:abstractNum>
  <w:abstractNum w:abstractNumId="78">
    <w:nsid w:val="6A5F7029"/>
    <w:multiLevelType w:val="hybridMultilevel"/>
    <w:lvl w:ilvl="0">
      <w:lvlJc w:val="left"/>
      <w:lvlText w:val="%1"/>
      <w:numFmt w:val="decimal"/>
      <w:start w:val="1"/>
    </w:lvl>
    <w:lvl w:ilvl="1">
      <w:lvlJc w:val="left"/>
      <w:lvlText w:val="(%2)"/>
      <w:numFmt w:val="lowerLetter"/>
      <w:start w:val="17"/>
    </w:lvl>
  </w:abstractNum>
  <w:abstractNum w:abstractNumId="79">
    <w:nsid w:val="7D5E18F8"/>
    <w:multiLevelType w:val="hybridMultilevel"/>
    <w:lvl w:ilvl="0">
      <w:lvlJc w:val="left"/>
      <w:lvlText w:val="%1."/>
      <w:numFmt w:val="decimal"/>
      <w:start w:val="8"/>
    </w:lvl>
    <w:lvl w:ilvl="1">
      <w:lvlJc w:val="left"/>
      <w:lvlText w:val="%2"/>
      <w:numFmt w:val="lowerLetter"/>
      <w:start w:val="1"/>
    </w:lvl>
  </w:abstractNum>
  <w:abstractNum w:abstractNumId="80">
    <w:nsid w:val="5F3534A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1">
    <w:nsid w:val="73A1821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82">
    <w:nsid w:val="7DE67713"/>
    <w:multiLevelType w:val="hybridMultilevel"/>
    <w:lvl w:ilvl="0">
      <w:lvlJc w:val="left"/>
      <w:lvlText w:val="%1"/>
      <w:numFmt w:val="lowerLetter"/>
      <w:start w:val="1"/>
    </w:lvl>
    <w:lvl w:ilvl="1">
      <w:lvlJc w:val="left"/>
      <w:lvlText w:val="(%2)"/>
      <w:numFmt w:val="decimal"/>
      <w:start w:val="30"/>
    </w:lvl>
    <w:lvl w:ilvl="2">
      <w:lvlJc w:val="left"/>
      <w:lvlText w:val="(%3)"/>
      <w:numFmt w:val="lowerRoman"/>
      <w:start w:val="5"/>
    </w:lvl>
  </w:abstractNum>
  <w:abstractNum w:abstractNumId="83">
    <w:nsid w:val="555C55B5"/>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84">
    <w:nsid w:val="3FA62ACA"/>
    <w:multiLevelType w:val="hybridMultilevel"/>
    <w:lvl w:ilvl="0">
      <w:lvlJc w:val="left"/>
      <w:lvlText w:val="%1"/>
      <w:numFmt w:val="upperLetter"/>
      <w:start w:val="1"/>
    </w:lvl>
    <w:lvl w:ilvl="1">
      <w:lvlJc w:val="left"/>
      <w:lvlText w:val="(%2)"/>
      <w:numFmt w:val="lowerLetter"/>
      <w:start w:val="4"/>
    </w:lvl>
  </w:abstractNum>
  <w:abstractNum w:abstractNumId="85">
    <w:nsid w:val="14FCE74E"/>
    <w:multiLevelType w:val="hybridMultilevel"/>
    <w:lvl w:ilvl="0">
      <w:lvlJc w:val="left"/>
      <w:lvlText w:val="(%1)"/>
      <w:numFmt w:val="upperLetter"/>
      <w:start w:val="1"/>
    </w:lvl>
    <w:lvl w:ilvl="1">
      <w:lvlJc w:val="left"/>
      <w:lvlText w:val="%2"/>
      <w:numFmt w:val="lowerLetter"/>
      <w:start w:val="1"/>
    </w:lvl>
  </w:abstractNum>
  <w:abstractNum w:abstractNumId="86">
    <w:nsid w:val="6A3DD3E8"/>
    <w:multiLevelType w:val="hybridMultilevel"/>
    <w:lvl w:ilvl="0">
      <w:lvlJc w:val="left"/>
      <w:lvlText w:val="(%1)"/>
      <w:numFmt w:val="lowerLetter"/>
      <w:start w:val="8"/>
    </w:lvl>
  </w:abstractNum>
  <w:abstractNum w:abstractNumId="87">
    <w:nsid w:val="71C91298"/>
    <w:multiLevelType w:val="hybridMultilevel"/>
    <w:lvl w:ilvl="0">
      <w:lvlJc w:val="left"/>
      <w:lvlText w:val="(%1)"/>
      <w:numFmt w:val="lowerRoman"/>
      <w:start w:val="1"/>
    </w:lvl>
    <w:lvl w:ilvl="1">
      <w:lvlJc w:val="left"/>
      <w:lvlText w:val="(%2)"/>
      <w:numFmt w:val="lowerRoman"/>
      <w:start w:val="1"/>
    </w:lvl>
  </w:abstractNum>
  <w:abstractNum w:abstractNumId="88">
    <w:nsid w:val="9DAF632"/>
    <w:multiLevelType w:val="hybridMultilevel"/>
    <w:lvl w:ilvl="0">
      <w:lvlJc w:val="left"/>
      <w:lvlText w:val="(%1)"/>
      <w:numFmt w:val="lowerRoman"/>
      <w:start w:val="3"/>
    </w:lvl>
  </w:abstractNum>
  <w:abstractNum w:abstractNumId="89">
    <w:nsid w:val="53299938"/>
    <w:multiLevelType w:val="hybridMultilevel"/>
    <w:lvl w:ilvl="0">
      <w:lvlJc w:val="left"/>
      <w:lvlText w:val="(%1)"/>
      <w:numFmt w:val="lowerLetter"/>
      <w:start w:val="10"/>
    </w:lvl>
  </w:abstractNum>
  <w:abstractNum w:abstractNumId="90">
    <w:nsid w:val="1FBFE8E0"/>
    <w:multiLevelType w:val="hybridMultilevel"/>
    <w:lvl w:ilvl="0">
      <w:lvlJc w:val="left"/>
      <w:lvlText w:val="%1"/>
      <w:numFmt w:val="decimal"/>
      <w:start w:val="1"/>
    </w:lvl>
    <w:lvl w:ilvl="1">
      <w:lvlJc w:val="left"/>
      <w:lvlText w:val="%2."/>
      <w:numFmt w:val="decimal"/>
      <w:start w:val="1"/>
    </w:lvl>
  </w:abstractNum>
  <w:abstractNum w:abstractNumId="91">
    <w:nsid w:val="5092CA79"/>
    <w:multiLevelType w:val="hybridMultilevel"/>
    <w:lvl w:ilvl="0">
      <w:lvlJc w:val="left"/>
      <w:lvlText w:val="%1."/>
      <w:numFmt w:val="decimal"/>
      <w:start w:val="2"/>
    </w:lvl>
    <w:lvl w:ilvl="1">
      <w:lvlJc w:val="left"/>
      <w:lvlText w:val="%2"/>
      <w:numFmt w:val="decimal"/>
      <w:start w:val="1"/>
    </w:lvl>
  </w:abstractNum>
  <w:abstractNum w:abstractNumId="92">
    <w:nsid w:val="1D545C4D"/>
    <w:multiLevelType w:val="hybridMultilevel"/>
    <w:lvl w:ilvl="0">
      <w:lvlJc w:val="left"/>
      <w:lvlText w:val="(%1)"/>
      <w:numFmt w:val="lowerRoman"/>
      <w:start w:val="4"/>
    </w:lvl>
    <w:lvl w:ilvl="1">
      <w:lvlJc w:val="left"/>
      <w:lvlText w:val="%2"/>
      <w:numFmt w:val="decimal"/>
      <w:start w:val="1"/>
    </w:lvl>
  </w:abstractNum>
  <w:abstractNum w:abstractNumId="93">
    <w:nsid w:val="59ADEA3D"/>
    <w:multiLevelType w:val="hybridMultilevel"/>
    <w:lvl w:ilvl="0">
      <w:lvlJc w:val="left"/>
      <w:lvlText w:val="(%1)"/>
      <w:numFmt w:val="lowerRoman"/>
      <w:start w:val="7"/>
    </w:lvl>
    <w:lvl w:ilvl="1">
      <w:lvlJc w:val="left"/>
      <w:lvlText w:val="%2."/>
      <w:numFmt w:val="decimal"/>
      <w:start w:val="4"/>
    </w:lvl>
  </w:abstractNum>
  <w:abstractNum w:abstractNumId="94">
    <w:nsid w:val="288F1A34"/>
    <w:multiLevelType w:val="hybridMultilevel"/>
    <w:lvl w:ilvl="0">
      <w:lvlJc w:val="left"/>
      <w:lvlText w:val="%1."/>
      <w:numFmt w:val="decimal"/>
      <w:start w:val="7"/>
    </w:lvl>
  </w:abstractNum>
  <w:abstractNum w:abstractNumId="95">
    <w:nsid w:val="2A155DBC"/>
    <w:multiLevelType w:val="hybridMultilevel"/>
    <w:lvl w:ilvl="0">
      <w:lvlJc w:val="left"/>
      <w:lvlText w:val="%1."/>
      <w:numFmt w:val="upperLetter"/>
      <w:start w:val="1"/>
    </w:lvl>
  </w:abstractNum>
  <w:abstractNum w:abstractNumId="96">
    <w:nsid w:val="1D9F6E5F"/>
    <w:multiLevelType w:val="hybridMultilevel"/>
    <w:lvl w:ilvl="0">
      <w:lvlJc w:val="left"/>
      <w:lvlText w:val="%1."/>
      <w:numFmt w:val="decimal"/>
      <w:start w:val="1"/>
    </w:lvl>
  </w:abstractNum>
  <w:abstractNum w:abstractNumId="97">
    <w:nsid w:val="97E1B4E"/>
    <w:multiLevelType w:val="hybridMultilevel"/>
    <w:lvl w:ilvl="0">
      <w:lvlJc w:val="left"/>
      <w:lvlText w:val="(%1)"/>
      <w:numFmt w:val="lowerLetter"/>
      <w:start w:val="2"/>
    </w:lvl>
  </w:abstractNum>
  <w:abstractNum w:abstractNumId="98">
    <w:nsid w:val="51088277"/>
    <w:multiLevelType w:val="hybridMultilevel"/>
    <w:lvl w:ilvl="0">
      <w:lvlJc w:val="left"/>
      <w:lvlText w:val="(%1)"/>
      <w:numFmt w:val="lowerLetter"/>
      <w:start w:val="3"/>
    </w:lvl>
  </w:abstractNum>
  <w:abstractNum w:abstractNumId="99">
    <w:nsid w:val="1CA0C5F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0"/>
    </w:lvl>
  </w:abstractNum>
  <w:abstractNum w:abstractNumId="100">
    <w:nsid w:val="53584BCB"/>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01">
    <w:nsid w:val="415E286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02">
    <w:nsid w:val="7C58FD05"/>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4"/>
    </w:lvl>
  </w:abstractNum>
  <w:abstractNum w:abstractNumId="103">
    <w:nsid w:val="23D86AAC"/>
    <w:multiLevelType w:val="hybridMultilevel"/>
    <w:lvl w:ilvl="0">
      <w:lvlJc w:val="left"/>
      <w:lvlText w:val="%1"/>
      <w:numFmt w:val="decimal"/>
      <w:start w:val="1"/>
    </w:lvl>
    <w:lvl w:ilvl="1">
      <w:lvlJc w:val="left"/>
      <w:lvlText w:val="(%2)"/>
      <w:numFmt w:val="lowerLetter"/>
      <w:start w:val="5"/>
    </w:lvl>
  </w:abstractNum>
  <w:abstractNum w:abstractNumId="104">
    <w:nsid w:val="45E6D486"/>
    <w:multiLevelType w:val="hybridMultilevel"/>
    <w:lvl w:ilvl="0">
      <w:lvlJc w:val="left"/>
      <w:lvlText w:val="%1."/>
      <w:numFmt w:val="decimal"/>
      <w:start w:val="3"/>
    </w:lvl>
    <w:lvl w:ilvl="1">
      <w:lvlJc w:val="left"/>
      <w:lvlText w:val="(%2)"/>
      <w:numFmt w:val="lowerLetter"/>
      <w:start w:val="1"/>
    </w:lvl>
  </w:abstractNum>
  <w:abstractNum w:abstractNumId="105">
    <w:nsid w:val="5C10FE21"/>
    <w:multiLevelType w:val="hybridMultilevel"/>
    <w:lvl w:ilvl="0">
      <w:lvlJc w:val="left"/>
      <w:lvlText w:val="(%1)"/>
      <w:numFmt w:val="lowerLetter"/>
      <w:start w:val="2"/>
    </w:lvl>
  </w:abstractNum>
  <w:abstractNum w:abstractNumId="106">
    <w:nsid w:val="E7FFA2B"/>
    <w:multiLevelType w:val="hybridMultilevel"/>
    <w:lvl w:ilvl="0">
      <w:lvlJc w:val="left"/>
      <w:lvlText w:val="(%1)"/>
      <w:numFmt w:val="lowerLetter"/>
      <w:start w:val="5"/>
    </w:lvl>
  </w:abstractNum>
  <w:abstractNum w:abstractNumId="107">
    <w:nsid w:val="3C5991AA"/>
    <w:multiLevelType w:val="hybridMultilevel"/>
    <w:lvl w:ilvl="0">
      <w:lvlJc w:val="left"/>
      <w:lvlText w:val="%1"/>
      <w:numFmt w:val="decimal"/>
      <w:start w:val="1"/>
    </w:lvl>
    <w:lvl w:ilvl="1">
      <w:lvlJc w:val="left"/>
      <w:lvlText w:val="(%2)"/>
      <w:numFmt w:val="lowerLetter"/>
      <w:start w:val="9"/>
    </w:lvl>
  </w:abstractNum>
  <w:abstractNum w:abstractNumId="108">
    <w:nsid w:val="4BD8591A"/>
    <w:multiLevelType w:val="hybridMultilevel"/>
    <w:lvl w:ilvl="0">
      <w:lvlJc w:val="left"/>
      <w:lvlText w:val="%1."/>
      <w:numFmt w:val="decimal"/>
      <w:start w:val="4"/>
    </w:lvl>
    <w:lvl w:ilvl="1">
      <w:lvlJc w:val="left"/>
      <w:lvlText w:val="(%2)"/>
      <w:numFmt w:val="lowerLetter"/>
      <w:start w:val="1"/>
    </w:lvl>
  </w:abstractNum>
  <w:abstractNum w:abstractNumId="109">
    <w:nsid w:val="78DF6A55"/>
    <w:multiLevelType w:val="hybridMultilevel"/>
    <w:lvl w:ilvl="0">
      <w:lvlJc w:val="left"/>
      <w:lvlText w:val="%1."/>
      <w:numFmt w:val="decimal"/>
      <w:start w:val="6"/>
    </w:lvl>
  </w:abstractNum>
  <w:abstractNum w:abstractNumId="110">
    <w:nsid w:val="39B7AAA2"/>
    <w:multiLevelType w:val="hybridMultilevel"/>
    <w:lvl w:ilvl="0">
      <w:lvlJc w:val="left"/>
      <w:lvlText w:val="(%1)"/>
      <w:numFmt w:val="lowerLetter"/>
      <w:start w:val="1"/>
    </w:lvl>
  </w:abstractNum>
  <w:abstractNum w:abstractNumId="111">
    <w:nsid w:val="2B0D8DBE"/>
    <w:multiLevelType w:val="hybridMultilevel"/>
    <w:lvl w:ilvl="0">
      <w:lvlJc w:val="left"/>
      <w:lvlText w:val="(%1)"/>
      <w:numFmt w:val="lowerLetter"/>
      <w:start w:val="2"/>
    </w:lvl>
  </w:abstractNum>
  <w:abstractNum w:abstractNumId="112">
    <w:nsid w:val="6C80EC70"/>
    <w:multiLevelType w:val="hybridMultilevel"/>
    <w:lvl w:ilvl="0">
      <w:lvlJc w:val="left"/>
      <w:lvlText w:val="%1"/>
      <w:numFmt w:val="decimal"/>
      <w:start w:val="1"/>
    </w:lvl>
    <w:lvl w:ilvl="1">
      <w:lvlJc w:val="left"/>
      <w:lvlText w:val="(%2)"/>
      <w:numFmt w:val="lowerLetter"/>
      <w:start w:val="4"/>
    </w:lvl>
  </w:abstractNum>
  <w:abstractNum w:abstractNumId="113">
    <w:nsid w:val="379E21B5"/>
    <w:multiLevelType w:val="hybridMultilevel"/>
    <w:lvl w:ilvl="0">
      <w:lvlJc w:val="left"/>
      <w:lvlText w:val="%1."/>
      <w:numFmt w:val="decimal"/>
      <w:start w:val="7"/>
    </w:lvl>
    <w:lvl w:ilvl="1">
      <w:lvlJc w:val="left"/>
      <w:lvlText w:val="%2"/>
      <w:numFmt w:val="lowerLetter"/>
      <w:start w:val="1"/>
    </w:lvl>
  </w:abstractNum>
  <w:abstractNum w:abstractNumId="114">
    <w:nsid w:val="69E373"/>
    <w:multiLevelType w:val="hybridMultilevel"/>
    <w:lvl w:ilvl="0">
      <w:lvlJc w:val="left"/>
      <w:lvlText w:val="%1."/>
      <w:numFmt w:val="decimal"/>
      <w:start w:val="8"/>
    </w:lvl>
  </w:abstractNum>
  <w:abstractNum w:abstractNumId="115">
    <w:nsid w:val="2C27173B"/>
    <w:multiLevelType w:val="hybridMultilevel"/>
    <w:lvl w:ilvl="0">
      <w:lvlJc w:val="left"/>
      <w:lvlText w:val="%1"/>
      <w:numFmt w:val="decimal"/>
      <w:start w:val="1"/>
    </w:lvl>
    <w:lvl w:ilvl="1">
      <w:lvlJc w:val="left"/>
      <w:lvlText w:val="(%2)"/>
      <w:numFmt w:val="lowerLetter"/>
      <w:start w:val="1"/>
    </w:lvl>
  </w:abstractNum>
  <w:abstractNum w:abstractNumId="116">
    <w:nsid w:val="4C9B0904"/>
    <w:multiLevelType w:val="hybridMultilevel"/>
    <w:lvl w:ilvl="0">
      <w:lvlJc w:val="left"/>
      <w:lvlText w:val="%1."/>
      <w:numFmt w:val="decimal"/>
      <w:start w:val="9"/>
    </w:lvl>
    <w:lvl w:ilvl="1">
      <w:lvlJc w:val="left"/>
      <w:lvlText w:val="%2"/>
      <w:numFmt w:val="lowerLetter"/>
      <w:start w:val="1"/>
    </w:lvl>
  </w:abstractNum>
  <w:abstractNum w:abstractNumId="117">
    <w:nsid w:val="6AA7B75C"/>
    <w:multiLevelType w:val="hybridMultilevel"/>
    <w:lvl w:ilvl="0">
      <w:lvlJc w:val="left"/>
      <w:lvlText w:val="%1."/>
      <w:numFmt w:val="decimal"/>
      <w:start w:val="10"/>
    </w:lvl>
    <w:lvl w:ilvl="1">
      <w:lvlJc w:val="left"/>
      <w:lvlText w:val="(%2)"/>
      <w:numFmt w:val="lowerLetter"/>
      <w:start w:val="1"/>
    </w:lvl>
  </w:abstractNum>
  <w:abstractNum w:abstractNumId="118">
    <w:nsid w:val="1DF029D3"/>
    <w:multiLevelType w:val="hybridMultilevel"/>
    <w:lvl w:ilvl="0">
      <w:lvlJc w:val="left"/>
      <w:lvlText w:val="(%1)"/>
      <w:numFmt w:val="lowerLetter"/>
      <w:start w:val="4"/>
    </w:lvl>
  </w:abstractNum>
  <w:abstractNum w:abstractNumId="119">
    <w:nsid w:val="5675FF36"/>
    <w:multiLevelType w:val="hybridMultilevel"/>
    <w:lvl w:ilvl="0">
      <w:lvlJc w:val="left"/>
      <w:lvlText w:val="(%1)"/>
      <w:numFmt w:val="lowerLetter"/>
      <w:start w:val="7"/>
    </w:lvl>
  </w:abstractNum>
  <w:abstractNum w:abstractNumId="120">
    <w:nsid w:val="3DD1509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2025-09-16T05:12:40Z</dcterms:created>
  <dcterms:modified xsi:type="dcterms:W3CDTF">2025-09-16T05:12:40Z</dcterms:modified>
</cp:coreProperties>
</file>