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184150</wp:posOffset>
            </wp:positionV>
            <wp:extent cx="2503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224790</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217170</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193040</wp:posOffset>
            </wp:positionV>
            <wp:extent cx="2503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4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Orlando, Florida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32827</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203200</wp:posOffset>
            </wp:positionV>
            <wp:extent cx="2503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7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Title of each class</w:t>
            </w:r>
          </w:p>
        </w:tc>
        <w:tc>
          <w:tcPr>
            <w:tcW w:w="23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w:t>
            </w:r>
          </w:p>
        </w:tc>
        <w:tc>
          <w:tcPr>
            <w:tcW w:w="4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ind w:left="82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On December 9, 2024, the Compensation Committee (the “Committee”) of the Board of Directors of Innventure, Inc. (the “Company”) met and approved the grant of equity compensation awards (the “Equity Awards”), including awards to the Company’s principal financial officer and certain of the Company’s named executive officers (the “NEOs”).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Equity Awards provide participants with an opportunity to earn or vest in equity-based awards under the Company’s 2024 Equity and Incentive Compensation Plan, previously filed with the Securities and Exchange Commission. The Committee approved the following equity-based awards in the form of restricted stock units (“RSUs”) and stock option grants (“Stock Options”), each with a grant date of December 9, 2024:</w:t>
      </w:r>
    </w:p>
    <w:p>
      <w:pPr>
        <w:spacing w:after="0" w:line="174" w:lineRule="exact"/>
        <w:rPr>
          <w:sz w:val="20"/>
          <w:szCs w:val="20"/>
          <w:color w:val="auto"/>
        </w:rPr>
      </w:pPr>
    </w:p>
    <w:tbl>
      <w:tblPr>
        <w:tblLayout w:type="fixed"/>
        <w:tblInd w:w="1150" w:type="dxa"/>
        <w:tblCellMar>
          <w:top w:w="0" w:type="dxa"/>
          <w:left w:w="0" w:type="dxa"/>
          <w:bottom w:w="0" w:type="dxa"/>
          <w:right w:w="0" w:type="dxa"/>
        </w:tblCellMar>
      </w:tblPr>
      <w:tr>
        <w:trPr>
          <w:trHeight w:val="250"/>
        </w:trPr>
        <w:tc>
          <w:tcPr>
            <w:tcW w:w="3140" w:type="dxa"/>
            <w:vAlign w:val="bottom"/>
            <w:tcBorders>
              <w:top w:val="single" w:sz="8" w:color="auto"/>
              <w:left w:val="single" w:sz="8" w:color="auto"/>
              <w:bottom w:val="single" w:sz="8" w:color="auto"/>
              <w:right w:val="single" w:sz="8" w:color="auto"/>
            </w:tcBorders>
            <w:shd w:val="clear" w:color="auto" w:fill="D8D8D8"/>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31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David Yablunosky (CFO)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336,066</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163,934</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Otworth (NEO)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537,705</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262,295</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Dr. John Scott (NEO)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336,066</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163,934</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Mr. Yablunosky, the RSUs will generally vest in three equal installments following the grant date, starting on May 1, 2025, and annually thereafter, subject to his continuous service to the Company through the applicable vesting date. For Mr. Otworth and Dr. Scott, the RSUs will generally vest on October 2, 2025 or, if earlier, on the same date that the lock-up set forth in the contractual lock-up agreement entered into by each of them on October 24, 2023 (the “Contractual Lock-Up”) terminates pursuant to its terms, in each case subject to their continuous service to the Company through the applicable vesting date.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Mr. Yablunosky, the Stock Options will generally vest and become exercisable with respect to (i) 25% of the shares of the Company’s common stock, par value $0.0001 per share (“Common Stock”), underlying the Stock Options on May 1, 2025 and (ii) 75% of the shares of Common Stock underlying the Stock Options in eight substantially equal installments on each three-month anniversary thereafter, subject to his continuous service to the Company through the applicable vesting date. For Mr. Otworth and Dr. Scott, the Stock Options will generally vest and become exercisable with respect to 100% of the shares of Common Stock underlying the Stock Options on October 2, 2025 or, if earlier, on the same date that the Contractual Lock-Up terminates pursuant to its terms, in each case subject to their continuous service to the Company through the applicable vesting date. The Stock Options have an exercise price of $12.20, the closing price of the Common Stock on the grant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forms of Notice of Grant of Restricted Stock Units and Restricted Stock Units Agreement and Notice of Grant of Nonqualified Stock Option and Nonqualified Stock Option Agreement, which are filed as Exhibit 10.1 and Exhibit 10.2,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20" w:type="dxa"/>
            <w:vAlign w:val="bottom"/>
          </w:tcPr>
          <w:p>
            <w:pPr>
              <w:spacing w:after="0"/>
              <w:rPr>
                <w:sz w:val="20"/>
                <w:szCs w:val="20"/>
                <w:color w:val="auto"/>
              </w:rPr>
            </w:pPr>
          </w:p>
        </w:tc>
      </w:tr>
      <w:tr>
        <w:trPr>
          <w:trHeight w:val="432"/>
        </w:trPr>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840" w:type="dxa"/>
            <w:vAlign w:val="bottom"/>
          </w:tcPr>
          <w:p>
            <w:pPr>
              <w:spacing w:after="0"/>
              <w:rPr>
                <w:sz w:val="24"/>
                <w:szCs w:val="24"/>
                <w:color w:val="auto"/>
              </w:rPr>
            </w:pPr>
          </w:p>
        </w:tc>
        <w:tc>
          <w:tcPr>
            <w:tcW w:w="32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60" w:type="dxa"/>
            <w:vAlign w:val="bottom"/>
          </w:tcPr>
          <w:p>
            <w:pPr>
              <w:spacing w:after="0"/>
              <w:rPr>
                <w:sz w:val="24"/>
                <w:szCs w:val="24"/>
                <w:color w:val="auto"/>
              </w:rPr>
            </w:pPr>
          </w:p>
        </w:tc>
        <w:tc>
          <w:tcPr>
            <w:tcW w:w="9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Notice of Grant of Restricted Stock Units and Restricted Stock Units Agreement for Executive Officers</w:t>
            </w:r>
          </w:p>
        </w:tc>
      </w:tr>
      <w:tr>
        <w:trPr>
          <w:trHeight w:val="196"/>
        </w:trPr>
        <w:tc>
          <w:tcPr>
            <w:tcW w:w="1160" w:type="dxa"/>
            <w:vAlign w:val="bottom"/>
            <w:gridSpan w:val="3"/>
          </w:tcPr>
          <w:p>
            <w:pPr>
              <w:jc w:val="center"/>
              <w:ind w:left="75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660" w:type="dxa"/>
            <w:vAlign w:val="bottom"/>
          </w:tcPr>
          <w:p>
            <w:pPr>
              <w:spacing w:after="0"/>
              <w:rPr>
                <w:sz w:val="17"/>
                <w:szCs w:val="17"/>
                <w:color w:val="auto"/>
              </w:rPr>
            </w:pPr>
          </w:p>
        </w:tc>
        <w:tc>
          <w:tcPr>
            <w:tcW w:w="94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Form of Notice of Grant of Nonqualified Stock Option and Nonqualified Stock Option Agreement for Executive Officers</w:t>
            </w:r>
          </w:p>
        </w:tc>
      </w:tr>
      <w:tr>
        <w:trPr>
          <w:trHeight w:val="237"/>
        </w:trPr>
        <w:tc>
          <w:tcPr>
            <w:tcW w:w="860" w:type="dxa"/>
            <w:vAlign w:val="bottom"/>
            <w:gridSpan w:val="2"/>
          </w:tcPr>
          <w:p>
            <w:pPr>
              <w:spacing w:after="0"/>
              <w:rPr>
                <w:sz w:val="20"/>
                <w:szCs w:val="20"/>
                <w:color w:val="auto"/>
              </w:rPr>
            </w:pPr>
          </w:p>
        </w:tc>
        <w:tc>
          <w:tcPr>
            <w:tcW w:w="30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9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398"/>
        </w:trPr>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00" w:firstLine="55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13, 2024</w:t>
      </w:r>
      <w:r>
        <w:rPr>
          <w:sz w:val="20"/>
          <w:szCs w:val="20"/>
          <w:color w:val="auto"/>
        </w:rPr>
        <w:tab/>
      </w: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RESTRICTED STOCK UNITS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the Participant the number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set forth below under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RSUs are subject to all of the terms and conditions in this Notice of Grant of Restricted Stock Units (this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in the Restricted Stock Units Agreement attached hereto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in the Plan. Capitalized terms used, but not otherwise defined, in this Grant Notice will have the meanings given to such terms in the Plan or Agreement, and the Plan and the Agreement are hereby incorporated by reference into this Grant Notice. If there are any inconsistences between this Grant Notice or the Agreement and the Plan, the terms of the Plan shall govern.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Subject to the conditions set forth in the Agreement, including but not limited</w:t>
            </w: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to the Participant’s continuous service to the Company or a Subsidiary until</w:t>
            </w:r>
          </w:p>
        </w:tc>
      </w:tr>
      <w:tr>
        <w:trPr>
          <w:trHeight w:val="234"/>
        </w:trPr>
        <w:tc>
          <w:tcPr>
            <w:tcW w:w="3900" w:type="dxa"/>
            <w:vAlign w:val="bottom"/>
          </w:tcPr>
          <w:p>
            <w:pPr>
              <w:spacing w:after="0"/>
              <w:rPr>
                <w:sz w:val="20"/>
                <w:szCs w:val="20"/>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the applicable vesting date, the RSUs shall vest as follows: [________].</w:t>
            </w:r>
          </w:p>
        </w:tc>
      </w:tr>
      <w:tr>
        <w:trPr>
          <w:trHeight w:val="398"/>
        </w:trPr>
        <w:tc>
          <w:tcPr>
            <w:tcW w:w="39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pursuant to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the Participant named in the Notice of Grant of Restricted Stock Units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to which this Restricted Stock Units Agreement is attached (together with the Grant Notice,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 award of Restricted Stock Units as set forth in such Grant Notice, subject to the terms and conditions set forth in this Agreement.</w:t>
      </w:r>
    </w:p>
    <w:p>
      <w:pPr>
        <w:spacing w:after="0" w:line="176" w:lineRule="exact"/>
        <w:rPr>
          <w:sz w:val="20"/>
          <w:szCs w:val="20"/>
          <w:color w:val="auto"/>
        </w:rPr>
      </w:pPr>
    </w:p>
    <w:p>
      <w:pPr>
        <w:ind w:firstLine="656"/>
        <w:spacing w:after="0" w:line="286" w:lineRule="auto"/>
        <w:tabs>
          <w:tab w:leader="none" w:pos="12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Capitalized terms used, but not otherwise defined, in this Agreement will have the meanings given to such terms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As used in this Agreement:</w:t>
      </w:r>
    </w:p>
    <w:p>
      <w:pPr>
        <w:spacing w:after="0" w:line="159" w:lineRule="exact"/>
        <w:rPr>
          <w:sz w:val="20"/>
          <w:szCs w:val="20"/>
          <w:color w:val="auto"/>
        </w:rPr>
      </w:pPr>
    </w:p>
    <w:p>
      <w:pPr>
        <w:jc w:val="both"/>
        <w:ind w:left="1300" w:hanging="644"/>
        <w:spacing w:after="0" w:line="253"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“Cause” (or a term of substantively similar meaning) as defined in an individual employment or consulting agreement in effect as of the Date of Grant between the Participant and the Company or any Subsidiary (a “</w:t>
      </w:r>
      <w:r>
        <w:rPr>
          <w:rFonts w:ascii="Times New Roman" w:cs="Times New Roman" w:eastAsia="Times New Roman" w:hAnsi="Times New Roman"/>
          <w:sz w:val="18"/>
          <w:szCs w:val="18"/>
          <w:u w:val="single" w:color="auto"/>
          <w:color w:val="auto"/>
        </w:rPr>
        <w:t>Service Agreement</w:t>
      </w:r>
      <w:r>
        <w:rPr>
          <w:rFonts w:ascii="Times New Roman" w:cs="Times New Roman" w:eastAsia="Times New Roman" w:hAnsi="Times New Roman"/>
          <w:sz w:val="18"/>
          <w:szCs w:val="18"/>
          <w:color w:val="auto"/>
        </w:rPr>
        <w:t>”) or as set forth in a severance plan in which the Participant participates as of the Date of Grant, if any, in each case, or, if the Participant does not have a Service Agreement or participate in such executive severance plan as of the Date of Grant (or such Service Agreement or plan does not define “Cause”), then “Cause” shall mean (i) the Participant’s commission of, conviction for, or plea of guilty or nolo contendere to, a felony or a crime involving moral turpitude, or other material act or omission involving dishonesty or fraud, (ii) the Participant’s conduct that results in or is reasonably likely to result in harm to the reputation or business of the Company or any of its affiliates in any material way, (iii) the Participant’s material failure to perform duties as reasonably directed by the Company or the Participant’s material violation of any rule, regulation, policy or plan for the conduct of any service provider to the Company or its affiliates or its or their business (which, if curable, is not cured within 30 days after notice thereof is provided to the Participant) or (iv) the Participant’s gross negligence, willful malfeasance or material act of disloyalty with respect to the Company or its affiliates.</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similar terms) shall mean a circumstance in which the Participant is unable to perform the Participant’s duties to the Company or its affiliates by reason of any medically determinable physical or mental impairment which can be expected to result in death or which has lasted or can reasonably be expected to last for a continuous period of not less than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left="1300" w:hanging="644"/>
        <w:spacing w:after="0" w:line="253"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set forth in the Participant’s Service Agreement or set forth in a severance plan in which the Participant participates as of the Date of Grant, if any, or, if the Participant does not have a Service Agreement or participate in such severance plan as of the Date of Grant (or such Service Agreement or plan does not define “Good Reason”), then “Good Reason” shall mean the occurrence of any of the following events without the Participant’s express written consent: (i) an involuntary material reduction in the Participant’s then-current base salary or base pay; (ii) a material diminution in the Participant’s authority, duties or responsibilities; (iii) a mandatory relocation of the Participant’s primary work location to a location more than 50 miles from the Participant’s work location as of the date of this Agreement; or (iv) a material breach by the Company of the terms of this Agreement or any other material agreement with the Participant. To terminate the Participant’s service for Good Reason, the Participant must provide written notice to the Company of the existence of the circumstances providing grounds for termination for Good Reason within 90 days of the initial existence of such grounds and the Company must have at least 30 days from the date on which such notice is provided to cure such circumstances. If the Participant does not terminate the Participant’s service for Good Reason within 30 days after the expiration of the Company’s cure period, then the Participant will be deemed to have waived the Participant’s right to terminate for Good Reason with respect to such grounds.</w:t>
      </w:r>
    </w:p>
    <w:p>
      <w:pPr>
        <w:spacing w:after="0" w:line="183" w:lineRule="exact"/>
        <w:rPr>
          <w:sz w:val="20"/>
          <w:szCs w:val="20"/>
          <w:color w:val="auto"/>
        </w:rPr>
      </w:pPr>
    </w:p>
    <w:p>
      <w:pPr>
        <w:jc w:val="both"/>
        <w:ind w:firstLine="656"/>
        <w:spacing w:after="0" w:line="268" w:lineRule="auto"/>
        <w:tabs>
          <w:tab w:leader="none" w:pos="13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RSUs</w:t>
      </w:r>
      <w:r>
        <w:rPr>
          <w:rFonts w:ascii="Times New Roman" w:cs="Times New Roman" w:eastAsia="Times New Roman" w:hAnsi="Times New Roman"/>
          <w:sz w:val="18"/>
          <w:szCs w:val="18"/>
          <w:color w:val="auto"/>
        </w:rPr>
        <w:t>. Subject to and upon the terms, conditions and restrictions set forth in this Agreement and in the Plan,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the Participant, as of the Date of Grant, the number of RSUs set forth in the Grant Notice. Each RSU shall represent the right of the Participant to receive one share of Common Stock subject to and upon the terms and conditions of this Agreement.</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Transfer of RSUs</w:t>
      </w:r>
      <w:r>
        <w:rPr>
          <w:rFonts w:ascii="Times New Roman" w:cs="Times New Roman" w:eastAsia="Times New Roman" w:hAnsi="Times New Roman"/>
          <w:sz w:val="18"/>
          <w:szCs w:val="18"/>
          <w:color w:val="auto"/>
        </w:rPr>
        <w:t>. Subject to Section 15 of the Plan, neither the RSUs evidenced hereby nor any interest therein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shares of Common Stock underlying such RSUs shall be transferable prior to payment to the Participant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hereof other than by will or pursuant to the laws of descent and distribution.</w:t>
      </w:r>
    </w:p>
    <w:p>
      <w:pPr>
        <w:spacing w:after="0" w:line="170"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RSUs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shall vest in accordance with the Vesting Schedule set forth in the Grant Notice (the period from the Date of Grant until the last applicable vesting date, the “</w:t>
      </w:r>
      <w:r>
        <w:rPr>
          <w:rFonts w:ascii="Times New Roman" w:cs="Times New Roman" w:eastAsia="Times New Roman" w:hAnsi="Times New Roman"/>
          <w:sz w:val="18"/>
          <w:szCs w:val="18"/>
          <w:u w:val="single" w:color="auto"/>
          <w:color w:val="auto"/>
        </w:rPr>
        <w:t>Vesting Period</w:t>
      </w:r>
      <w:r>
        <w:rPr>
          <w:rFonts w:ascii="Times New Roman" w:cs="Times New Roman" w:eastAsia="Times New Roman" w:hAnsi="Times New Roman"/>
          <w:sz w:val="18"/>
          <w:szCs w:val="18"/>
          <w:color w:val="auto"/>
        </w:rPr>
        <w:t xml:space="preserve">”). Any RSUs that do not so become vested will be forfeited, including, except as provided in </w:t>
      </w:r>
      <w:r>
        <w:rPr>
          <w:rFonts w:ascii="Times New Roman" w:cs="Times New Roman" w:eastAsia="Times New Roman" w:hAnsi="Times New Roman"/>
          <w:sz w:val="18"/>
          <w:szCs w:val="18"/>
          <w:b w:val="1"/>
          <w:bCs w:val="1"/>
          <w:u w:val="single" w:color="auto"/>
          <w:color w:val="auto"/>
        </w:rPr>
        <w:t>Sections 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4(c)</w:t>
      </w:r>
      <w:r>
        <w:rPr>
          <w:rFonts w:ascii="Times New Roman" w:cs="Times New Roman" w:eastAsia="Times New Roman" w:hAnsi="Times New Roman"/>
          <w:sz w:val="18"/>
          <w:szCs w:val="18"/>
          <w:color w:val="auto"/>
        </w:rPr>
        <w:t xml:space="preserve"> below, if the Participant ceases to provide continuous service to the Company or a Subsidiary for any reason prior to the end of the Vesting Period. For purposes of this Agreement, “continuous service” (or substantially similar terms) means the absence of any interruption or termination of the Participant’s employment or consulting relationship, as applicable, with the Company or a Subsidiary. Continuous service shall not be considered interrupted or terminated in the case of transfers between locations of the Company and its Subsidiaries.</w:t>
      </w:r>
    </w:p>
    <w:p>
      <w:pPr>
        <w:spacing w:after="0" w:line="18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upon the Participant’s death or Disability, in each case prior to the end of the Vesting Period, the RSUs (to the extent not previously forfeited) shall vest in full.</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in the event of a Change in Control that occurs prior to the end of the Vesting Period, the RSUs (to the extent not previously forfeited) shall become vested and payable in accordance with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below.</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684" w:hanging="684"/>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a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hanging="644"/>
        <w:spacing w:after="0" w:line="259"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if at any time before the end of the Vesting Period or forfeiture of the RSUs, and while the Participant is continuously providing service to the Company or a Subsidiary, a Change in Control occurs, then all of the RSUs will become vested, except to the extent that a Replacement Award is provided to the Participant in accordance with </w:t>
      </w:r>
      <w:r>
        <w:rPr>
          <w:rFonts w:ascii="Times New Roman" w:cs="Times New Roman" w:eastAsia="Times New Roman" w:hAnsi="Times New Roman"/>
          <w:sz w:val="18"/>
          <w:szCs w:val="18"/>
          <w:b w:val="1"/>
          <w:bCs w:val="1"/>
          <w:u w:val="single" w:color="auto"/>
          <w:color w:val="auto"/>
        </w:rPr>
        <w:t>Section 5(b)</w:t>
      </w:r>
      <w:r>
        <w:rPr>
          <w:rFonts w:ascii="Times New Roman" w:cs="Times New Roman" w:eastAsia="Times New Roman" w:hAnsi="Times New Roman"/>
          <w:sz w:val="18"/>
          <w:szCs w:val="18"/>
          <w:color w:val="auto"/>
        </w:rPr>
        <w:t xml:space="preserve"> to continue, replace or assume the RSUs covered by this Agreement (the “</w:t>
      </w:r>
      <w:r>
        <w:rPr>
          <w:rFonts w:ascii="Times New Roman" w:cs="Times New Roman" w:eastAsia="Times New Roman" w:hAnsi="Times New Roman"/>
          <w:sz w:val="18"/>
          <w:szCs w:val="18"/>
          <w:u w:val="single" w:color="auto"/>
          <w:color w:val="auto"/>
        </w:rPr>
        <w:t>Replaced Award</w:t>
      </w:r>
      <w:r>
        <w:rPr>
          <w:rFonts w:ascii="Times New Roman" w:cs="Times New Roman" w:eastAsia="Times New Roman" w:hAnsi="Times New Roman"/>
          <w:sz w:val="18"/>
          <w:szCs w:val="18"/>
          <w:color w:val="auto"/>
        </w:rPr>
        <w:t>”) immediately prior to (and contingent upon) the Change in Control.</w:t>
      </w:r>
    </w:p>
    <w:p>
      <w:pPr>
        <w:spacing w:after="0" w:line="18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Replacement Award</w:t>
      </w:r>
      <w:r>
        <w:rPr>
          <w:rFonts w:ascii="Times New Roman" w:cs="Times New Roman" w:eastAsia="Times New Roman" w:hAnsi="Times New Roman"/>
          <w:sz w:val="18"/>
          <w:szCs w:val="18"/>
          <w:color w:val="auto"/>
        </w:rPr>
        <w:t>” means an award (i) of the same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time-based restricted stock units)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consequences of which to such Participant under the Code are not less favorable to such Participant than the tax consequences of the Replaced Award, and (v) the other terms and conditions of which are not less favorable to the Participant holding the Replaced Award than the terms and conditions of the Replaced Award (including the provisions that would apply in the event of a subsequent termination of service or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paragraph are satisfied will be made by the Board or Committee, as constituted immediately before the Change in Control, in its sole discretion.</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12 months after receiving a Replacement Award, the Participant experiences a termination of service with the Company or a Subsidiary (or any of their successors) (as applicable,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by reason of a termination by the Successor without Cause or by the Participant for Good Reason during the remaining vesting period for the Replacement Award, the Replacement Award shall immediately vest.</w:t>
      </w:r>
    </w:p>
    <w:p>
      <w:pPr>
        <w:spacing w:after="0" w:line="176" w:lineRule="exact"/>
        <w:rPr>
          <w:sz w:val="20"/>
          <w:szCs w:val="20"/>
          <w:color w:val="auto"/>
        </w:rPr>
      </w:pPr>
    </w:p>
    <w:p>
      <w:pPr>
        <w:ind w:left="684" w:hanging="684"/>
        <w:spacing w:after="0"/>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and Time of Payment of RSUs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for the RSUs, after and to the extent they have become vested, shall be made in the form of one share of Common Stock for each vested RSU. Payment shall be made no later than March 15 of the calendar year following the calendar year in which the date that the RSUs become vested pursuant to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events, payment for the RSUs (to the extent vested) shall be made within the short-term deferral period for purposes of Section 409A of the Code.</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7" w:name="page8"/>
    <w:bookmarkEnd w:id="7"/>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the Participant with respect to the RSUs will be satisfied in full upon the issuance of shares of Common Stock corresponding to such RSUs.</w:t>
      </w:r>
    </w:p>
    <w:p>
      <w:pPr>
        <w:spacing w:after="0" w:line="158" w:lineRule="exact"/>
        <w:rPr>
          <w:sz w:val="20"/>
          <w:szCs w:val="20"/>
          <w:color w:val="auto"/>
        </w:rPr>
      </w:pPr>
    </w:p>
    <w:p>
      <w:pPr>
        <w:ind w:left="1340" w:hanging="684"/>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 Equivalents; Voting and Other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shall have no rights of ownership in the shares of Common Stock underlying the RSUs and no right to vote the shares of Common Stock underlying the RSUs until the date on which the shares of Common Stock underlying the RSUs are issued or transferred to the Participant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Grant and until the earlier of (i) the time when the RSUs become vested and are paid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(ii) the time when the Participant’s right to receive shares of Common Stock in payment of the RSUs is forfeited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on the date that the Company pays a cash dividend (if any) to holders of shares of Common Stock generally, the Participant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 are settled.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spacing w:after="0" w:line="172" w:lineRule="exact"/>
        <w:rPr>
          <w:sz w:val="20"/>
          <w:szCs w:val="20"/>
          <w:color w:val="auto"/>
        </w:rPr>
      </w:pPr>
    </w:p>
    <w:p>
      <w:pPr>
        <w:ind w:firstLine="656"/>
        <w:spacing w:after="0" w:line="286" w:lineRule="auto"/>
        <w:tabs>
          <w:tab w:leader="none" w:pos="1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number of shares of Common Stock issuable for each RSU and the other terms and conditions of the grant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are subject to mandatory adjustment, including as provided in Section 11 of the Plan.</w:t>
      </w:r>
    </w:p>
    <w:p>
      <w:pPr>
        <w:spacing w:after="0" w:line="154" w:lineRule="exact"/>
        <w:rPr>
          <w:rFonts w:ascii="Times New Roman" w:cs="Times New Roman" w:eastAsia="Times New Roman" w:hAnsi="Times New Roman"/>
          <w:sz w:val="18"/>
          <w:szCs w:val="18"/>
          <w:color w:val="auto"/>
        </w:rPr>
      </w:pPr>
    </w:p>
    <w:p>
      <w:pPr>
        <w:jc w:val="both"/>
        <w:ind w:firstLine="656"/>
        <w:spacing w:after="0" w:line="254" w:lineRule="auto"/>
        <w:tabs>
          <w:tab w:leader="none" w:pos="13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To the extent that the Company is required to withhold federal, state, local, or foreign taxes or other amounts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payment made or benefit realized by the Participant under this Agreement, and the amounts available to the Company for such withholding are insufficient, it shall be a condition to the receipt of such payment or the realization of such benefit that the Participant make arrangements satisfactory to the Company for payment of the balance of such taxes or other amounts required to be withheld. If the Participant’s benefit is to be received in the form of shares of Common Stock, then, unless otherwise determined by the Committee, the Company will withhold shares of Common Stock having a value equal to the amount required to be withheld. The shares of Common Stock used for tax or other withholding will be valued at an amount equal to the fair market value of such shares of Common Stock on the date the benefit is to be included in the Participant’s income. In no event will the market value of Common Stock to be withheld pursuant to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to satisfy applicable withholding taxes or other amounts exceed the minimum amount of taxes required to be withheld. Notwithstanding any other provision of this Agreement, the Company shall not be obligated to guarantee any particular tax result for the Participant with respect to any payment provided to the Participant hereunder, and the Participant shall be responsible for any taxes imposed on the Participant with respect to any such payment.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1340" w:hanging="68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make reasonable efforts to comply with all applicable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other provision of the Plan and this Agreement, the Company shall not be obligated to issue any shares of Common Stock pursuant to this Agreement if the issuance thereof would result in a violation of any such law.</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 nothing in this Agreement or otherwise limits the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88" w:lineRule="exact"/>
        <w:rPr>
          <w:sz w:val="20"/>
          <w:szCs w:val="20"/>
          <w:color w:val="auto"/>
        </w:rPr>
      </w:pPr>
    </w:p>
    <w:p>
      <w:pPr>
        <w:jc w:val="both"/>
        <w:ind w:firstLine="656"/>
        <w:spacing w:after="0" w:line="257" w:lineRule="auto"/>
        <w:tabs>
          <w:tab w:leader="none" w:pos="13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Section 409A of the Code</w:t>
      </w:r>
      <w:r>
        <w:rPr>
          <w:rFonts w:ascii="Times New Roman" w:cs="Times New Roman" w:eastAsia="Times New Roman" w:hAnsi="Times New Roman"/>
          <w:sz w:val="18"/>
          <w:szCs w:val="18"/>
          <w:color w:val="auto"/>
        </w:rPr>
        <w:t>. To the extent applicable, it is intended that this Agreement and the Plan comply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Notwithstanding the foregoing, the Company is not guaranteeing any particular tax outcome, and the Participant shall remain solely liable for any and all tax consequences associated with the RSUs.</w:t>
      </w:r>
    </w:p>
    <w:p>
      <w:pPr>
        <w:spacing w:after="0" w:line="182" w:lineRule="exact"/>
        <w:rPr>
          <w:rFonts w:ascii="Times New Roman" w:cs="Times New Roman" w:eastAsia="Times New Roman" w:hAnsi="Times New Roman"/>
          <w:sz w:val="18"/>
          <w:szCs w:val="18"/>
          <w:color w:val="auto"/>
        </w:rPr>
      </w:pPr>
    </w:p>
    <w:p>
      <w:pPr>
        <w:jc w:val="both"/>
        <w:ind w:right="20" w:firstLine="656"/>
        <w:spacing w:after="0" w:line="317" w:lineRule="auto"/>
        <w:tabs>
          <w:tab w:leader="none" w:pos="15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Interpretation</w:t>
      </w:r>
      <w:r>
        <w:rPr>
          <w:rFonts w:ascii="Times New Roman" w:cs="Times New Roman" w:eastAsia="Times New Roman" w:hAnsi="Times New Roman"/>
          <w:sz w:val="17"/>
          <w:szCs w:val="17"/>
          <w:color w:val="auto"/>
        </w:rPr>
        <w:t>. Any reference in this Agreement to Section 409A of the Code will also include any proposed, temporary or final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 or any other guidance, promulgated with respect to such Section 409A by the U.S. Department of the Treasury or the Internal Revenue Service.</w:t>
      </w:r>
    </w:p>
    <w:p>
      <w:pPr>
        <w:spacing w:after="0" w:line="131" w:lineRule="exact"/>
        <w:rPr>
          <w:rFonts w:ascii="Times New Roman" w:cs="Times New Roman" w:eastAsia="Times New Roman" w:hAnsi="Times New Roman"/>
          <w:sz w:val="17"/>
          <w:szCs w:val="17"/>
          <w:color w:val="auto"/>
        </w:rPr>
      </w:pPr>
    </w:p>
    <w:p>
      <w:pPr>
        <w:jc w:val="both"/>
        <w:ind w:firstLine="656"/>
        <w:spacing w:after="0" w:line="257" w:lineRule="auto"/>
        <w:tabs>
          <w:tab w:leader="none" w:pos="14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Future Awards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the RSUs under this Agreement to the Participant is a voluntary, discretionary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Participant any right to provide service or continue to provide service to the Company or any of its Subsidiaries, nor limit or affect in any manner the right of the Company or any of its Subsidiaries to terminate the service or adjust the compensation of the Participant.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ind w:firstLine="656"/>
        <w:spacing w:after="0" w:line="268" w:lineRule="auto"/>
        <w:tabs>
          <w:tab w:leader="none" w:pos="13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Other Benefits</w:t>
      </w:r>
      <w:r>
        <w:rPr>
          <w:rFonts w:ascii="Times New Roman" w:cs="Times New Roman" w:eastAsia="Times New Roman" w:hAnsi="Times New Roman"/>
          <w:sz w:val="18"/>
          <w:szCs w:val="18"/>
          <w:color w:val="auto"/>
        </w:rPr>
        <w:t>. Any economic or other benefit to the Participant under this Agreement or the Plan shall not be taken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in determining any benefits to which the Participant may be entitled under any other compensatory arrangement maintained by the Company or any of its Subsidiaries.</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Any amendment to the Plan shall be deemed to be an amendment to this Agreement to the extent that the amendment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shall adversely affect the rights of the Participant under this Agreement without the Participant’s written consent, and the Participant’s consent shall not be required to an amendment that is deemed necessary by the Company to ensure compliance with Section 409A of the Code or Section 10D of the Exchange Act.</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5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any provision so invalidated shall be deemed to be separable from the other provisions hereof, and the remaining provisions hereof shall continue to be valid and fully enforceable.</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Plan</w:t>
      </w:r>
      <w:r>
        <w:rPr>
          <w:rFonts w:ascii="Times New Roman" w:cs="Times New Roman" w:eastAsia="Times New Roman" w:hAnsi="Times New Roman"/>
          <w:sz w:val="18"/>
          <w:szCs w:val="18"/>
          <w:color w:val="auto"/>
        </w:rPr>
        <w:t>. The RSUs granted under this Agreement and all of the terms and conditions hereof are subject to all of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the Plan. In the event of any inconsistency between this Agreement and the Plan, the terms of the Plan will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52" w:lineRule="auto"/>
        <w:tabs>
          <w:tab w:leader="none" w:pos="14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The Participant acknowledges and agrees that the terms and conditions set forth in the Innventure, Inc.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 Policy (as may be amended and restated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are incorporated in this Agreement by reference. To the extent the Clawback Policy is applicable to the Recipient, it creates additional rights for the Company with respect to applicable compensation, including, without limitation, annual cash incentive compensation and long-term incentive compensation awards granted to the Participant by the Company. Notwithstanding any provisions in this Agreement to the contrary, applicable compensation, including, without limitation, annual cash incentive compensation and long-term incentive compensation, will be subject to potential mandatory cancellation, forfeiture and/or repayment by the Participant to the Company to the extent the Participant is, or in the future becomes, subject to (i) any Company clawback or recoupment policy, including the Clawback Policy and any other policies that are adopted by the Company, whether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RSU award under the Plan and pursuant to this Agreement, the Participant consents to be bound by the terms of the Clawback Policy, if applicable, and agrees and acknowledges that the Participant is obligated to cooperate with, and provide any and all assistance necessary to, the Company in its efforts to recover or recoup other applicable compensation, including, without limitation, annual cash incentive compensation and long-term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left="-20" w:firstLine="656"/>
        <w:spacing w:after="0" w:line="262" w:lineRule="auto"/>
        <w:tabs>
          <w:tab w:leader="none" w:pos="14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deliver any documents related to the RSUs and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18"/>
          <w:szCs w:val="18"/>
          <w:color w:val="auto"/>
        </w:rPr>
      </w:pPr>
    </w:p>
    <w:p>
      <w:pPr>
        <w:ind w:left="-20" w:firstLine="656"/>
        <w:spacing w:after="0" w:line="286" w:lineRule="auto"/>
        <w:tabs>
          <w:tab w:leader="none" w:pos="14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with the internal substantive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any principle of law that would result in the application of the law of any other jurisdiction.</w:t>
      </w:r>
    </w:p>
    <w:p>
      <w:pPr>
        <w:spacing w:after="0" w:line="154" w:lineRule="exact"/>
        <w:rPr>
          <w:rFonts w:ascii="Times New Roman" w:cs="Times New Roman" w:eastAsia="Times New Roman" w:hAnsi="Times New Roman"/>
          <w:sz w:val="18"/>
          <w:szCs w:val="18"/>
          <w:color w:val="auto"/>
        </w:rPr>
      </w:pPr>
    </w:p>
    <w:p>
      <w:pPr>
        <w:ind w:left="-20" w:firstLine="656"/>
        <w:spacing w:after="0" w:line="286" w:lineRule="auto"/>
        <w:tabs>
          <w:tab w:leader="none" w:pos="12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provisions of this Agreement shall inure to the benefit of, and be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successors, administrators, heirs, legal representatives and assigns of the Participant, and the successors and assigns of the Company.</w:t>
      </w:r>
    </w:p>
    <w:p>
      <w:pPr>
        <w:spacing w:after="0" w:line="154"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The Participant acknowledges that the Participant (a) has received a copy of the Plan, (b) has had an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the terms of this Agreement and the Plan, (c) understands the terms and conditions of this Agreement and the Plan and (d) agrees to such terms and conditions.</w:t>
      </w:r>
    </w:p>
    <w:p>
      <w:pPr>
        <w:spacing w:after="0" w:line="170" w:lineRule="exact"/>
        <w:rPr>
          <w:rFonts w:ascii="Times New Roman" w:cs="Times New Roman" w:eastAsia="Times New Roman" w:hAnsi="Times New Roman"/>
          <w:sz w:val="18"/>
          <w:szCs w:val="18"/>
          <w:color w:val="auto"/>
        </w:rPr>
      </w:pPr>
    </w:p>
    <w:p>
      <w:pPr>
        <w:ind w:left="-20" w:firstLine="656"/>
        <w:spacing w:after="0" w:line="286" w:lineRule="auto"/>
        <w:tabs>
          <w:tab w:leader="none" w:pos="12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day and year indicated below.</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Participant Acknowledgment and Acceptance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NONQUALIFIED STOCK OPTION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Optionee an Option Right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the number of shares of Common Stock set forth below under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Option is subject to all of the terms and conditions in this Notice of Grant of Nonqualified Stock Option (this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in the Nonqualified Stock Option Agreement attached hereto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in the Plan. Capitalized terms used, but not otherwise defined, in this Grant Notice will have the meanings given to such terms in the Plan or Agreement, as applicable, and the Plan and Agreement are hereby incorporated by reference into this Grant Notice. If there are any inconsistencies between this Grant Notice or the Agreement and the Plan, the terms of the Plan shall govern.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Optionee: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[NAME]</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Nonqualified Option Right</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Number of Shares Subject to the Option:</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Option Price (per share):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Subject to the conditions set forth in the Agreement, including but not limited</w:t>
            </w:r>
          </w:p>
        </w:tc>
      </w:tr>
      <w:tr>
        <w:trPr>
          <w:trHeight w:val="216"/>
        </w:trPr>
        <w:tc>
          <w:tcPr>
            <w:tcW w:w="4780" w:type="dxa"/>
            <w:vAlign w:val="bottom"/>
          </w:tcPr>
          <w:p>
            <w:pPr>
              <w:spacing w:after="0"/>
              <w:rPr>
                <w:sz w:val="18"/>
                <w:szCs w:val="18"/>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 Optionee’s continuous service to the Company or a Subsidiary until the</w:t>
            </w:r>
          </w:p>
        </w:tc>
      </w:tr>
      <w:tr>
        <w:trPr>
          <w:trHeight w:val="216"/>
        </w:trPr>
        <w:tc>
          <w:tcPr>
            <w:tcW w:w="4780" w:type="dxa"/>
            <w:vAlign w:val="bottom"/>
          </w:tcPr>
          <w:p>
            <w:pPr>
              <w:spacing w:after="0"/>
              <w:rPr>
                <w:sz w:val="18"/>
                <w:szCs w:val="18"/>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applicable vesting date, the Option shall vest and become exercisable</w:t>
            </w:r>
          </w:p>
        </w:tc>
      </w:tr>
      <w:tr>
        <w:trPr>
          <w:trHeight w:val="234"/>
        </w:trPr>
        <w:tc>
          <w:tcPr>
            <w:tcW w:w="4780" w:type="dxa"/>
            <w:vAlign w:val="bottom"/>
          </w:tcPr>
          <w:p>
            <w:pPr>
              <w:spacing w:after="0"/>
              <w:rPr>
                <w:sz w:val="20"/>
                <w:szCs w:val="20"/>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[___________].</w:t>
            </w:r>
          </w:p>
        </w:tc>
      </w:tr>
      <w:tr>
        <w:trPr>
          <w:trHeight w:val="398"/>
        </w:trPr>
        <w:tc>
          <w:tcPr>
            <w:tcW w:w="47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Stock Option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pursuant to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Optionee named in the Notice of Grant of Nonqualified Stock Option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to which this Nonqualified Stock Option Agreement is attached (together with the Grant Notice,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 Option Right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shares of Common Stock as set forth in such Grant Notice, subject to the terms and conditions set forth in this Agreement.</w:t>
      </w:r>
    </w:p>
    <w:p>
      <w:pPr>
        <w:spacing w:after="0" w:line="176"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Capitalized terms used, but not otherwise defined, in this Agreement will have the meanings given to such terms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3" w:lineRule="exact"/>
        <w:rPr>
          <w:sz w:val="20"/>
          <w:szCs w:val="20"/>
          <w:color w:val="auto"/>
        </w:rPr>
      </w:pPr>
    </w:p>
    <w:p>
      <w:pPr>
        <w:jc w:val="both"/>
        <w:ind w:firstLine="656"/>
        <w:spacing w:after="0" w:line="262"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color w:val="auto"/>
        </w:rPr>
        <w:t>. Subject to and upon the terms, conditions and restrictions set forth in this Agreement and in the Plan,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Optionee, as of the Date of Grant, an Option to purchase the number of shares of Common Stock set forth in the Grant Notice at the Option Price specified therein. The Option Price represents at least the Market Value per Share on the Date of Grant. The Option is intended to be a nonqualified stock option.</w:t>
      </w:r>
    </w:p>
    <w:p>
      <w:pPr>
        <w:spacing w:after="0" w:line="176"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73" w:lineRule="auto"/>
        <w:tabs>
          <w:tab w:leader="none" w:pos="194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the Option shall vest and become exercisable (“</w:t>
      </w:r>
      <w:r>
        <w:rPr>
          <w:rFonts w:ascii="Times New Roman" w:cs="Times New Roman" w:eastAsia="Times New Roman" w:hAnsi="Times New Roman"/>
          <w:sz w:val="17"/>
          <w:szCs w:val="17"/>
          <w:u w:val="single" w:color="auto"/>
          <w:color w:val="auto"/>
        </w:rPr>
        <w:t>Vest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Vested</w:t>
      </w:r>
      <w:r>
        <w:rPr>
          <w:rFonts w:ascii="Times New Roman" w:cs="Times New Roman" w:eastAsia="Times New Roman" w:hAnsi="Times New Roman"/>
          <w:sz w:val="17"/>
          <w:szCs w:val="17"/>
          <w:color w:val="auto"/>
        </w:rPr>
        <w:t>”) as set forth in the Grant Notice if Optionee provides continuous service to the Company or a Subsidiary in accordance with the Vesting Schedule set forth in the Grant Notice (the period from the Date of Grant until the last vesting date of the Vesting Schedule, the “</w:t>
      </w:r>
      <w:r>
        <w:rPr>
          <w:rFonts w:ascii="Times New Roman" w:cs="Times New Roman" w:eastAsia="Times New Roman" w:hAnsi="Times New Roman"/>
          <w:sz w:val="17"/>
          <w:szCs w:val="17"/>
          <w:u w:val="single" w:color="auto"/>
          <w:color w:val="auto"/>
        </w:rPr>
        <w:t>Vesting Period</w:t>
      </w:r>
      <w:r>
        <w:rPr>
          <w:rFonts w:ascii="Times New Roman" w:cs="Times New Roman" w:eastAsia="Times New Roman" w:hAnsi="Times New Roman"/>
          <w:sz w:val="17"/>
          <w:szCs w:val="17"/>
          <w:color w:val="auto"/>
        </w:rPr>
        <w:t xml:space="preserve">”). Any portion of the Option that does not so become Vested will be forfeited, including, except as provided in </w:t>
      </w:r>
      <w:r>
        <w:rPr>
          <w:rFonts w:ascii="Times New Roman" w:cs="Times New Roman" w:eastAsia="Times New Roman" w:hAnsi="Times New Roman"/>
          <w:sz w:val="17"/>
          <w:szCs w:val="17"/>
          <w:b w:val="1"/>
          <w:bCs w:val="1"/>
          <w:u w:val="single" w:color="auto"/>
          <w:color w:val="auto"/>
        </w:rPr>
        <w:t>Section 3(b)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u w:val="single" w:color="auto"/>
          <w:color w:val="auto"/>
        </w:rPr>
        <w:t>3(c)</w:t>
      </w:r>
      <w:r>
        <w:rPr>
          <w:rFonts w:ascii="Times New Roman" w:cs="Times New Roman" w:eastAsia="Times New Roman" w:hAnsi="Times New Roman"/>
          <w:sz w:val="17"/>
          <w:szCs w:val="17"/>
          <w:color w:val="auto"/>
        </w:rPr>
        <w:t xml:space="preserve"> below, if Optionee ceases to provide continuous service to the Company or a Subsidiary prior to the end of the Vesting Period. For purposes of this Agreement, “continuous service” (or substantially similar terms) means the absence of any interruption or termination of Optionee’s employment or consulting relationship, as applicable, with the Company or a Subsidiary. Continuous service shall not be considered interrupted or terminated in the case of transfers between locations of the Company and its Subsidiaries.</w:t>
      </w:r>
    </w:p>
    <w:p>
      <w:pPr>
        <w:spacing w:after="0" w:line="167" w:lineRule="exact"/>
        <w:rPr>
          <w:rFonts w:ascii="Times New Roman" w:cs="Times New Roman" w:eastAsia="Times New Roman" w:hAnsi="Times New Roman"/>
          <w:sz w:val="17"/>
          <w:szCs w:val="17"/>
          <w:color w:val="auto"/>
        </w:rPr>
      </w:pPr>
    </w:p>
    <w:p>
      <w:pPr>
        <w:ind w:firstLine="1304"/>
        <w:spacing w:after="0" w:line="286" w:lineRule="auto"/>
        <w:tabs>
          <w:tab w:leader="none" w:pos="19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the unvested portion of the Option (to the extent the Option has not been forfeited) shall Vest in full upon a termination of Optionee’s service as a result of Optionee’s death or Disability.</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in the event of a Change in Control that occurs prior to the end of the Vesting Period, the Option shall Vest in accordance with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below.</w:t>
      </w:r>
    </w:p>
    <w:p>
      <w:pPr>
        <w:spacing w:after="0" w:line="154"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 To Exercise; Termination of the Option</w:t>
      </w:r>
      <w:r>
        <w:rPr>
          <w:rFonts w:ascii="Times New Roman" w:cs="Times New Roman" w:eastAsia="Times New Roman" w:hAnsi="Times New Roman"/>
          <w:sz w:val="18"/>
          <w:szCs w:val="18"/>
          <w:color w:val="auto"/>
        </w:rPr>
        <w:t>. Any portion of the Option that becomes Vested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exercisable until, and shall terminate on, the earliest of the following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firstLine="1304"/>
        <w:spacing w:after="0" w:line="266" w:lineRule="auto"/>
        <w:tabs>
          <w:tab w:leader="none" w:pos="19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Sixty (60) days after any termination of Optionee’s service unless such termination of service (i) is a result of a termination by the Company without Cause or by Optionee for Good Reason as described in </w:t>
      </w:r>
      <w:r>
        <w:rPr>
          <w:rFonts w:ascii="Times New Roman" w:cs="Times New Roman" w:eastAsia="Times New Roman" w:hAnsi="Times New Roman"/>
          <w:sz w:val="18"/>
          <w:szCs w:val="18"/>
          <w:b w:val="1"/>
          <w:bCs w:val="1"/>
          <w:u w:val="single" w:color="auto"/>
          <w:color w:val="auto"/>
        </w:rPr>
        <w:t>Section 4(b)</w:t>
      </w:r>
      <w:r>
        <w:rPr>
          <w:rFonts w:ascii="Times New Roman" w:cs="Times New Roman" w:eastAsia="Times New Roman" w:hAnsi="Times New Roman"/>
          <w:sz w:val="18"/>
          <w:szCs w:val="18"/>
          <w:color w:val="auto"/>
        </w:rPr>
        <w:t xml:space="preserve">, (ii) is due to Optionee’s death or Disability as described in </w:t>
      </w:r>
      <w:r>
        <w:rPr>
          <w:rFonts w:ascii="Times New Roman" w:cs="Times New Roman" w:eastAsia="Times New Roman" w:hAnsi="Times New Roman"/>
          <w:sz w:val="18"/>
          <w:szCs w:val="18"/>
          <w:b w:val="1"/>
          <w:bCs w:val="1"/>
          <w:u w:val="single" w:color="auto"/>
          <w:color w:val="auto"/>
        </w:rPr>
        <w:t>Section 4(c)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4(d)</w:t>
      </w:r>
      <w:r>
        <w:rPr>
          <w:rFonts w:ascii="Times New Roman" w:cs="Times New Roman" w:eastAsia="Times New Roman" w:hAnsi="Times New Roman"/>
          <w:sz w:val="18"/>
          <w:szCs w:val="18"/>
          <w:color w:val="auto"/>
        </w:rPr>
        <w:t>, or (iii) is a result of a termination for Cause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4(e)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termination of Optionee’s service by the Company without Cause or by Optionee for Good Reason that occurs within two (2) years after a Change in Control;</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Optionee’s death if such death occurs while Optionee is providing service to the Company or any Subsidiary;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Optionee’s termination of service due to Disability;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Optionee’s service by the Company or any Subsidiary for Cause; or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from the Date of Grant.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any portion of the Option that remains outstanding, whether or not Vested, will terminate immediately on the tenth anniversary of the Date of Grant.</w:t>
      </w:r>
    </w:p>
    <w:p>
      <w:pPr>
        <w:spacing w:after="0" w:line="158" w:lineRule="exact"/>
        <w:rPr>
          <w:sz w:val="20"/>
          <w:szCs w:val="20"/>
          <w:color w:val="auto"/>
        </w:rPr>
      </w:pPr>
    </w:p>
    <w:p>
      <w:pPr>
        <w:ind w:left="1280" w:hanging="624"/>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0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if at any time before the end of the Vesting Period (or forfeiture of the Option), and while Optionee is continuously providing service to the Company or a Subsidiary, a Change in Control occurs, then the Option will Vest in full, except to the extent that a Replacement Award is provided to Optionee in accordance with </w:t>
      </w:r>
      <w:r>
        <w:rPr>
          <w:rFonts w:ascii="Times New Roman" w:cs="Times New Roman" w:eastAsia="Times New Roman" w:hAnsi="Times New Roman"/>
          <w:sz w:val="18"/>
          <w:szCs w:val="18"/>
          <w:b w:val="1"/>
          <w:bCs w:val="1"/>
          <w:u w:val="single" w:color="auto"/>
          <w:color w:val="auto"/>
        </w:rPr>
        <w:t>Section 5(b)</w:t>
      </w:r>
      <w:r>
        <w:rPr>
          <w:rFonts w:ascii="Times New Roman" w:cs="Times New Roman" w:eastAsia="Times New Roman" w:hAnsi="Times New Roman"/>
          <w:sz w:val="18"/>
          <w:szCs w:val="18"/>
          <w:color w:val="auto"/>
        </w:rPr>
        <w:t xml:space="preserve"> to continue, replace or assume the Option covered by this Agreement (the “</w:t>
      </w:r>
      <w:r>
        <w:rPr>
          <w:rFonts w:ascii="Times New Roman" w:cs="Times New Roman" w:eastAsia="Times New Roman" w:hAnsi="Times New Roman"/>
          <w:sz w:val="18"/>
          <w:szCs w:val="18"/>
          <w:u w:val="single" w:color="auto"/>
          <w:color w:val="auto"/>
        </w:rPr>
        <w:t>Replaced Award</w:t>
      </w:r>
      <w:r>
        <w:rPr>
          <w:rFonts w:ascii="Times New Roman" w:cs="Times New Roman" w:eastAsia="Times New Roman" w:hAnsi="Times New Roman"/>
          <w:sz w:val="18"/>
          <w:szCs w:val="18"/>
          <w:color w:val="auto"/>
        </w:rPr>
        <w:t>”) immediately prior to (and contingent upon) the Change in Control.</w:t>
      </w:r>
    </w:p>
    <w:p>
      <w:pPr>
        <w:spacing w:after="0" w:line="180"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2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Replacement Award</w:t>
      </w:r>
      <w:r>
        <w:rPr>
          <w:rFonts w:ascii="Times New Roman" w:cs="Times New Roman" w:eastAsia="Times New Roman" w:hAnsi="Times New Roman"/>
          <w:sz w:val="18"/>
          <w:szCs w:val="18"/>
          <w:color w:val="auto"/>
        </w:rPr>
        <w:t>” means an award (i) of the same type (e.g., time-based stock options)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Optionee holding the Replaced Award is subject to U.S. federal income tax under the Code, the tax consequences of which to such Optionee under the Code are not less favorable to such Optionee than the tax consequences of the Replaced Award, and (v) the other terms and conditions of which are not less favorable to Optionee holding the Replaced Award than the terms and conditions of the Replaced Award (including the provisions that would apply in the event of a subsequent termination of service or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paragraph are satisfied will be made by the Board or the Committee, as constituted immediately before the Change in Control,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left="-656" w:firstLine="1304"/>
        <w:spacing w:after="0" w:line="266" w:lineRule="auto"/>
        <w:tabs>
          <w:tab w:leader="none" w:pos="125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two (2) years after receiving a Replacement Award, Optionee experiences a termination of service to the Company or a Subsidiary (or any of their successors) (as applicable,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by reason of a termination by the Successor without Cause or by Optionee for Good Reason during the remaining vesting period for the Replacement Award, the Replacement Award shall immediately vest.</w:t>
      </w:r>
    </w:p>
    <w:p>
      <w:pPr>
        <w:spacing w:after="0" w:line="171"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and Payment of Option</w:t>
      </w:r>
      <w:r>
        <w:rPr>
          <w:rFonts w:ascii="Times New Roman" w:cs="Times New Roman" w:eastAsia="Times New Roman" w:hAnsi="Times New Roman"/>
          <w:sz w:val="18"/>
          <w:szCs w:val="18"/>
          <w:color w:val="auto"/>
        </w:rPr>
        <w:t>. To the extent exercisable, the Option may be exercised in whole or in part from time to time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settled in Common Stock by Optionee giving written notice to the Company at its principal office specifying the number of shares of Common Stock for which the Option is to be exercised and paying the aggregate Option Price for such Common Stock. Payment of the Option Price by Optionee shall be (a) in cash, by check acceptable to the Company or by wire transfer of immediately available funds, (b) subject to any conditions or limitations established by the Board or the Committee, by the withholding of Common Stock otherwise issuable upon exercise of the Option pursuant to a “net exercise” arrangement, (c) by a combination of such methods of payment, or (d) by such other methods as may be approved by the Board or the Committee.</w:t>
      </w:r>
    </w:p>
    <w:p>
      <w:pPr>
        <w:spacing w:after="0" w:line="182" w:lineRule="exact"/>
        <w:rPr>
          <w:rFonts w:ascii="Times New Roman" w:cs="Times New Roman" w:eastAsia="Times New Roman" w:hAnsi="Times New Roman"/>
          <w:sz w:val="18"/>
          <w:szCs w:val="18"/>
          <w:color w:val="auto"/>
        </w:rPr>
      </w:pPr>
    </w:p>
    <w:p>
      <w:pPr>
        <w:ind w:left="-656" w:firstLine="656"/>
        <w:spacing w:after="0" w:line="286"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 Binding Effect</w:t>
      </w:r>
      <w:r>
        <w:rPr>
          <w:rFonts w:ascii="Times New Roman" w:cs="Times New Roman" w:eastAsia="Times New Roman" w:hAnsi="Times New Roman"/>
          <w:sz w:val="18"/>
          <w:szCs w:val="18"/>
          <w:color w:val="auto"/>
        </w:rPr>
        <w:t>. Subject to Section 15 of the Plan, the Option is not transferable by Optionee other than by will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in no event shall the Option be transferred for value.</w:t>
      </w:r>
    </w:p>
    <w:p>
      <w:pPr>
        <w:spacing w:after="0" w:line="154"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129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“Cause” (or a term of substantively similar meaning) as defined in an individual employment or consulting agreement in effect as of the Date of Grant between Optionee and the Company or any Subsidiary (a “</w:t>
      </w:r>
      <w:r>
        <w:rPr>
          <w:rFonts w:ascii="Times New Roman" w:cs="Times New Roman" w:eastAsia="Times New Roman" w:hAnsi="Times New Roman"/>
          <w:sz w:val="18"/>
          <w:szCs w:val="18"/>
          <w:u w:val="single" w:color="auto"/>
          <w:color w:val="auto"/>
        </w:rPr>
        <w:t>Service Agreement</w:t>
      </w:r>
      <w:r>
        <w:rPr>
          <w:rFonts w:ascii="Times New Roman" w:cs="Times New Roman" w:eastAsia="Times New Roman" w:hAnsi="Times New Roman"/>
          <w:sz w:val="18"/>
          <w:szCs w:val="18"/>
          <w:color w:val="auto"/>
        </w:rPr>
        <w:t>”) or as set forth in a severance plan in which Optionee participates as of the Date of Grant, if any, in each case, or, if Optionee does not have a Service Agreement or participate in such executive severance plan as of the Date of Grant (or such Service Agreement or plan does not define “Cause”), then “Cause” shall mean (i) Optionee’s commission of, conviction for, or plea of guilty or nolo contendere to, a felony or a crime involving moral turpitude, or other material act or omission involving dishonesty or fraud, (ii) Optionee’s conduct that results in or is reasonably likely to result in harm to the reputation or business of the Company or any of its affiliates in any material way, (iii) Optionee’s material failure to perform duties as reasonably directed by the Company or Optionee’s material violation of any rule, regulation, policy or plan for the conduct of any service provider to the Company or its affiliates or its or their business (which, if curable, is not cured within 30 days after notice thereof is provided to Optionee) or (iv) Optionee’s gross negligence, willful malfeasance or material act of disloyalty with respect to the Company or its affiliates.</w:t>
      </w:r>
    </w:p>
    <w:p>
      <w:pPr>
        <w:spacing w:after="0" w:line="194"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44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similar terms) shall mean a circumstance in which Optionee is unable to perform Optionee’s duties to the Company or its affiliates by reason of any medically determinable physical or mental impairment which can be expected to result in death or which has lasted or can reasonably be expected to last for a continuous period of not less than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6" w:name="page17"/>
    <w:bookmarkEnd w:id="16"/>
    <w:p>
      <w:pPr>
        <w:jc w:val="both"/>
        <w:ind w:left="-656" w:firstLine="1304"/>
        <w:spacing w:after="0" w:line="253" w:lineRule="auto"/>
        <w:tabs>
          <w:tab w:leader="none" w:pos="13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set forth in Optionee’s Service Agreement or set forth in a severance plan in which Optionee participates as of the Date of Grant, if any, or, if Optionee does not have a Service Agreement or participate in such severance plan as of the Date of Grant (or such Service Agreement or plan does not define “Good Reason”), then “Good Reason” shall mean the occurrence of any of the following events without Optionee’s express written consent: (i) an involuntary material reduction in Optionee’s then-current base salary or base pay; (ii) a material diminution in Optionee’s authority, duties or responsibilities; (iii) a mandatory relocation of Optionee’s primary work location to a location more than 50 miles from Optionee’s work location as of the date of this Agreement; or (iv) a material breach by the Company of the terms of this Agreement or any other material agreement with Optionee. To terminate Optionee’s service for Good Reason, Optionee must provide written notice to the Company of the existence of the circumstances providing grounds for termination for Good Reason within 90 days of the initial existence of such grounds and the Company must have at least 30 days from the date on which such notice is provided to cure such circumstances. If Optionee does not terminate Optionee’s service for Good Reason within 30 days after the expiration of the Company’s cure period, then Optionee will be deemed to have waived Optionee’s right to terminate for Good Reason with respect to such grounds.</w:t>
      </w:r>
    </w:p>
    <w:p>
      <w:pPr>
        <w:spacing w:after="0" w:line="187" w:lineRule="exact"/>
        <w:rPr>
          <w:rFonts w:ascii="Times New Roman" w:cs="Times New Roman" w:eastAsia="Times New Roman" w:hAnsi="Times New Roman"/>
          <w:sz w:val="18"/>
          <w:szCs w:val="18"/>
          <w:color w:val="auto"/>
        </w:rPr>
      </w:pPr>
    </w:p>
    <w:p>
      <w:pPr>
        <w:ind w:left="-656" w:firstLine="656"/>
        <w:spacing w:after="0" w:line="286" w:lineRule="auto"/>
        <w:tabs>
          <w:tab w:leader="none" w:pos="6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Dividend Equivalents</w:t>
      </w:r>
      <w:r>
        <w:rPr>
          <w:rFonts w:ascii="Times New Roman" w:cs="Times New Roman" w:eastAsia="Times New Roman" w:hAnsi="Times New Roman"/>
          <w:sz w:val="18"/>
          <w:szCs w:val="18"/>
          <w:color w:val="auto"/>
        </w:rPr>
        <w:t>. Optionee shall not be entitled to dividends or dividend equivalents with respect to the Option or the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underlying the Option until such Common Stock is issued after the exercise of the Option (or portion thereof).</w:t>
      </w:r>
    </w:p>
    <w:p>
      <w:pPr>
        <w:spacing w:after="0" w:line="154" w:lineRule="exact"/>
        <w:rPr>
          <w:rFonts w:ascii="Times New Roman" w:cs="Times New Roman" w:eastAsia="Times New Roman" w:hAnsi="Times New Roman"/>
          <w:sz w:val="18"/>
          <w:szCs w:val="18"/>
          <w:color w:val="auto"/>
        </w:rPr>
      </w:pPr>
    </w:p>
    <w:p>
      <w:pPr>
        <w:ind w:left="-656" w:right="20" w:firstLine="656"/>
        <w:spacing w:after="0" w:line="286" w:lineRule="auto"/>
        <w:tabs>
          <w:tab w:leader="none" w:pos="7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number of shares of Common Stock issuable subject to the Option and the other terms and conditions of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evidenced by this Agreement are subject to mandatory adjustment, including as provided in Section 11 of the Plan.</w:t>
      </w:r>
    </w:p>
    <w:p>
      <w:pPr>
        <w:spacing w:after="0" w:line="15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 and Withholding</w:t>
      </w:r>
      <w:r>
        <w:rPr>
          <w:rFonts w:ascii="Times New Roman" w:cs="Times New Roman" w:eastAsia="Times New Roman" w:hAnsi="Times New Roman"/>
          <w:sz w:val="18"/>
          <w:szCs w:val="18"/>
          <w:color w:val="auto"/>
        </w:rPr>
        <w:t>. To the extent that the Company or any Subsidiary is required to withhold federal, state, local or foreign taxes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amounts in connection with any payment made to or benefit realized by Optionee or other person under the Option, Optionee agrees that, unless otherwise determined by the Committee, the Company will withhold in the form of shares of Common Stock any taxes or other amounts required to be withheld by the Company under federal, state, local or foreign law as a result of such payment or benefit in an amount sufficient to satisfy the minimum statutory withholding amount permissible. To the extent that the amounts available to the Company or such Subsidiary for such withholding are insufficient, it shall be a condition to the obligation of the Company to make any such delivery or payment that Optionee or such other person make arrangements satisfactory to the Company for payment of the balance of such taxes or other amounts required to be withheld. The shares of Common Stock used for tax or other withholding will be valued at an amount equal to the fair market value of such shares of Common Stock on the date the benefit is to be included in Optionee’s income. In no event will the market value of Common Stock to be withheld pursuant to this Section 11 to satisfy applicable withholding taxes or other amounts exceed the minimum amount of taxes required to be withheld. Notwithstanding any other provision of this Agreement, the Company shall not be obligated to guarantee any particular tax result for Optionee with respect to any payment provided to Optionee hereunder, and Optionee shall be responsible for any taxes imposed on Optionee with respect to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7" w:name="page18"/>
    <w:bookmarkEnd w:id="17"/>
    <w:p>
      <w:pPr>
        <w:ind w:left="624" w:hanging="624"/>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3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make reasonable efforts to comply with all applicable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other provision of the Plan and this Agreement, the Company shall not be obligated to issue any shares of Common Stock pursuant to this Agreement if the issuance thereof would result in a violation of any such law. The Option shall not be exercisable if such exercise would involve a violation of any law.</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12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 nothing in this Agreement or otherwise limits Optionee’s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Optionee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Optionee is not prohibited from providing information voluntarily to the Securities and Exchange Commission pursuant to Section 21F of the Exchange Act.</w:t>
      </w:r>
    </w:p>
    <w:p>
      <w:pPr>
        <w:spacing w:after="0" w:line="184"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6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Future Awards or Service</w:t>
      </w:r>
      <w:r>
        <w:rPr>
          <w:rFonts w:ascii="Times New Roman" w:cs="Times New Roman" w:eastAsia="Times New Roman" w:hAnsi="Times New Roman"/>
          <w:sz w:val="18"/>
          <w:szCs w:val="18"/>
          <w:color w:val="auto"/>
        </w:rPr>
        <w:t>. The Option award is a voluntary, discretionary award being made on a one-time basis and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constitute a commitment to make any future awards. The Option award and any related payments made to Optionee will not be considered salary or other compensation for purposes of any severance pay or similar allowance, except as otherwise required by law. Nothing contained in this Agreement will confer upon Optionee any right to provide service or continue to provide service to the Company or any of its Subsidiaries, nor limit or affect in any manner the right of the Company or any of its Subsidiaries to terminate Optionee’s service or adjust the compensation of Optionee.</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Other Benefits</w:t>
      </w:r>
      <w:r>
        <w:rPr>
          <w:rFonts w:ascii="Times New Roman" w:cs="Times New Roman" w:eastAsia="Times New Roman" w:hAnsi="Times New Roman"/>
          <w:sz w:val="18"/>
          <w:szCs w:val="18"/>
          <w:color w:val="auto"/>
        </w:rPr>
        <w:t>. Any economic or other benefit to Optionee under this Agreement or the Plan shall not be taken into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determining any benefits to which Optionee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Any amendment to the Plan shall be deemed to be an amendment to this Agreement to the extent that the amendment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shall adversely affect Optionee’s rights with respect to the Option without Optionee’s consent, and Optionee’s consent shall not be required to an amendment that is deemed necessary by the Company to ensure compliance with Section 10D of the Exchange Act.</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8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any provision so invalidated shall be deemed to be separable from the other provisions hereof, and the remaining provisions hereof shall continue to be valid and fully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233680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8" w:name="page19"/>
    <w:bookmarkEnd w:id="18"/>
    <w:p>
      <w:pPr>
        <w:ind w:left="624" w:hanging="624"/>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Plan; Clawback</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2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granted under this Agreement and all of the terms and conditions hereof are subject to all of the terms and conditions of the Plan. In the event of any inconsistency between this Agreement and the Plan, the terms of the Plan will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12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acknowledges and agrees that the terms and conditions set forth in the Innventure, Inc. Compensation Clawback Policy (as may be amended and restated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are incorporated in this Agreement by reference. To the extent the Clawback Policy is applicable to the Recipient, it creates additional rights for the Company with respect to applicable compensation, including, without limitation, annual cash incentive compensation and long-term incentive compensation awards granted to Optionee by the Company. Notwithstanding any provisions in this Agreement to the contrary, applicable compensation, including, without limitation, annual cash incentive compensation and long-term incentive compensation, will be subject to potential mandatory cancellation, forfeiture and/or repayment by Optionee to the Company to the extent Optionee is, or in the future becomes, subject to (i) any Company clawback or recoupment policy, including the Clawback Policy and any other policies that are adopted by the Company, whether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Option award under the Plan and pursuant to this Agreement, Optionee consents to be bound by the terms of the Clawback Policy, if applicable, and agrees and acknowledges that Optionee is obligated to cooperate with, and provide any and all assistance necessary to, the Company in its efforts to recover or recoup other applicable compensation, including, without limitation, annual cash incentive compensation and long-term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Optionee of any such amounts, including from Optionee’s accounts or from any other compensation, to the extent permissible under Section 409A of the Code.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deliver any documents related to the Option and Optionee’s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Plan, or future awards that may be granted under the Plan, by electronic means or request Optionee’s consent to participate in the Plan by electronic means. Optionee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9" w:name="page20"/>
    <w:bookmarkEnd w:id="19"/>
    <w:p>
      <w:pPr>
        <w:jc w:val="both"/>
        <w:ind w:left="-656" w:firstLine="656"/>
        <w:spacing w:after="0" w:line="257" w:lineRule="auto"/>
        <w:tabs>
          <w:tab w:leader="none" w:pos="8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shall be governed by and construed with the internal substantive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giving effect to any principle of law that would result in the application of the law of any other jurisdiction. In addition, Optionee agrees that state and federal courts located in the state of Florida shall have jurisdiction in any action, suit or proceeding against Optionee based on or arising out of this Agreement and Optionee hereby: (a) submits to the personal jurisdiction of such courts; (b) consents to service of process in connection with any action, suit or proceeding against Optionee; (c) irrevocably waives any other requirement (whether imposed by statute, rule of court or otherwise) or any objection which Optionee now or hereafter may have with respect to personal jurisdiction, venue or service of process.</w:t>
      </w:r>
    </w:p>
    <w:p>
      <w:pPr>
        <w:spacing w:after="0" w:line="182" w:lineRule="exact"/>
        <w:rPr>
          <w:rFonts w:ascii="Times New Roman" w:cs="Times New Roman" w:eastAsia="Times New Roman" w:hAnsi="Times New Roman"/>
          <w:sz w:val="18"/>
          <w:szCs w:val="18"/>
          <w:color w:val="auto"/>
        </w:rPr>
      </w:pPr>
    </w:p>
    <w:p>
      <w:pPr>
        <w:ind w:left="-656" w:right="20" w:firstLine="656"/>
        <w:spacing w:after="0" w:line="286" w:lineRule="auto"/>
        <w:tabs>
          <w:tab w:leader="none" w:pos="5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provisions of this Agreement shall inure to the benefit of, and be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successors, administrators, heirs, legal representatives and assigns of Optionee, and the successors and assigns of the Company.</w:t>
      </w:r>
    </w:p>
    <w:p>
      <w:pPr>
        <w:spacing w:after="0" w:line="154" w:lineRule="exact"/>
        <w:rPr>
          <w:rFonts w:ascii="Times New Roman" w:cs="Times New Roman" w:eastAsia="Times New Roman" w:hAnsi="Times New Roman"/>
          <w:sz w:val="18"/>
          <w:szCs w:val="18"/>
          <w:color w:val="auto"/>
        </w:rPr>
      </w:pPr>
    </w:p>
    <w:p>
      <w:pPr>
        <w:jc w:val="both"/>
        <w:ind w:left="-656" w:right="20" w:firstLine="656"/>
        <w:spacing w:after="0" w:line="286" w:lineRule="auto"/>
        <w:tabs>
          <w:tab w:leader="none" w:pos="6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Optionee acknowledges that Optionee (a) has received a copy of the Plan, (b) has had an opportunity to review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and the Plan, (c) understands the terms and conditions of this Agreement and the Plan and (d) agrees to such terms and conditions.</w:t>
      </w:r>
    </w:p>
    <w:p>
      <w:pPr>
        <w:spacing w:after="0" w:line="154" w:lineRule="exact"/>
        <w:rPr>
          <w:rFonts w:ascii="Times New Roman" w:cs="Times New Roman" w:eastAsia="Times New Roman" w:hAnsi="Times New Roman"/>
          <w:sz w:val="18"/>
          <w:szCs w:val="18"/>
          <w:color w:val="auto"/>
        </w:rPr>
      </w:pPr>
    </w:p>
    <w:p>
      <w:pPr>
        <w:ind w:left="-656" w:firstLine="656"/>
        <w:spacing w:after="0" w:line="286" w:lineRule="auto"/>
        <w:tabs>
          <w:tab w:leader="none" w:pos="6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agreement.</w:t>
      </w:r>
    </w:p>
    <w:p>
      <w:pPr>
        <w:spacing w:after="0" w:line="155" w:lineRule="exact"/>
        <w:rPr>
          <w:sz w:val="20"/>
          <w:szCs w:val="20"/>
          <w:color w:val="auto"/>
        </w:rPr>
      </w:pPr>
    </w:p>
    <w:p>
      <w:pPr>
        <w:ind w:left="4344"/>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day and year indicated below.</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17145</wp:posOffset>
            </wp:positionV>
            <wp:extent cx="29229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17145</wp:posOffset>
            </wp:positionV>
            <wp:extent cx="29229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Optionee Acknowledgment and Acceptance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5715</wp:posOffset>
            </wp:positionV>
            <wp:extent cx="32061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357505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3"/>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3"/>
    </w:lvl>
  </w:abstractNum>
  <w:abstractNum w:abstractNumId="11">
    <w:nsid w:val="333AB105"/>
    <w:multiLevelType w:val="hybridMultilevel"/>
    <w:lvl w:ilvl="0">
      <w:lvlJc w:val="left"/>
      <w:lvlText w:val="%1."/>
      <w:numFmt w:val="decimal"/>
      <w:start w:val="7"/>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10"/>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decimal"/>
      <w:start w:val="11"/>
    </w:lvl>
  </w:abstractNum>
  <w:abstractNum w:abstractNumId="17">
    <w:nsid w:val="8EDBDAB"/>
    <w:multiLevelType w:val="hybridMultilevel"/>
    <w:lvl w:ilvl="0">
      <w:lvlJc w:val="left"/>
      <w:lvlText w:val="%1."/>
      <w:numFmt w:val="decimal"/>
      <w:start w:val="14"/>
    </w:lvl>
  </w:abstractNum>
  <w:abstractNum w:abstractNumId="18">
    <w:nsid w:val="79838CB2"/>
    <w:multiLevelType w:val="hybridMultilevel"/>
    <w:lvl w:ilvl="0">
      <w:lvlJc w:val="left"/>
      <w:lvlText w:val="%1."/>
      <w:numFmt w:val="decimal"/>
      <w:start w:val="19"/>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2"/>
    </w:lvl>
    <w:lvl w:ilvl="1">
      <w:lvlJc w:val="left"/>
      <w:lvlText w:val="(%2)"/>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23">
    <w:nsid w:val="71F3245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4">
    <w:nsid w:val="2CA88611"/>
    <w:multiLevelType w:val="hybridMultilevel"/>
    <w:lvl w:ilvl="0">
      <w:lvlJc w:val="left"/>
      <w:lvlText w:val="%1"/>
      <w:numFmt w:val="decimal"/>
      <w:start w:val="1"/>
    </w:lvl>
    <w:lvl w:ilvl="1">
      <w:lvlJc w:val="left"/>
      <w:lvlText w:val="(%2)"/>
      <w:numFmt w:val="lowerLetter"/>
      <w:start w:val="3"/>
    </w:lvl>
  </w:abstractNum>
  <w:abstractNum w:abstractNumId="25">
    <w:nsid w:val="836C40E"/>
    <w:multiLevelType w:val="hybridMultilevel"/>
    <w:lvl w:ilvl="0">
      <w:lvlJc w:val="left"/>
      <w:lvlText w:val="%1."/>
      <w:numFmt w:val="decimal"/>
      <w:start w:val="6"/>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3"/>
    </w:lvl>
  </w:abstractNum>
  <w:abstractNum w:abstractNumId="27">
    <w:nsid w:val="3A95F874"/>
    <w:multiLevelType w:val="hybridMultilevel"/>
    <w:lvl w:ilvl="0">
      <w:lvlJc w:val="left"/>
      <w:lvlText w:val="%1."/>
      <w:numFmt w:val="decimal"/>
      <w:start w:val="9"/>
    </w:lvl>
    <w:lvl w:ilvl="1">
      <w:lvlJc w:val="left"/>
      <w:lvlText w:val="%2"/>
      <w:numFmt w:val="lowerLetter"/>
      <w:start w:val="1"/>
    </w:lvl>
  </w:abstractNum>
  <w:abstractNum w:abstractNumId="28">
    <w:nsid w:val="8138641"/>
    <w:multiLevelType w:val="hybridMultilevel"/>
    <w:lvl w:ilvl="0">
      <w:lvlJc w:val="left"/>
      <w:lvlText w:val="%1."/>
      <w:numFmt w:val="decimal"/>
      <w:start w:val="12"/>
    </w:lvl>
    <w:lvl w:ilvl="1">
      <w:lvlJc w:val="left"/>
      <w:lvlText w:val="(%2)"/>
      <w:numFmt w:val="lowerLetter"/>
      <w:start w:val="1"/>
    </w:lvl>
  </w:abstractNum>
  <w:abstractNum w:abstractNumId="29">
    <w:nsid w:val="1E7FF521"/>
    <w:multiLevelType w:val="hybridMultilevel"/>
    <w:lvl w:ilvl="0">
      <w:lvlJc w:val="left"/>
      <w:lvlText w:val="%1."/>
      <w:numFmt w:val="decimal"/>
      <w:start w:val="17"/>
    </w:lvl>
    <w:lvl w:ilvl="1">
      <w:lvlJc w:val="left"/>
      <w:lvlText w:val="(%2)"/>
      <w:numFmt w:val="lowerLetter"/>
      <w:start w:val="1"/>
    </w:lvl>
  </w:abstractNum>
  <w:abstractNum w:abstractNumId="30">
    <w:nsid w:val="7C3DBD3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2024-12-13T14:29:42Z</dcterms:created>
  <dcterms:modified xsi:type="dcterms:W3CDTF">2024-12-13T14:29:42Z</dcterms:modified>
</cp:coreProperties>
</file>